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AF66B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80" w:lineRule="atLeast"/>
        <w:ind w:right="0"/>
        <w:jc w:val="center"/>
        <w:rPr>
          <w:rFonts w:hint="default" w:ascii="Times New Roman" w:hAnsi="Times New Roman" w:eastAsia="方正小标宋简体" w:cs="Times New Roman"/>
          <w:b w:val="0"/>
          <w:bCs/>
          <w:color w:val="000000"/>
          <w:kern w:val="2"/>
          <w:sz w:val="40"/>
          <w:szCs w:val="40"/>
          <w:lang w:val="en-US" w:eastAsia="zh-CN" w:bidi="ar-SA"/>
        </w:rPr>
      </w:pPr>
    </w:p>
    <w:p w14:paraId="7BF221A2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80" w:lineRule="atLeast"/>
        <w:ind w:right="0"/>
        <w:jc w:val="center"/>
        <w:rPr>
          <w:rFonts w:hint="default" w:ascii="Times New Roman" w:hAnsi="Times New Roman" w:eastAsia="方正小标宋简体" w:cs="Times New Roman"/>
          <w:b w:val="0"/>
          <w:bCs/>
          <w:color w:val="000000"/>
          <w:kern w:val="2"/>
          <w:sz w:val="40"/>
          <w:szCs w:val="40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b w:val="0"/>
          <w:bCs/>
          <w:color w:val="000000"/>
          <w:kern w:val="2"/>
          <w:sz w:val="40"/>
          <w:szCs w:val="40"/>
          <w:lang w:val="en-US" w:eastAsia="zh-CN" w:bidi="ar-SA"/>
        </w:rPr>
        <w:t>2022</w:t>
      </w:r>
      <w:r>
        <w:rPr>
          <w:rFonts w:hint="eastAsia" w:ascii="Times New Roman" w:hAnsi="Times New Roman" w:eastAsia="方正小标宋简体" w:cs="Times New Roman"/>
          <w:b w:val="0"/>
          <w:bCs/>
          <w:color w:val="000000"/>
          <w:kern w:val="2"/>
          <w:sz w:val="40"/>
          <w:szCs w:val="40"/>
          <w:lang w:val="en-US" w:eastAsia="zh-CN" w:bidi="ar-SA"/>
        </w:rPr>
        <w:t>年铜官区国民经济和社会发展计划解读</w:t>
      </w:r>
    </w:p>
    <w:p w14:paraId="68E63FF0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80" w:lineRule="atLeast"/>
        <w:ind w:left="0" w:right="0" w:firstLine="640"/>
        <w:jc w:val="both"/>
        <w:rPr>
          <w:rFonts w:hint="default" w:ascii="Times New Roman" w:hAnsi="Times New Roman" w:cs="Times New Roman"/>
          <w:i w:val="0"/>
          <w:iCs w:val="0"/>
          <w:caps w:val="0"/>
          <w:color w:val="3D3D3D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D3D3D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 w14:paraId="7C1374E8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80" w:lineRule="atLeast"/>
        <w:ind w:left="0" w:right="0" w:firstLine="640"/>
        <w:jc w:val="both"/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2022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年是实施“十四五”规划的关键之年，也是新一届政府的开局之年，做好各项工作意义重大。结合我区实际和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“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十四五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”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规划目标，提出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2022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年国民经济主要预期目标：</w:t>
      </w:r>
    </w:p>
    <w:p w14:paraId="200DFC8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地区生产总值增长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8.5%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以上；一般公共预算收入增长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10%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以上；固定资产投资增长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15%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；社会消费品零售总额增长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9.5%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；进出口总额增长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10%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；利用内资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165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亿元、外资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8000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万美元；城镇、农村常住居民人均可支配收入增速高于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GDP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增速。</w:t>
      </w:r>
    </w:p>
    <w:p w14:paraId="19893714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2022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年我区经济和社会发展主要工作重点分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6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个方面。</w:t>
      </w:r>
    </w:p>
    <w:p w14:paraId="56AE4BC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pacing w:val="0"/>
          <w:kern w:val="2"/>
          <w:sz w:val="32"/>
          <w:szCs w:val="32"/>
          <w:lang w:val="en-US" w:eastAsia="zh-CN" w:bidi="ar-SA"/>
        </w:rPr>
        <w:t>1.</w:t>
      </w:r>
      <w:r>
        <w:rPr>
          <w:rFonts w:hint="eastAsia" w:ascii="Times New Roman" w:hAnsi="Times New Roman" w:eastAsia="仿宋_GB2312" w:cs="Times New Roman"/>
          <w:b/>
          <w:bCs/>
          <w:color w:val="000000"/>
          <w:spacing w:val="0"/>
          <w:kern w:val="2"/>
          <w:sz w:val="32"/>
          <w:szCs w:val="32"/>
          <w:lang w:val="en-US" w:eastAsia="zh-CN" w:bidi="ar-SA"/>
        </w:rPr>
        <w:t>突出项目带动，增强经济发展后劲。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该部分从强化重点项目支撑、全力推动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“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双招双引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”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、加大对上争取力度等方面汇报全区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2022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年在项目建设等方面的主要工作重点。</w:t>
      </w:r>
    </w:p>
    <w:p w14:paraId="5BACA6B4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pacing w:val="0"/>
          <w:kern w:val="2"/>
          <w:sz w:val="32"/>
          <w:szCs w:val="32"/>
          <w:lang w:val="en-US" w:eastAsia="zh-CN" w:bidi="ar-SA"/>
        </w:rPr>
        <w:t>2.</w:t>
      </w:r>
      <w:r>
        <w:rPr>
          <w:rFonts w:hint="eastAsia" w:ascii="Times New Roman" w:hAnsi="Times New Roman" w:eastAsia="仿宋_GB2312" w:cs="Times New Roman"/>
          <w:b/>
          <w:bCs/>
          <w:color w:val="000000"/>
          <w:spacing w:val="0"/>
          <w:kern w:val="2"/>
          <w:sz w:val="32"/>
          <w:szCs w:val="32"/>
          <w:lang w:val="en-US" w:eastAsia="zh-CN" w:bidi="ar-SA"/>
        </w:rPr>
        <w:t>强化创新支撑，构建产业支撑体系。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该部分从坚持创新驱动发展、改造提升传统产业、强化金融支持实体等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3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个方面汇报全区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2022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年产业发展工作重点。</w:t>
      </w:r>
    </w:p>
    <w:p w14:paraId="5F1DC0D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pacing w:val="0"/>
          <w:kern w:val="2"/>
          <w:sz w:val="32"/>
          <w:szCs w:val="32"/>
          <w:lang w:val="en-US" w:eastAsia="zh-CN" w:bidi="ar-SA"/>
        </w:rPr>
        <w:t>3.</w:t>
      </w:r>
      <w:r>
        <w:rPr>
          <w:rFonts w:hint="eastAsia" w:ascii="Times New Roman" w:hAnsi="Times New Roman" w:eastAsia="仿宋_GB2312" w:cs="Times New Roman"/>
          <w:b/>
          <w:bCs/>
          <w:color w:val="000000"/>
          <w:spacing w:val="0"/>
          <w:kern w:val="2"/>
          <w:sz w:val="32"/>
          <w:szCs w:val="32"/>
          <w:lang w:val="en-US" w:eastAsia="zh-CN" w:bidi="ar-SA"/>
        </w:rPr>
        <w:t>加强板块互动，推动产城融合发展。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该部分从发展壮大现代服务业、加速提升园区能级、加快独立工矿区改造、推动横港化工园绿色发展等方面汇报全区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2022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年经济转型升级高质量发展主要举措。</w:t>
      </w:r>
    </w:p>
    <w:p w14:paraId="44D4F05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pacing w:val="0"/>
          <w:kern w:val="2"/>
          <w:sz w:val="32"/>
          <w:szCs w:val="32"/>
          <w:lang w:val="en-US" w:eastAsia="zh-CN" w:bidi="ar-SA"/>
        </w:rPr>
        <w:t>4.</w:t>
      </w:r>
      <w:r>
        <w:rPr>
          <w:rFonts w:hint="eastAsia" w:ascii="Times New Roman" w:hAnsi="Times New Roman" w:eastAsia="仿宋_GB2312" w:cs="Times New Roman"/>
          <w:b/>
          <w:bCs/>
          <w:color w:val="000000"/>
          <w:spacing w:val="0"/>
          <w:kern w:val="2"/>
          <w:sz w:val="32"/>
          <w:szCs w:val="32"/>
          <w:lang w:val="en-US" w:eastAsia="zh-CN" w:bidi="ar-SA"/>
        </w:rPr>
        <w:t>坚持改革开放，激发市场主体活力。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该部分从深化重点领域改革、创优最美营商环境、全面融入长三角一体化等方面汇报全区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2022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年在对内改革、对外开放等方面的主要工作重点。</w:t>
      </w:r>
    </w:p>
    <w:p w14:paraId="5DC674BC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pacing w:val="0"/>
          <w:kern w:val="2"/>
          <w:sz w:val="32"/>
          <w:szCs w:val="32"/>
          <w:lang w:val="en-US" w:eastAsia="zh-CN" w:bidi="ar-SA"/>
        </w:rPr>
        <w:t>5.</w:t>
      </w:r>
      <w:r>
        <w:rPr>
          <w:rFonts w:hint="eastAsia" w:ascii="Times New Roman" w:hAnsi="Times New Roman" w:eastAsia="仿宋_GB2312" w:cs="Times New Roman"/>
          <w:b/>
          <w:bCs/>
          <w:color w:val="000000"/>
          <w:spacing w:val="0"/>
          <w:kern w:val="2"/>
          <w:sz w:val="32"/>
          <w:szCs w:val="32"/>
          <w:lang w:val="en-US" w:eastAsia="zh-CN" w:bidi="ar-SA"/>
        </w:rPr>
        <w:t>狠抓建管融合，打造生态宜居环境。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该部分从持续优化城区管理、突出生态文明建设、推动绿色低碳发展、夯实乡村发展基础等方面汇报全区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2022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年统筹城区整治、环境提升和乡村振兴等方面的主要工作重点。</w:t>
      </w:r>
    </w:p>
    <w:p w14:paraId="6A023F2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</w:pPr>
      <w:bookmarkStart w:id="0" w:name="_GoBack"/>
      <w:r>
        <w:rPr>
          <w:rFonts w:hint="default" w:ascii="Times New Roman" w:hAnsi="Times New Roman" w:eastAsia="仿宋_GB2312" w:cs="Times New Roman"/>
          <w:b/>
          <w:bCs/>
          <w:color w:val="000000"/>
          <w:spacing w:val="0"/>
          <w:kern w:val="2"/>
          <w:sz w:val="32"/>
          <w:szCs w:val="32"/>
          <w:lang w:val="en-US" w:eastAsia="zh-CN" w:bidi="ar-SA"/>
        </w:rPr>
        <w:t>6.</w:t>
      </w:r>
      <w:r>
        <w:rPr>
          <w:rFonts w:hint="eastAsia" w:ascii="Times New Roman" w:hAnsi="Times New Roman" w:eastAsia="仿宋_GB2312" w:cs="Times New Roman"/>
          <w:b/>
          <w:bCs/>
          <w:color w:val="000000"/>
          <w:spacing w:val="0"/>
          <w:kern w:val="2"/>
          <w:sz w:val="32"/>
          <w:szCs w:val="32"/>
          <w:lang w:val="en-US" w:eastAsia="zh-CN" w:bidi="ar-SA"/>
        </w:rPr>
        <w:t>聚焦民生福祉，提升群众幸福指数。</w:t>
      </w:r>
      <w:bookmarkEnd w:id="0"/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该部分从全力办好民生实事、稳步发展社会事业、构建和谐社会环境等方面汇报全区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2022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  <w:t>年推进民生事业发展的工作重点。</w:t>
      </w:r>
    </w:p>
    <w:p w14:paraId="1DA6E6C9">
      <w:pPr>
        <w:rPr>
          <w:rFonts w:hint="default" w:ascii="Times New Roman" w:hAnsi="Times New Roman" w:eastAsia="仿宋_GB2312" w:cs="Times New Roman"/>
          <w:color w:val="000000"/>
          <w:spacing w:val="0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1701" w:right="1587" w:bottom="1701" w:left="158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ZjY2Y4MDdhZWFhNzA1OGI5NGM1YjNhMDA0ZDdlZmUifQ=="/>
  </w:docVars>
  <w:rsids>
    <w:rsidRoot w:val="51107605"/>
    <w:rsid w:val="5110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paragraph" w:styleId="3">
    <w:name w:val="heading 4"/>
    <w:basedOn w:val="1"/>
    <w:next w:val="1"/>
    <w:semiHidden/>
    <w:qFormat/>
    <w:uiPriority w:val="0"/>
    <w:pPr>
      <w:keepNext/>
      <w:keepLines/>
      <w:spacing w:before="280" w:after="290" w:line="374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2024-09-19T00:48:00Z</dcterms:created>
  <dc:creator>仇健</dc:creator>
  <cp:lastModifiedBy>仇健</cp:lastModifiedBy>
  <dcterms:modified xsi:type="dcterms:W3CDTF">2024-09-19T00:50:08Z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EE22E7C6EFD74D41B6F852A3C1FBAAC5_11</vt:lpwstr>
  </property>
</Properties>
</file>