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 Regular" w:hAnsi="Times New Roman Regular" w:eastAsia="方正小标宋_GB2312" w:cs="Times New Roman Regular"/>
          <w:bCs/>
          <w:color w:val="000000"/>
          <w:sz w:val="40"/>
          <w:szCs w:val="40"/>
          <w:lang w:val="en-US" w:eastAsia="zh-Hans"/>
        </w:rPr>
      </w:pPr>
      <w:r>
        <w:rPr>
          <w:rFonts w:hint="default" w:ascii="Times New Roman Regular" w:hAnsi="Times New Roman Regular" w:eastAsia="方正小标宋_GB2312" w:cs="Times New Roman Regular"/>
          <w:bCs/>
          <w:color w:val="000000"/>
          <w:sz w:val="40"/>
          <w:szCs w:val="40"/>
        </w:rPr>
        <w:t xml:space="preserve">铜陵市铜官区经济与信息化局2024</w:t>
      </w:r>
      <w:r>
        <w:rPr>
          <w:rFonts w:hint="default" w:ascii="Times New Roman Regular" w:hAnsi="Times New Roman Regular" w:eastAsia="方正小标宋_GB2312" w:cs="Times New Roman Regular"/>
          <w:bCs/>
          <w:color w:val="000000"/>
          <w:sz w:val="40"/>
          <w:szCs w:val="40"/>
          <w:lang w:val="en-US" w:eastAsia="zh-Hans"/>
        </w:rPr>
        <w:t>年一般公共预算“三公”经费预算</w:t>
      </w:r>
    </w:p>
    <w:p>
      <w:pPr>
        <w:pStyle w:val="2"/>
        <w:rPr>
          <w:rFonts w:hint="default" w:ascii="Times New Roman Regular" w:hAnsi="Times New Roman Regular" w:eastAsia="方正小标宋_GB2312" w:cs="Times New Roman Regular"/>
          <w:bCs/>
          <w:color w:val="000000"/>
          <w:sz w:val="40"/>
          <w:szCs w:val="40"/>
          <w:lang w:val="en-US" w:eastAsia="zh-Hans"/>
        </w:rPr>
      </w:pPr>
    </w:p>
    <w:p>
      <w:pPr>
        <w:pStyle w:val="2"/>
        <w:rPr>
          <w:rFonts w:hint="default" w:ascii="Times New Roman Regular" w:hAnsi="Times New Roman Regular" w:eastAsia="方正小标宋_GB2312" w:cs="Times New Roman Regular"/>
          <w:bCs/>
          <w:color w:val="000000"/>
          <w:sz w:val="40"/>
          <w:szCs w:val="40"/>
          <w:lang w:val="en-US" w:eastAsia="zh-Hans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 Regular" w:hAnsi="Times New Roman Regular" w:eastAsia="黑体" w:cs="Times New Roman Regular"/>
          <w:bCs/>
          <w:color w:val="000000"/>
          <w:sz w:val="32"/>
          <w:szCs w:val="32"/>
          <w:lang w:val="en-US" w:eastAsia="zh-Hans"/>
        </w:rPr>
      </w:pPr>
      <w:r>
        <w:rPr>
          <w:rFonts w:hint="default" w:ascii="Times New Roman Regular" w:hAnsi="Times New Roman Regular" w:eastAsia="黑体" w:cs="Times New Roman Regular"/>
          <w:bCs/>
          <w:color w:val="000000"/>
          <w:sz w:val="32"/>
          <w:szCs w:val="32"/>
          <w:lang w:eastAsia="zh-Hans"/>
        </w:rPr>
        <w:t xml:space="preserve">2024</w:t>
      </w:r>
      <w:r>
        <w:rPr>
          <w:rFonts w:hint="default" w:ascii="Times New Roman Regular" w:hAnsi="Times New Roman Regular" w:eastAsia="黑体" w:cs="Times New Roman Regular"/>
          <w:bCs/>
          <w:color w:val="000000"/>
          <w:sz w:val="32"/>
          <w:szCs w:val="32"/>
          <w:lang w:val="en-US" w:eastAsia="zh-Hans"/>
        </w:rPr>
        <w:t>年一般公共预算“三公”经费支出预算表</w:t>
      </w:r>
    </w:p>
    <w:p>
      <w:pPr>
        <w:numPr>
          <w:ilvl w:val="0"/>
          <w:numId w:val="0"/>
        </w:numPr>
        <w:jc w:val="right"/>
        <w:rPr>
          <w:rFonts w:hint="default" w:ascii="Times New Roman Regular" w:hAnsi="Times New Roman Regular" w:eastAsia="宋体" w:cs="Times New Roman Regular"/>
          <w:bCs/>
          <w:color w:val="000000"/>
          <w:sz w:val="26"/>
          <w:szCs w:val="26"/>
          <w:lang w:val="en-US" w:eastAsia="zh-Hans"/>
        </w:rPr>
      </w:pPr>
      <w:r>
        <w:rPr>
          <w:rFonts w:hint="default" w:ascii="Times New Roman Regular" w:hAnsi="Times New Roman Regular" w:eastAsia="宋体" w:cs="Times New Roman Regular"/>
          <w:bCs/>
          <w:color w:val="000000"/>
          <w:sz w:val="26"/>
          <w:szCs w:val="26"/>
          <w:lang w:val="en-US" w:eastAsia="zh-Hans"/>
        </w:rPr>
        <w:t>单位</w:t>
      </w:r>
      <w:r>
        <w:rPr>
          <w:rFonts w:hint="default" w:ascii="Times New Roman Regular" w:hAnsi="Times New Roman Regular" w:eastAsia="宋体" w:cs="Times New Roman Regular"/>
          <w:bCs/>
          <w:color w:val="000000"/>
          <w:sz w:val="26"/>
          <w:szCs w:val="26"/>
          <w:lang w:eastAsia="zh-Hans"/>
        </w:rPr>
        <w:t>：</w:t>
      </w:r>
      <w:r>
        <w:rPr>
          <w:rFonts w:hint="default" w:ascii="Times New Roman Regular" w:hAnsi="Times New Roman Regular" w:eastAsia="宋体" w:cs="Times New Roman Regular"/>
          <w:bCs/>
          <w:color w:val="000000"/>
          <w:sz w:val="26"/>
          <w:szCs w:val="26"/>
          <w:lang w:val="en-US" w:eastAsia="zh-Hans"/>
        </w:rPr>
        <w:t>万元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>
        <w:tc>
          <w:tcPr>
            <w:tcW w:w="1420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  <w:t>“三公”</w:t>
            </w:r>
            <w:bookmarkStart w:id="0" w:name="_GoBack"/>
            <w:bookmarkEnd w:id="0"/>
            <w:r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  <w:t>经费合计</w:t>
            </w:r>
          </w:p>
        </w:tc>
        <w:tc>
          <w:tcPr>
            <w:tcW w:w="1420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  <w:t>因公出国</w:t>
            </w:r>
            <w:r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eastAsia="zh-Hans"/>
              </w:rPr>
              <w:t>（</w:t>
            </w:r>
            <w:r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  <w:t>境</w:t>
            </w:r>
            <w:r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eastAsia="zh-Hans"/>
              </w:rPr>
              <w:t>）</w:t>
            </w:r>
            <w:r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  <w:t>费</w:t>
            </w:r>
          </w:p>
        </w:tc>
        <w:tc>
          <w:tcPr>
            <w:tcW w:w="4261" w:type="dxa"/>
            <w:gridSpan w:val="3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  <w:t>公务用车购置及运行费</w:t>
            </w:r>
          </w:p>
        </w:tc>
        <w:tc>
          <w:tcPr>
            <w:tcW w:w="1421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  <w:t>公务接待费</w:t>
            </w:r>
          </w:p>
        </w:tc>
      </w:tr>
      <w:tr>
        <w:tc>
          <w:tcPr>
            <w:tcW w:w="1420" w:type="dxa"/>
            <w:vMerge w:val="continue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6"/>
                <w:szCs w:val="26"/>
                <w:vertAlign w:val="baseline"/>
                <w:lang w:val="en-US" w:eastAsia="zh-Hans"/>
              </w:rPr>
            </w:pPr>
          </w:p>
        </w:tc>
        <w:tc>
          <w:tcPr>
            <w:tcW w:w="1420" w:type="dxa"/>
            <w:vMerge w:val="continue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6"/>
                <w:szCs w:val="26"/>
                <w:vertAlign w:val="baseline"/>
                <w:lang w:val="en-US" w:eastAsia="zh-Hans"/>
              </w:rPr>
            </w:pP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  <w:t>小计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  <w:t>公务用车购置费</w:t>
            </w:r>
          </w:p>
        </w:tc>
        <w:tc>
          <w:tcPr>
            <w:tcW w:w="142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</w:pPr>
            <w:r>
              <w:rPr>
                <w:rFonts w:hint="default" w:ascii="Times New Roman Regular" w:hAnsi="Times New Roman Regular" w:eastAsia="宋体" w:cs="Times New Roman Regular"/>
                <w:b/>
                <w:bCs w:val="0"/>
                <w:color w:val="000000"/>
                <w:sz w:val="20"/>
                <w:szCs w:val="20"/>
                <w:vertAlign w:val="baseline"/>
                <w:lang w:val="en-US" w:eastAsia="zh-Hans"/>
              </w:rPr>
              <w:t>公务用车运行费</w:t>
            </w:r>
          </w:p>
        </w:tc>
        <w:tc>
          <w:tcPr>
            <w:tcW w:w="1421" w:type="dxa"/>
            <w:vMerge w:val="continue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6"/>
                <w:szCs w:val="26"/>
                <w:vertAlign w:val="baseline"/>
                <w:lang w:val="en-US" w:eastAsia="zh-Hans"/>
              </w:rPr>
            </w:pPr>
          </w:p>
        </w:tc>
      </w:tr>
      <w:tr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jc w:val="right"/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6"/>
                <w:szCs w:val="26"/>
                <w:vertAlign w:val="baseline"/>
                <w:lang w:eastAsia="zh-Hans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0"/>
                <w:szCs w:val="20"/>
                <w:vertAlign w:val="baseline"/>
                <w:lang w:eastAsia="zh-Hans"/>
              </w:rPr>
              <w:t xml:space="preserve">0.42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jc w:val="right"/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6"/>
                <w:szCs w:val="26"/>
                <w:vertAlign w:val="baseline"/>
                <w:lang w:val="en-US" w:eastAsia="zh-Hans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0"/>
                <w:szCs w:val="20"/>
                <w:vertAlign w:val="baseline"/>
                <w:lang w:eastAsia="zh-Hans"/>
              </w:rPr>
              <w:t xml:space="preserve">0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jc w:val="right"/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6"/>
                <w:szCs w:val="26"/>
                <w:vertAlign w:val="baseline"/>
                <w:lang w:val="en-US" w:eastAsia="zh-Hans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0"/>
                <w:szCs w:val="20"/>
                <w:vertAlign w:val="baseline"/>
                <w:lang w:eastAsia="zh-Hans"/>
              </w:rPr>
              <w:t xml:space="preserve">0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jc w:val="right"/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6"/>
                <w:szCs w:val="26"/>
                <w:vertAlign w:val="baseline"/>
                <w:lang w:val="en-US" w:eastAsia="zh-Hans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0"/>
                <w:szCs w:val="20"/>
                <w:vertAlign w:val="baseline"/>
                <w:lang w:eastAsia="zh-Hans"/>
              </w:rPr>
              <w:t xml:space="preserve">0</w:t>
            </w:r>
          </w:p>
        </w:tc>
        <w:tc>
          <w:tcPr>
            <w:tcW w:w="1421" w:type="dxa"/>
            <w:vAlign w:val="center"/>
          </w:tcPr>
          <w:p>
            <w:pPr>
              <w:numPr>
                <w:ilvl w:val="0"/>
                <w:numId w:val="0"/>
              </w:numPr>
              <w:jc w:val="right"/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6"/>
                <w:szCs w:val="26"/>
                <w:vertAlign w:val="baseline"/>
                <w:lang w:val="en-US" w:eastAsia="zh-Hans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0"/>
                <w:szCs w:val="20"/>
                <w:vertAlign w:val="baseline"/>
                <w:lang w:eastAsia="zh-Hans"/>
              </w:rPr>
              <w:t xml:space="preserve">0</w:t>
            </w:r>
          </w:p>
        </w:tc>
        <w:tc>
          <w:tcPr>
            <w:tcW w:w="1421" w:type="dxa"/>
            <w:vAlign w:val="center"/>
          </w:tcPr>
          <w:p>
            <w:pPr>
              <w:numPr>
                <w:ilvl w:val="0"/>
                <w:numId w:val="0"/>
              </w:numPr>
              <w:jc w:val="right"/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6"/>
                <w:szCs w:val="26"/>
                <w:vertAlign w:val="baseline"/>
                <w:lang w:val="en-US" w:eastAsia="zh-Hans"/>
              </w:rPr>
            </w:pPr>
            <w:r>
              <w:rPr>
                <w:rFonts w:hint="default" w:ascii="Times New Roman Regular" w:hAnsi="Times New Roman Regular" w:eastAsia="宋体" w:cs="Times New Roman Regular"/>
                <w:bCs/>
                <w:color w:val="000000"/>
                <w:sz w:val="20"/>
                <w:szCs w:val="20"/>
                <w:vertAlign w:val="baseline"/>
                <w:lang w:eastAsia="zh-Hans"/>
              </w:rPr>
              <w:t xml:space="preserve">0.42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default" w:ascii="Times New Roman Regular" w:hAnsi="Times New Roman Regular" w:eastAsia="宋体" w:cs="Times New Roman Regular"/>
          <w:bCs/>
          <w:color w:val="000000"/>
          <w:sz w:val="20"/>
          <w:szCs w:val="20"/>
          <w:lang w:eastAsia="zh-Hans"/>
        </w:rPr>
      </w:pPr>
      <w:r>
        <w:rPr>
          <w:rFonts w:hint="default" w:ascii="Times New Roman Regular" w:hAnsi="Times New Roman Regular" w:eastAsia="宋体" w:cs="Times New Roman Regular"/>
          <w:bCs/>
          <w:color w:val="000000"/>
          <w:sz w:val="20"/>
          <w:szCs w:val="20"/>
          <w:lang w:eastAsia="zh-Hans"/>
        </w:rPr>
        <w:t xml:space="preserve"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default" w:ascii="Times New Roman Regular" w:hAnsi="Times New Roman Regular" w:eastAsia="黑体" w:cs="Times New Roman Regular"/>
          <w:bCs/>
          <w:color w:val="000000"/>
          <w:sz w:val="32"/>
          <w:szCs w:val="32"/>
          <w:lang w:val="en-US" w:eastAsia="zh-Hans"/>
        </w:rPr>
      </w:pPr>
      <w:r>
        <w:rPr>
          <w:rFonts w:hint="default" w:ascii="Times New Roman Regular" w:hAnsi="Times New Roman Regular" w:eastAsia="黑体" w:cs="Times New Roman Regular"/>
          <w:bCs/>
          <w:color w:val="000000"/>
          <w:sz w:val="32"/>
          <w:szCs w:val="32"/>
          <w:lang w:eastAsia="zh-Hans"/>
        </w:rPr>
        <w:t xml:space="preserve">2024</w:t>
      </w:r>
      <w:r>
        <w:rPr>
          <w:rFonts w:hint="default" w:ascii="Times New Roman Regular" w:hAnsi="Times New Roman Regular" w:eastAsia="黑体" w:cs="Times New Roman Regular"/>
          <w:bCs/>
          <w:color w:val="000000"/>
          <w:sz w:val="32"/>
          <w:szCs w:val="32"/>
          <w:lang w:val="en-US" w:eastAsia="zh-Hans"/>
        </w:rPr>
        <w:t>年一般公共预算“三公”经费支出预算情况说明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both"/>
        <w:textAlignment w:val="auto"/>
        <w:rPr>
          <w:rFonts w:hint="default" w:ascii="Times New Roman Regular" w:hAnsi="Times New Roman Regular" w:eastAsia="仿宋_GB2312" w:cs="Times New Roman Regular"/>
          <w:color w:val="000000"/>
          <w:sz w:val="32"/>
          <w:szCs w:val="32"/>
        </w:rPr>
      </w:pPr>
      <w:r>
        <w:rPr>
          <w:rFonts w:hint="default" w:ascii="Times New Roman Regular" w:hAnsi="Times New Roman Regular" w:eastAsia="仿宋_GB2312" w:cs="Times New Roman Regular"/>
          <w:color w:val="000000"/>
          <w:sz w:val="32"/>
          <w:szCs w:val="32"/>
        </w:rPr>
        <w:t xml:space="preserve">铜陵市铜官区经济与信息化局2024年一般公共预算“三公”经费支出预算</w:t>
      </w:r>
      <w:r>
        <w:rPr>
          <w:rFonts w:hint="default" w:ascii="Times New Roman Regular" w:hAnsi="Times New Roman Regular" w:eastAsia="仿宋_GB2312" w:cs="Times New Roman Regular"/>
          <w:color w:val="000000"/>
          <w:sz w:val="32"/>
          <w:szCs w:val="32"/>
          <w:lang w:val="en-US" w:eastAsia="zh-Hans"/>
        </w:rPr>
        <w:t>为</w:t>
      </w:r>
      <w:r>
        <w:rPr>
          <w:rFonts w:hint="default" w:ascii="Times New Roman Regular" w:hAnsi="Times New Roman Regular" w:eastAsia="仿宋_GB2312" w:cs="Times New Roman Regular"/>
          <w:color w:val="000000"/>
          <w:sz w:val="32"/>
          <w:szCs w:val="32"/>
          <w:lang w:eastAsia="zh-Hans"/>
        </w:rPr>
        <w:t xml:space="preserve">0.42</w:t>
      </w:r>
      <w:r>
        <w:rPr>
          <w:rFonts w:hint="default" w:ascii="Times New Roman Regular" w:hAnsi="Times New Roman Regular" w:eastAsia="仿宋_GB2312" w:cs="Times New Roman Regular"/>
          <w:color w:val="000000"/>
          <w:sz w:val="32"/>
          <w:szCs w:val="32"/>
        </w:rPr>
        <w:t xml:space="preserve">万元，本年预算与上年持平。其中：因公出国（境）费支出预算为0万元，公务接待费支出预算为0.42万元，公务用车购置及运行费支出预算为0万元。具体情况如下：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600" w:lineRule="exact"/>
        <w:ind w:firstLine="641" w:firstLineChars="200"/>
        <w:jc w:val="both"/>
        <w:textAlignment w:val="auto"/>
        <w:rPr>
          <w:rFonts w:hint="default" w:ascii="Times New Roman Regular" w:hAnsi="Times New Roman Regular" w:eastAsia="仿宋_GB2312" w:cs="Times New Roman Regular"/>
          <w:color w:val="000000"/>
          <w:kern w:val="2"/>
          <w:sz w:val="32"/>
          <w:szCs w:val="32"/>
        </w:rPr>
      </w:pPr>
      <w:r>
        <w:rPr>
          <w:rFonts w:hint="default" w:ascii="Times New Roman Regular" w:hAnsi="Times New Roman Regular" w:eastAsia="楷体_GB2312" w:cs="Times New Roman Regular"/>
          <w:b/>
          <w:color w:val="000000"/>
          <w:sz w:val="32"/>
          <w:szCs w:val="32"/>
        </w:rPr>
        <w:t>（一）因公出国（境）费</w:t>
      </w:r>
      <w:r>
        <w:rPr>
          <w:rFonts w:hint="default" w:ascii="Times New Roman Regular" w:hAnsi="Times New Roman Regular" w:eastAsia="仿宋_GB2312" w:cs="Times New Roman Regular"/>
          <w:color w:val="000000"/>
          <w:sz w:val="32"/>
          <w:szCs w:val="32"/>
        </w:rPr>
        <w:t xml:space="preserve">支出预算0万元, 比2023年预算增加0万元，与上年持平原因主要是厉行节约，政府过“紧日子”，不扩大三公经费支出规模。该项经费预算根据批准的因公临时出国（境）计划，按照规定标准安排。</w:t>
      </w:r>
      <w:r>
        <w:rPr>
          <w:rFonts w:hint="default" w:ascii="Times New Roman Regular" w:hAnsi="Times New Roman Regular" w:eastAsia="仿宋_GB2312" w:cs="Times New Roman Regular"/>
          <w:color w:val="000000"/>
          <w:kern w:val="2"/>
          <w:sz w:val="32"/>
          <w:szCs w:val="32"/>
        </w:rPr>
        <w:t>经费使用严格执行《安徽省省直党政机关因公临时出国经费管理办法》（财行〔2014〕104号）、《安徽省省直党政机关因公短期出国培训费用管理办法》（财行〔2014〕527号）等相关规定。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600" w:lineRule="exact"/>
        <w:ind w:firstLine="641" w:firstLineChars="200"/>
        <w:jc w:val="both"/>
        <w:textAlignment w:val="auto"/>
        <w:rPr>
          <w:rFonts w:hint="default" w:ascii="Times New Roman Regular" w:hAnsi="Times New Roman Regular" w:eastAsia="仿宋_GB2312" w:cs="Times New Roman Regular"/>
          <w:color w:val="000000"/>
          <w:sz w:val="32"/>
          <w:szCs w:val="32"/>
        </w:rPr>
      </w:pPr>
      <w:r>
        <w:rPr>
          <w:rFonts w:hint="default" w:ascii="Times New Roman Regular" w:hAnsi="Times New Roman Regular" w:eastAsia="楷体_GB2312" w:cs="Times New Roman Regular"/>
          <w:b/>
          <w:color w:val="000000"/>
          <w:sz w:val="32"/>
          <w:szCs w:val="32"/>
        </w:rPr>
        <w:t>（二）公务用车购置及运行费</w:t>
      </w:r>
      <w:r>
        <w:rPr>
          <w:rFonts w:hint="default" w:ascii="Times New Roman Regular" w:hAnsi="Times New Roman Regular" w:eastAsia="仿宋_GB2312" w:cs="Times New Roman Regular"/>
          <w:color w:val="000000"/>
          <w:sz w:val="32"/>
          <w:szCs w:val="32"/>
        </w:rPr>
        <w:t xml:space="preserve">支出预算0万元，本年预算与上年持平。其中：公务用车运行费0万元，比2023年预算增加0万元，与上年持平原因主要是厉行节约，政府过“紧日子”，不扩大三公经费支出规模。公务用车购置费0万元，比2023年预算增加0万元，与上年持平原因主要是厉行节约，政府过“紧日子”，不扩大三公经费支出规模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1" w:firstLineChars="200"/>
        <w:jc w:val="both"/>
        <w:textAlignment w:val="auto"/>
        <w:rPr>
          <w:rFonts w:hint="default" w:ascii="Times New Roman Regular" w:hAnsi="Times New Roman Regular" w:eastAsia="黑体" w:cs="Times New Roman Regular"/>
          <w:bCs/>
          <w:color w:val="000000"/>
          <w:sz w:val="32"/>
          <w:szCs w:val="32"/>
          <w:lang w:val="en-US" w:eastAsia="zh-Hans"/>
        </w:rPr>
      </w:pPr>
      <w:r>
        <w:rPr>
          <w:rFonts w:hint="default" w:ascii="Times New Roman Regular" w:hAnsi="Times New Roman Regular" w:eastAsia="楷体_GB2312" w:cs="Times New Roman Regular"/>
          <w:b/>
          <w:color w:val="000000"/>
          <w:sz w:val="32"/>
          <w:szCs w:val="32"/>
        </w:rPr>
        <w:t>（三）公务接待费</w:t>
      </w:r>
      <w:r>
        <w:rPr>
          <w:rFonts w:hint="default" w:ascii="Times New Roman Regular" w:hAnsi="Times New Roman Regular" w:eastAsia="仿宋_GB2312" w:cs="Times New Roman Regular"/>
          <w:color w:val="000000"/>
          <w:sz w:val="32"/>
          <w:szCs w:val="32"/>
        </w:rPr>
        <w:t xml:space="preserve">支出预算0.42万元，比2023年预算增加0万元，与上年持平原因主要是厉行节约，政府过“紧日子”，不扩大三公经费支出规模。经费使用严格执行《党政机关厉行节约反对浪费条例》、《安徽省省直机关公务接待管理暂行办法》（财行〔2014〕2066 号）、《安徽省财政厅关于调整省直机关公务接待费用餐标准的通知》（财行〔2018〕1096 号）、《铜陵市党政机关国内公务接待管理办法》、《铜陵市市直机关公务接待费管理暂行办法》（财行〔2015〕248号）等相关规定。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imes New Roman Regular">
    <w:panose1 w:val="02020603050405020304"/>
    <w:charset w:val="00"/>
    <w:family w:val="auto"/>
    <w:pitch w:val="default"/>
    <w:sig w:usb0="E0002AEF" w:usb1="C0007841" w:usb2="00000009" w:usb3="00000000" w:csb0="400001FF" w:csb1="FFFF0000"/>
  </w:font>
  <w:font w:name="方正小标宋_GB2312">
    <w:altName w:val="方正小标宋简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方正仿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汉仪楷体简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EFF4B1"/>
    <w:multiLevelType w:val="singleLevel"/>
    <w:tmpl w:val="FFEFF4B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F31563"/>
    <w:rsid w:val="0FAB33BE"/>
    <w:rsid w:val="174F9236"/>
    <w:rsid w:val="2FFFB2EE"/>
    <w:rsid w:val="3EDFE6EA"/>
    <w:rsid w:val="4EFD19BF"/>
    <w:rsid w:val="5B793146"/>
    <w:rsid w:val="5BF31563"/>
    <w:rsid w:val="5EFEB178"/>
    <w:rsid w:val="5F37379D"/>
    <w:rsid w:val="777FE7D3"/>
    <w:rsid w:val="79F34D3A"/>
    <w:rsid w:val="7B7F9D78"/>
    <w:rsid w:val="7E4931B1"/>
    <w:rsid w:val="7F6F5AEF"/>
    <w:rsid w:val="7FFCCECE"/>
    <w:rsid w:val="FFEEE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 Indent"/>
    <w:basedOn w:val="1"/>
    <w:qFormat/>
    <w:uiPriority w:val="0"/>
  </w:style>
  <w:style w:type="paragraph" w:styleId="3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auto"/>
      <w:kern w:val="0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Office_6.2.2.8394_F1E327BC-269C-435d-A152-05C5408002CA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2023-02-07T01:31:00Z</dcterms:created>
  <dc:creator>不忘初心</dc:creator>
  <cp:lastModifiedBy>瘾</cp:lastModifiedBy>
  <dcterms:modified xsi:type="dcterms:W3CDTF">2024-02-23T17:41:22Z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2052-6.2.2.8394</vt:lpwstr>
  </property>
  <property fmtid="{D5CDD505-2E9C-101B-9397-08002B2CF9AE}" pid="3" name="ICV">
    <vt:lpwstr>1F1E7F96842A9BF4C758DE63BEF0BCAA</vt:lpwstr>
  </property>
</Properties>
</file>