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jc w:val="center"/>
        <w:rPr>
          <w:rFonts w:ascii="Times New Roman" w:eastAsia="方正小标宋_GBK" w:hAnsi="Times New Roman" w:cs="方正小标宋_GBK" w:hint="eastAsia"/>
          <w:b w:val="0"/>
          <w:bCs w:val="0"/>
          <w:sz w:val="44"/>
          <w:szCs w:val="44"/>
        </w:rPr>
      </w:pPr>
    </w:p>
    <w:p>
      <w:pPr>
        <w:jc w:val="both"/>
        <w:rPr>
          <w:rFonts w:ascii="Times New Roman" w:eastAsia="方正小标宋_GBK" w:hAnsi="Times New Roman" w:cs="方正小标宋_GBK" w:hint="eastAsia"/>
          <w:b w:val="0"/>
          <w:bCs w:val="0"/>
          <w:sz w:val="44"/>
          <w:szCs w:val="44"/>
        </w:rPr>
      </w:pPr>
    </w:p>
    <w:p>
      <w:pPr>
        <w:jc w:val="center"/>
        <w:rPr>
          <w:rFonts w:ascii="Times New Roman" w:eastAsia="方正小标宋_GBK" w:hAnsi="Times New Roman" w:cs="方正小标宋_GBK" w:hint="eastAsia"/>
          <w:b w:val="0"/>
          <w:bCs w:val="0"/>
          <w:sz w:val="44"/>
          <w:szCs w:val="44"/>
        </w:rPr>
      </w:pPr>
    </w:p>
    <w:p>
      <w:pPr>
        <w:jc w:val="center"/>
        <w:rPr>
          <w:rFonts w:ascii="Times New Roman" w:eastAsia="方正小标宋_GBK" w:hAnsi="Times New Roman" w:cs="方正小标宋_GBK" w:hint="eastAsia"/>
          <w:b w:val="0"/>
          <w:bCs w:val="0"/>
          <w:sz w:val="44"/>
          <w:szCs w:val="44"/>
        </w:rPr>
      </w:pPr>
    </w:p>
    <w:p>
      <w:pPr>
        <w:jc w:val="center"/>
        <w:rPr>
          <w:rFonts w:ascii="Times New Roman" w:eastAsia="华文中宋" w:hAnsi="Times New Roman" w:cs="TimesNewRoman" w:hint="eastAsia"/>
          <w:b/>
          <w:sz w:val="44"/>
          <w:szCs w:val="44"/>
          <w:lang w:val="en-US"/>
        </w:rPr>
      </w:pPr>
      <w:r>
        <w:rPr>
          <w:rFonts w:ascii="Times New Roman" w:eastAsia="黑体" w:hAnsi="Times New Roman" w:cs="黑体" w:hint="eastAsia"/>
          <w:b w:val="0"/>
          <w:bCs/>
          <w:sz w:val="40"/>
          <w:szCs w:val="40"/>
        </w:rPr>
        <w:t>铜陵市铜官区经济与信息化局2024</w:t>
      </w:r>
      <w:r>
        <w:rPr>
          <w:rFonts w:ascii="Times New Roman" w:eastAsia="黑体" w:hAnsi="Times New Roman" w:cs="黑体" w:hint="eastAsia"/>
          <w:b w:val="0"/>
          <w:bCs/>
          <w:sz w:val="40"/>
          <w:szCs w:val="40"/>
          <w:lang w:val="en-US"/>
        </w:rPr>
        <w:t>年</w:t>
      </w:r>
      <w:r>
        <w:rPr>
          <w:rFonts w:ascii="Times New Roman" w:eastAsia="黑体" w:hAnsi="Times New Roman" w:cs="黑体" w:hint="eastAsia"/>
          <w:b w:val="0"/>
          <w:bCs/>
          <w:sz w:val="40"/>
          <w:szCs w:val="40"/>
        </w:rPr>
        <w:t>部门</w:t>
      </w:r>
      <w:r>
        <w:rPr>
          <w:rFonts w:ascii="Times New Roman" w:eastAsia="黑体" w:hAnsi="Times New Roman" w:cs="黑体" w:hint="eastAsia"/>
          <w:b w:val="0"/>
          <w:bCs/>
          <w:sz w:val="40"/>
          <w:szCs w:val="40"/>
        </w:rPr>
        <w:t>预算</w:t>
      </w:r>
    </w:p>
    <w:p>
      <w:pPr>
        <w:jc w:val="center"/>
        <w:rPr>
          <w:rFonts w:ascii="Times New Roman" w:eastAsia="方正小标宋_GBK" w:hAnsi="Times New Roman" w:cs="方正小标宋_GBK" w:hint="eastAsia"/>
          <w:b w:val="0"/>
          <w:bCs w:val="0"/>
          <w:sz w:val="44"/>
          <w:szCs w:val="44"/>
        </w:rPr>
      </w:pPr>
    </w:p>
    <w:p>
      <w:pPr>
        <w:jc w:val="center"/>
        <w:rPr>
          <w:rFonts w:ascii="Times New Roman" w:eastAsia="方正小标宋_GBK" w:hAnsi="Times New Roman" w:cs="方正小标宋_GBK" w:hint="eastAsia"/>
          <w:b w:val="0"/>
          <w:bCs w:val="0"/>
          <w:sz w:val="44"/>
          <w:szCs w:val="44"/>
        </w:rPr>
      </w:pPr>
    </w:p>
    <w:p>
      <w:pPr>
        <w:jc w:val="center"/>
        <w:rPr>
          <w:rFonts w:ascii="Times New Roman" w:eastAsia="方正小标宋_GBK" w:hAnsi="Times New Roman" w:cs="方正小标宋_GBK" w:hint="eastAsia"/>
          <w:b w:val="0"/>
          <w:bCs w:val="0"/>
          <w:sz w:val="44"/>
          <w:szCs w:val="44"/>
        </w:rPr>
      </w:pPr>
    </w:p>
    <w:p>
      <w:pPr>
        <w:jc w:val="center"/>
        <w:rPr>
          <w:rFonts w:ascii="Times New Roman" w:eastAsia="方正小标宋_GBK" w:hAnsi="Times New Roman" w:cs="方正小标宋_GBK" w:hint="eastAsia"/>
          <w:b w:val="0"/>
          <w:bCs w:val="0"/>
          <w:sz w:val="44"/>
          <w:szCs w:val="44"/>
        </w:rPr>
      </w:pPr>
    </w:p>
    <w:p>
      <w:pPr>
        <w:jc w:val="center"/>
        <w:rPr>
          <w:rFonts w:ascii="Times New Roman" w:eastAsia="方正小标宋_GBK" w:hAnsi="Times New Roman" w:cs="方正小标宋_GBK" w:hint="eastAsia"/>
          <w:b w:val="0"/>
          <w:bCs w:val="0"/>
          <w:sz w:val="44"/>
          <w:szCs w:val="44"/>
        </w:rPr>
      </w:pPr>
    </w:p>
    <w:p>
      <w:pPr>
        <w:jc w:val="center"/>
        <w:rPr>
          <w:rFonts w:ascii="Times New Roman" w:eastAsia="方正小标宋_GBK" w:hAnsi="Times New Roman" w:cs="方正小标宋_GBK" w:hint="eastAsia"/>
          <w:b w:val="0"/>
          <w:bCs w:val="0"/>
          <w:sz w:val="44"/>
          <w:szCs w:val="44"/>
        </w:rPr>
      </w:pPr>
    </w:p>
    <w:p>
      <w:pPr>
        <w:jc w:val="center"/>
        <w:rPr>
          <w:rFonts w:ascii="Times New Roman" w:eastAsia="方正小标宋_GBK" w:hAnsi="Times New Roman" w:cs="方正小标宋_GBK" w:hint="eastAsia"/>
          <w:b w:val="0"/>
          <w:bCs w:val="0"/>
          <w:sz w:val="44"/>
          <w:szCs w:val="44"/>
        </w:rPr>
      </w:pPr>
      <w:bookmarkStart w:id="0" w:name="_GoBack"/>
      <w:bookmarkEnd w:id="0"/>
    </w:p>
    <w:p>
      <w:pPr>
        <w:jc w:val="center"/>
        <w:rPr>
          <w:rFonts w:ascii="Times New Roman" w:eastAsia="方正小标宋_GBK" w:hAnsi="Times New Roman" w:cs="方正小标宋_GBK" w:hint="eastAsia"/>
          <w:b w:val="0"/>
          <w:bCs w:val="0"/>
          <w:sz w:val="44"/>
          <w:szCs w:val="44"/>
        </w:rPr>
      </w:pPr>
    </w:p>
    <w:p>
      <w:pPr>
        <w:jc w:val="center"/>
        <w:rPr>
          <w:rFonts w:ascii="Times New Roman" w:eastAsia="方正小标宋_GBK" w:hAnsi="Times New Roman" w:cs="方正小标宋_GBK" w:hint="eastAsia"/>
          <w:b w:val="0"/>
          <w:bCs w:val="0"/>
          <w:sz w:val="44"/>
          <w:szCs w:val="44"/>
        </w:rPr>
      </w:pPr>
    </w:p>
    <w:p>
      <w:pPr>
        <w:jc w:val="both"/>
        <w:rPr>
          <w:rFonts w:ascii="Times New Roman" w:eastAsia="方正小标宋_GBK" w:hAnsi="Times New Roman" w:cs="方正小标宋_GBK" w:hint="eastAsia"/>
          <w:b w:val="0"/>
          <w:bCs w:val="0"/>
          <w:sz w:val="44"/>
          <w:szCs w:val="44"/>
        </w:rPr>
      </w:pPr>
    </w:p>
    <w:p>
      <w:pPr>
        <w:jc w:val="center"/>
        <w:rPr>
          <w:rFonts w:ascii="Times New Roman" w:eastAsia="方正小标宋_GBK" w:hAnsi="Times New Roman" w:cs="方正小标宋_GBK" w:hint="eastAsia"/>
          <w:b w:val="0"/>
          <w:bCs w:val="0"/>
          <w:sz w:val="44"/>
          <w:szCs w:val="44"/>
        </w:rPr>
      </w:pPr>
    </w:p>
    <w:p>
      <w:pPr>
        <w:jc w:val="center"/>
        <w:rPr>
          <w:rFonts w:ascii="Times New Roman" w:eastAsia="方正小标宋_GBK" w:hAnsi="Times New Roman" w:cs="方正小标宋_GBK" w:hint="eastAsia"/>
          <w:b w:val="0"/>
          <w:bCs w:val="0"/>
          <w:sz w:val="44"/>
          <w:szCs w:val="44"/>
        </w:rPr>
      </w:pPr>
    </w:p>
    <w:p>
      <w:pPr>
        <w:jc w:val="both"/>
        <w:rPr>
          <w:rFonts w:ascii="Times New Roman" w:eastAsia="方正小标宋_GBK" w:hAnsi="Times New Roman" w:cs="方正小标宋_GBK" w:hint="eastAsia"/>
          <w:b w:val="0"/>
          <w:bCs w:val="0"/>
          <w:sz w:val="44"/>
          <w:szCs w:val="44"/>
        </w:rPr>
      </w:pPr>
    </w:p>
    <w:p>
      <w:pPr>
        <w:jc w:val="center"/>
        <w:rPr>
          <w:rFonts w:ascii="Times New Roman" w:eastAsia="黑体" w:hAnsi="Times New Roman" w:cs="黑体" w:hint="eastAsia"/>
          <w:b w:val="0"/>
          <w:bCs w:val="0"/>
          <w:sz w:val="44"/>
          <w:szCs w:val="44"/>
          <w:lang w:val="en-US"/>
        </w:rPr>
        <w:sectPr>
          <w:pgSz w:w="11906" w:h="16838"/>
          <w:pgMar w:top="1440" w:right="1800" w:bottom="1440" w:left="1800" w:header="851" w:footer="992" w:gutter="0"/>
          <w:cols w:num="1" w:space="425"/>
          <w:docGrid w:type="lines" w:linePitch="312" w:charSpace="0"/>
        </w:sectPr>
      </w:pPr>
      <w:r>
        <w:rPr>
          <w:rFonts w:ascii="Times New Roman" w:eastAsia="黑体" w:hAnsi="Times New Roman" w:cs="黑体" w:hint="eastAsia"/>
          <w:b w:val="0"/>
          <w:bCs w:val="0"/>
          <w:sz w:val="44"/>
          <w:szCs w:val="44"/>
        </w:rPr>
        <w:t>2024</w:t>
      </w:r>
      <w:r>
        <w:rPr>
          <w:rFonts w:ascii="Times New Roman" w:eastAsia="黑体" w:hAnsi="Times New Roman" w:cs="黑体" w:hint="eastAsia"/>
          <w:b w:val="0"/>
          <w:bCs w:val="0"/>
          <w:sz w:val="44"/>
          <w:szCs w:val="44"/>
          <w:lang w:val="en-US"/>
        </w:rPr>
        <w:t>年</w:t>
      </w:r>
      <w:r>
        <w:rPr>
          <w:rFonts w:ascii="Times New Roman" w:eastAsia="黑体" w:hAnsi="Times New Roman" w:cs="黑体" w:hint="default"/>
          <w:b w:val="0"/>
          <w:bCs w:val="0"/>
          <w:sz w:val="44"/>
          <w:szCs w:val="44"/>
        </w:rPr>
        <w:t>2</w:t>
      </w:r>
      <w:r>
        <w:rPr>
          <w:rFonts w:ascii="Times New Roman" w:eastAsia="黑体" w:hAnsi="Times New Roman" w:cs="黑体" w:hint="eastAsia"/>
          <w:b w:val="0"/>
          <w:bCs w:val="0"/>
          <w:sz w:val="44"/>
          <w:szCs w:val="44"/>
          <w:lang w:val="en-US"/>
        </w:rPr>
        <w:t>月</w:t>
      </w:r>
    </w:p>
    <w:p>
      <w:pPr>
        <w:jc w:val="center"/>
        <w:rPr>
          <w:rFonts w:ascii="Times New Roman" w:eastAsia="黑体" w:hAnsi="Times New Roman" w:cs="黑体" w:hint="eastAsia"/>
          <w:b w:val="0"/>
          <w:bCs w:val="0"/>
          <w:sz w:val="44"/>
          <w:szCs w:val="44"/>
          <w:lang w:val="en-US"/>
        </w:rPr>
      </w:pPr>
      <w:r>
        <w:rPr>
          <w:rFonts w:ascii="Times New Roman" w:eastAsia="黑体" w:hAnsi="Times New Roman" w:cs="黑体" w:hint="eastAsia"/>
          <w:bCs/>
          <w:color w:val="000000"/>
          <w:sz w:val="40"/>
          <w:szCs w:val="40"/>
          <w:lang w:val="en-US"/>
        </w:rPr>
        <w:t>目</w:t>
      </w:r>
      <w:r>
        <w:rPr>
          <w:rFonts w:ascii="Times New Roman" w:eastAsia="黑体" w:hAnsi="Times New Roman" w:cs="黑体" w:hint="eastAsia"/>
          <w:bCs/>
          <w:color w:val="000000"/>
          <w:sz w:val="40"/>
          <w:szCs w:val="40"/>
        </w:rPr>
        <w:t xml:space="preserve">  </w:t>
      </w:r>
      <w:r>
        <w:rPr>
          <w:rFonts w:ascii="Times New Roman" w:eastAsia="黑体" w:hAnsi="Times New Roman" w:cs="黑体" w:hint="eastAsia"/>
          <w:bCs/>
          <w:color w:val="000000"/>
          <w:sz w:val="40"/>
          <w:szCs w:val="40"/>
          <w:lang w:val="en-US"/>
        </w:rPr>
        <w:t>录</w:t>
      </w:r>
    </w:p>
    <w:p>
      <w:pPr>
        <w:keepNext w:val="0"/>
        <w:keepLines w:val="0"/>
        <w:pageBreakBefore w:val="0"/>
        <w:widowControl w:val="0"/>
        <w:numPr>
          <w:ilvl w:val="0"/>
          <w:numId w:val="0"/>
        </w:numPr>
        <w:kinsoku/>
        <w:wordWrap/>
        <w:overflowPunct/>
        <w:topLinePunct w:val="0"/>
        <w:autoSpaceDE/>
        <w:autoSpaceDN/>
        <w:bidi w:val="0"/>
        <w:adjustRightInd/>
        <w:snapToGrid/>
        <w:spacing w:before="312" w:beforeLines="100"/>
        <w:ind w:left="630" w:leftChars="0"/>
        <w:jc w:val="both"/>
        <w:textAlignment w:val="auto"/>
        <w:rPr>
          <w:rFonts w:ascii="Times New Roman" w:eastAsia="仿宋_GB2312" w:hAnsi="Times New Roman" w:cs="仿宋_GB2312" w:hint="eastAsia"/>
          <w:b/>
          <w:bCs/>
          <w:sz w:val="32"/>
          <w:szCs w:val="32"/>
          <w:lang w:val="en-US"/>
        </w:rPr>
      </w:pPr>
      <w:r>
        <w:rPr>
          <w:rFonts w:ascii="Times New Roman" w:eastAsia="仿宋_GB2312" w:hAnsi="Times New Roman" w:cs="仿宋_GB2312" w:hint="eastAsia"/>
          <w:b/>
          <w:bCs/>
          <w:sz w:val="32"/>
          <w:szCs w:val="32"/>
          <w:lang w:val="en-US" w:eastAsia="zh-CN"/>
        </w:rPr>
        <w:t xml:space="preserve">第一部分 </w:t>
      </w:r>
      <w:r>
        <w:rPr>
          <w:rFonts w:ascii="Times New Roman" w:eastAsia="仿宋_GB2312" w:hAnsi="Times New Roman" w:cs="仿宋_GB2312" w:hint="default"/>
          <w:b/>
          <w:bCs/>
          <w:sz w:val="32"/>
          <w:szCs w:val="32"/>
        </w:rPr>
        <w:t>部门</w:t>
      </w:r>
      <w:r>
        <w:rPr>
          <w:rFonts w:ascii="Times New Roman" w:eastAsia="仿宋_GB2312" w:hAnsi="Times New Roman" w:cs="仿宋_GB2312" w:hint="eastAsia"/>
          <w:b/>
          <w:bCs/>
          <w:sz w:val="32"/>
          <w:szCs w:val="32"/>
          <w:lang w:val="en-US"/>
        </w:rPr>
        <w:t>概况</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eastAsia"/>
          <w:b w:val="0"/>
          <w:bCs w:val="0"/>
          <w:sz w:val="32"/>
          <w:szCs w:val="32"/>
          <w:lang w:val="en-US"/>
        </w:rPr>
      </w:pPr>
      <w:r>
        <w:rPr>
          <w:rFonts w:ascii="Times New Roman" w:eastAsia="仿宋_GB2312" w:hAnsi="Times New Roman" w:cs="仿宋_GB2312" w:hint="default"/>
          <w:b w:val="0"/>
          <w:bCs w:val="0"/>
          <w:sz w:val="32"/>
          <w:szCs w:val="32"/>
        </w:rPr>
        <w:t>1.</w:t>
      </w:r>
      <w:r>
        <w:rPr>
          <w:rFonts w:ascii="Times New Roman" w:eastAsia="仿宋_GB2312" w:hAnsi="Times New Roman" w:cs="仿宋_GB2312" w:hint="eastAsia"/>
          <w:b w:val="0"/>
          <w:bCs w:val="0"/>
          <w:sz w:val="32"/>
          <w:szCs w:val="32"/>
          <w:lang w:val="en-US"/>
        </w:rPr>
        <w:t>主要职责</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2.部门</w:t>
      </w:r>
      <w:r>
        <w:rPr>
          <w:rFonts w:ascii="Times New Roman" w:eastAsia="仿宋_GB2312" w:hAnsi="Times New Roman" w:cs="仿宋_GB2312" w:hint="eastAsia"/>
          <w:b w:val="0"/>
          <w:bCs w:val="0"/>
          <w:sz w:val="32"/>
          <w:szCs w:val="32"/>
          <w:lang w:val="en-US"/>
        </w:rPr>
        <w:t>预算构成</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3.2024</w:t>
      </w:r>
      <w:r>
        <w:rPr>
          <w:rFonts w:ascii="Times New Roman" w:eastAsia="仿宋_GB2312" w:hAnsi="Times New Roman" w:cs="仿宋_GB2312" w:hint="eastAsia"/>
          <w:b w:val="0"/>
          <w:bCs w:val="0"/>
          <w:sz w:val="32"/>
          <w:szCs w:val="32"/>
          <w:lang w:val="en-US"/>
        </w:rPr>
        <w:t>年度主要工作任务</w:t>
      </w:r>
    </w:p>
    <w:p>
      <w:pPr>
        <w:keepNext w:val="0"/>
        <w:keepLines w:val="0"/>
        <w:pageBreakBefore w:val="0"/>
        <w:widowControl w:val="0"/>
        <w:numPr>
          <w:ilvl w:val="0"/>
          <w:numId w:val="0"/>
        </w:numPr>
        <w:kinsoku/>
        <w:wordWrap/>
        <w:overflowPunct/>
        <w:topLinePunct w:val="0"/>
        <w:autoSpaceDE/>
        <w:autoSpaceDN/>
        <w:bidi w:val="0"/>
        <w:adjustRightInd/>
        <w:snapToGrid/>
        <w:ind w:left="630" w:leftChars="0"/>
        <w:jc w:val="both"/>
        <w:textAlignment w:val="auto"/>
        <w:rPr>
          <w:rFonts w:ascii="Times New Roman" w:eastAsia="仿宋_GB2312" w:hAnsi="Times New Roman" w:cs="仿宋_GB2312" w:hint="eastAsia"/>
          <w:b/>
          <w:bCs/>
          <w:sz w:val="32"/>
          <w:szCs w:val="32"/>
          <w:lang w:val="en-US"/>
        </w:rPr>
      </w:pPr>
      <w:r>
        <w:rPr>
          <w:rFonts w:ascii="Times New Roman" w:eastAsia="仿宋_GB2312" w:hAnsi="Times New Roman" w:cs="仿宋_GB2312" w:hint="eastAsia"/>
          <w:b/>
          <w:bCs/>
          <w:sz w:val="32"/>
          <w:szCs w:val="32"/>
          <w:lang w:val="en-US" w:eastAsia="zh-CN"/>
        </w:rPr>
        <w:t xml:space="preserve">第二部分 </w:t>
      </w:r>
      <w:r>
        <w:rPr>
          <w:rFonts w:ascii="Times New Roman" w:eastAsia="仿宋_GB2312" w:hAnsi="Times New Roman" w:cs="仿宋_GB2312" w:hint="default"/>
          <w:b/>
          <w:bCs/>
          <w:sz w:val="32"/>
          <w:szCs w:val="32"/>
        </w:rPr>
        <w:t>2024</w:t>
      </w:r>
      <w:r>
        <w:rPr>
          <w:rFonts w:ascii="Times New Roman" w:eastAsia="仿宋_GB2312" w:hAnsi="Times New Roman" w:cs="仿宋_GB2312" w:hint="eastAsia"/>
          <w:b/>
          <w:bCs/>
          <w:sz w:val="32"/>
          <w:szCs w:val="32"/>
          <w:lang w:val="en-US"/>
        </w:rPr>
        <w:t>年</w:t>
      </w:r>
      <w:r>
        <w:rPr>
          <w:rFonts w:ascii="Times New Roman" w:eastAsia="仿宋_GB2312" w:hAnsi="Times New Roman" w:cs="仿宋_GB2312" w:hint="default"/>
          <w:b/>
          <w:bCs/>
          <w:sz w:val="32"/>
          <w:szCs w:val="32"/>
        </w:rPr>
        <w:t>部门</w:t>
      </w:r>
      <w:r>
        <w:rPr>
          <w:rFonts w:ascii="Times New Roman" w:eastAsia="仿宋_GB2312" w:hAnsi="Times New Roman" w:cs="仿宋_GB2312" w:hint="eastAsia"/>
          <w:b/>
          <w:bCs/>
          <w:sz w:val="32"/>
          <w:szCs w:val="32"/>
          <w:lang w:val="en-US"/>
        </w:rPr>
        <w:t>预算表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eastAsia"/>
          <w:b w:val="0"/>
          <w:bCs w:val="0"/>
          <w:sz w:val="32"/>
          <w:szCs w:val="32"/>
          <w:lang w:val="en-US"/>
        </w:rPr>
      </w:pPr>
      <w:r>
        <w:rPr>
          <w:rFonts w:ascii="Times New Roman" w:eastAsia="仿宋_GB2312" w:hAnsi="Times New Roman" w:cs="仿宋_GB2312" w:hint="default"/>
          <w:b w:val="0"/>
          <w:bCs w:val="0"/>
          <w:sz w:val="32"/>
          <w:szCs w:val="32"/>
        </w:rPr>
        <w:t>1.铜陵市铜官区经济与信息化局2024</w:t>
      </w:r>
      <w:r>
        <w:rPr>
          <w:rFonts w:ascii="Times New Roman" w:eastAsia="仿宋_GB2312" w:hAnsi="Times New Roman" w:cs="仿宋_GB2312" w:hint="eastAsia"/>
          <w:b w:val="0"/>
          <w:bCs w:val="0"/>
          <w:sz w:val="32"/>
          <w:szCs w:val="32"/>
          <w:lang w:val="en-US"/>
        </w:rPr>
        <w:t>年收支总表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2.铜陵市铜官区经济与信息化局2024</w:t>
      </w:r>
      <w:r>
        <w:rPr>
          <w:rFonts w:ascii="Times New Roman" w:eastAsia="仿宋_GB2312" w:hAnsi="Times New Roman" w:cs="仿宋_GB2312" w:hint="eastAsia"/>
          <w:b w:val="0"/>
          <w:bCs w:val="0"/>
          <w:sz w:val="32"/>
          <w:szCs w:val="32"/>
          <w:lang w:val="en-US"/>
        </w:rPr>
        <w:t>年收入总表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3.铜陵市铜官区经济与信息化局2024</w:t>
      </w:r>
      <w:r>
        <w:rPr>
          <w:rFonts w:ascii="Times New Roman" w:eastAsia="仿宋_GB2312" w:hAnsi="Times New Roman" w:cs="仿宋_GB2312" w:hint="eastAsia"/>
          <w:b w:val="0"/>
          <w:bCs w:val="0"/>
          <w:sz w:val="32"/>
          <w:szCs w:val="32"/>
          <w:lang w:val="en-US"/>
        </w:rPr>
        <w:t>年支出总表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4.铜陵市铜官区经济与信息化局2024</w:t>
      </w:r>
      <w:r>
        <w:rPr>
          <w:rFonts w:ascii="Times New Roman" w:eastAsia="仿宋_GB2312" w:hAnsi="Times New Roman" w:cs="仿宋_GB2312" w:hint="eastAsia"/>
          <w:b w:val="0"/>
          <w:bCs w:val="0"/>
          <w:sz w:val="32"/>
          <w:szCs w:val="32"/>
          <w:lang w:val="en-US"/>
        </w:rPr>
        <w:t>年财政拨款收支总表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5.铜陵市铜官区经济与信息化局2024</w:t>
      </w:r>
      <w:r>
        <w:rPr>
          <w:rFonts w:ascii="Times New Roman" w:eastAsia="仿宋_GB2312" w:hAnsi="Times New Roman" w:cs="仿宋_GB2312" w:hint="eastAsia"/>
          <w:b w:val="0"/>
          <w:bCs w:val="0"/>
          <w:sz w:val="32"/>
          <w:szCs w:val="32"/>
          <w:lang w:val="en-US"/>
        </w:rPr>
        <w:t>年一般公共预算支出表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6.铜陵市铜官区经济与信息化局2024</w:t>
      </w:r>
      <w:r>
        <w:rPr>
          <w:rFonts w:ascii="Times New Roman" w:eastAsia="仿宋_GB2312" w:hAnsi="Times New Roman" w:cs="仿宋_GB2312" w:hint="eastAsia"/>
          <w:b w:val="0"/>
          <w:bCs w:val="0"/>
          <w:sz w:val="32"/>
          <w:szCs w:val="32"/>
          <w:lang w:val="en-US"/>
        </w:rPr>
        <w:t>年一般公共预算基本支出表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7.铜陵市铜官区经济与信息化局2024</w:t>
      </w:r>
      <w:r>
        <w:rPr>
          <w:rFonts w:ascii="Times New Roman" w:eastAsia="仿宋_GB2312" w:hAnsi="Times New Roman" w:cs="仿宋_GB2312" w:hint="eastAsia"/>
          <w:b w:val="0"/>
          <w:bCs w:val="0"/>
          <w:sz w:val="32"/>
          <w:szCs w:val="32"/>
          <w:lang w:val="en-US"/>
        </w:rPr>
        <w:t>年政府性基金预算支出表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8.铜陵市铜官区经济与信息化局2024</w:t>
      </w:r>
      <w:r>
        <w:rPr>
          <w:rFonts w:ascii="Times New Roman" w:eastAsia="仿宋_GB2312" w:hAnsi="Times New Roman" w:cs="仿宋_GB2312" w:hint="eastAsia"/>
          <w:b w:val="0"/>
          <w:bCs w:val="0"/>
          <w:sz w:val="32"/>
          <w:szCs w:val="32"/>
          <w:lang w:val="en-US"/>
        </w:rPr>
        <w:t>年国有资本经营预算支出表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9.铜陵市铜官区经济与信息化局2024</w:t>
      </w:r>
      <w:r>
        <w:rPr>
          <w:rFonts w:ascii="Times New Roman" w:eastAsia="仿宋_GB2312" w:hAnsi="Times New Roman" w:cs="仿宋_GB2312" w:hint="eastAsia"/>
          <w:b w:val="0"/>
          <w:bCs w:val="0"/>
          <w:sz w:val="32"/>
          <w:szCs w:val="32"/>
          <w:lang w:val="en-US"/>
        </w:rPr>
        <w:t>年项目支出表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10.铜陵市铜官区经济与信息化局2024</w:t>
      </w:r>
      <w:r>
        <w:rPr>
          <w:rFonts w:ascii="Times New Roman" w:eastAsia="仿宋_GB2312" w:hAnsi="Times New Roman" w:cs="仿宋_GB2312" w:hint="eastAsia"/>
          <w:b w:val="0"/>
          <w:bCs w:val="0"/>
          <w:sz w:val="32"/>
          <w:szCs w:val="32"/>
          <w:lang w:val="en-US"/>
        </w:rPr>
        <w:t>年政府采购支出表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11.铜陵市铜官区经济与信息化局2024</w:t>
      </w:r>
      <w:r>
        <w:rPr>
          <w:rFonts w:ascii="Times New Roman" w:eastAsia="仿宋_GB2312" w:hAnsi="Times New Roman" w:cs="仿宋_GB2312" w:hint="eastAsia"/>
          <w:b w:val="0"/>
          <w:bCs w:val="0"/>
          <w:sz w:val="32"/>
          <w:szCs w:val="32"/>
          <w:lang w:val="en-US"/>
        </w:rPr>
        <w:t>年政府购买服务支出表</w:t>
      </w:r>
    </w:p>
    <w:p>
      <w:pPr>
        <w:keepNext w:val="0"/>
        <w:keepLines w:val="0"/>
        <w:pageBreakBefore w:val="0"/>
        <w:widowControl w:val="0"/>
        <w:numPr>
          <w:ilvl w:val="0"/>
          <w:numId w:val="0"/>
        </w:numPr>
        <w:kinsoku/>
        <w:wordWrap/>
        <w:overflowPunct/>
        <w:topLinePunct w:val="0"/>
        <w:autoSpaceDE/>
        <w:autoSpaceDN/>
        <w:bidi w:val="0"/>
        <w:adjustRightInd/>
        <w:snapToGrid/>
        <w:ind w:left="630" w:leftChars="0"/>
        <w:jc w:val="both"/>
        <w:textAlignment w:val="auto"/>
        <w:rPr>
          <w:rFonts w:ascii="Times New Roman" w:eastAsia="仿宋_GB2312" w:hAnsi="Times New Roman" w:cs="仿宋_GB2312" w:hint="eastAsia"/>
          <w:b/>
          <w:bCs/>
          <w:sz w:val="32"/>
          <w:szCs w:val="32"/>
          <w:lang w:val="en-US"/>
        </w:rPr>
      </w:pPr>
      <w:r>
        <w:rPr>
          <w:rFonts w:ascii="Times New Roman" w:eastAsia="仿宋_GB2312" w:hAnsi="Times New Roman" w:cs="仿宋_GB2312" w:hint="eastAsia"/>
          <w:b/>
          <w:bCs/>
          <w:sz w:val="32"/>
          <w:szCs w:val="32"/>
          <w:lang w:val="en-US" w:eastAsia="zh-CN"/>
        </w:rPr>
        <w:t xml:space="preserve">第三部分 </w:t>
      </w:r>
      <w:r>
        <w:rPr>
          <w:rFonts w:ascii="Times New Roman" w:eastAsia="仿宋_GB2312" w:hAnsi="Times New Roman" w:cs="仿宋_GB2312" w:hint="default"/>
          <w:b/>
          <w:bCs/>
          <w:sz w:val="32"/>
          <w:szCs w:val="32"/>
        </w:rPr>
        <w:t>2024</w:t>
      </w:r>
      <w:r>
        <w:rPr>
          <w:rFonts w:ascii="Times New Roman" w:eastAsia="仿宋_GB2312" w:hAnsi="Times New Roman" w:cs="仿宋_GB2312" w:hint="eastAsia"/>
          <w:b/>
          <w:bCs/>
          <w:sz w:val="32"/>
          <w:szCs w:val="32"/>
          <w:lang w:val="en-US"/>
        </w:rPr>
        <w:t>年</w:t>
      </w:r>
      <w:r>
        <w:rPr>
          <w:rFonts w:ascii="Times New Roman" w:eastAsia="仿宋_GB2312" w:hAnsi="Times New Roman" w:cs="仿宋_GB2312" w:hint="default"/>
          <w:b/>
          <w:bCs/>
          <w:sz w:val="32"/>
          <w:szCs w:val="32"/>
        </w:rPr>
        <w:t>部门</w:t>
      </w:r>
      <w:r>
        <w:rPr>
          <w:rFonts w:ascii="Times New Roman" w:eastAsia="仿宋_GB2312" w:hAnsi="Times New Roman" w:cs="仿宋_GB2312" w:hint="eastAsia"/>
          <w:b/>
          <w:bCs/>
          <w:sz w:val="32"/>
          <w:szCs w:val="32"/>
          <w:lang w:val="en-US"/>
        </w:rPr>
        <w:t>预算情况说明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eastAsia"/>
          <w:b w:val="0"/>
          <w:bCs w:val="0"/>
          <w:sz w:val="32"/>
          <w:szCs w:val="32"/>
          <w:lang w:val="en-US"/>
        </w:rPr>
      </w:pPr>
      <w:r>
        <w:rPr>
          <w:rFonts w:ascii="Times New Roman" w:eastAsia="仿宋_GB2312" w:hAnsi="Times New Roman" w:cs="仿宋_GB2312" w:hint="default"/>
          <w:b w:val="0"/>
          <w:bCs w:val="0"/>
          <w:sz w:val="32"/>
          <w:szCs w:val="32"/>
        </w:rPr>
        <w:t>1.</w:t>
      </w:r>
      <w:r>
        <w:rPr>
          <w:rFonts w:ascii="Times New Roman" w:eastAsia="仿宋_GB2312" w:hAnsi="Times New Roman" w:cs="仿宋_GB2312" w:hint="eastAsia"/>
          <w:b w:val="0"/>
          <w:bCs w:val="0"/>
          <w:sz w:val="32"/>
          <w:szCs w:val="32"/>
          <w:lang w:val="en-US"/>
        </w:rPr>
        <w:t>关于</w:t>
      </w:r>
      <w:r>
        <w:rPr>
          <w:rFonts w:ascii="Times New Roman" w:eastAsia="仿宋_GB2312" w:hAnsi="Times New Roman" w:cs="仿宋_GB2312" w:hint="default"/>
          <w:b w:val="0"/>
          <w:bCs w:val="0"/>
          <w:sz w:val="32"/>
          <w:szCs w:val="32"/>
        </w:rPr>
        <w:t>2024</w:t>
      </w:r>
      <w:r>
        <w:rPr>
          <w:rFonts w:ascii="Times New Roman" w:eastAsia="仿宋_GB2312" w:hAnsi="Times New Roman" w:cs="仿宋_GB2312" w:hint="eastAsia"/>
          <w:b w:val="0"/>
          <w:bCs w:val="0"/>
          <w:sz w:val="32"/>
          <w:szCs w:val="32"/>
          <w:lang w:val="en-US"/>
        </w:rPr>
        <w:t>年收支总表的说明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2.</w:t>
      </w:r>
      <w:r>
        <w:rPr>
          <w:rFonts w:ascii="Times New Roman" w:eastAsia="仿宋_GB2312" w:hAnsi="Times New Roman" w:cs="仿宋_GB2312" w:hint="eastAsia"/>
          <w:b w:val="0"/>
          <w:bCs w:val="0"/>
          <w:sz w:val="32"/>
          <w:szCs w:val="32"/>
          <w:lang w:val="en-US"/>
        </w:rPr>
        <w:t>关于</w:t>
      </w:r>
      <w:r>
        <w:rPr>
          <w:rFonts w:ascii="Times New Roman" w:eastAsia="仿宋_GB2312" w:hAnsi="Times New Roman" w:cs="仿宋_GB2312" w:hint="default"/>
          <w:b w:val="0"/>
          <w:bCs w:val="0"/>
          <w:sz w:val="32"/>
          <w:szCs w:val="32"/>
        </w:rPr>
        <w:t>2024</w:t>
      </w:r>
      <w:r>
        <w:rPr>
          <w:rFonts w:ascii="Times New Roman" w:eastAsia="仿宋_GB2312" w:hAnsi="Times New Roman" w:cs="仿宋_GB2312" w:hint="eastAsia"/>
          <w:b w:val="0"/>
          <w:bCs w:val="0"/>
          <w:sz w:val="32"/>
          <w:szCs w:val="32"/>
          <w:lang w:val="en-US"/>
        </w:rPr>
        <w:t>年收入总表的说明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3.</w:t>
      </w:r>
      <w:r>
        <w:rPr>
          <w:rFonts w:ascii="Times New Roman" w:eastAsia="仿宋_GB2312" w:hAnsi="Times New Roman" w:cs="仿宋_GB2312" w:hint="eastAsia"/>
          <w:b w:val="0"/>
          <w:bCs w:val="0"/>
          <w:sz w:val="32"/>
          <w:szCs w:val="32"/>
          <w:lang w:val="en-US"/>
        </w:rPr>
        <w:t>关于</w:t>
      </w:r>
      <w:r>
        <w:rPr>
          <w:rFonts w:ascii="Times New Roman" w:eastAsia="仿宋_GB2312" w:hAnsi="Times New Roman" w:cs="仿宋_GB2312" w:hint="default"/>
          <w:b w:val="0"/>
          <w:bCs w:val="0"/>
          <w:sz w:val="32"/>
          <w:szCs w:val="32"/>
        </w:rPr>
        <w:t>2024</w:t>
      </w:r>
      <w:r>
        <w:rPr>
          <w:rFonts w:ascii="Times New Roman" w:eastAsia="仿宋_GB2312" w:hAnsi="Times New Roman" w:cs="仿宋_GB2312" w:hint="eastAsia"/>
          <w:b w:val="0"/>
          <w:bCs w:val="0"/>
          <w:sz w:val="32"/>
          <w:szCs w:val="32"/>
          <w:lang w:val="en-US"/>
        </w:rPr>
        <w:t>年支出总表的说明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4.</w:t>
      </w:r>
      <w:r>
        <w:rPr>
          <w:rFonts w:ascii="Times New Roman" w:eastAsia="仿宋_GB2312" w:hAnsi="Times New Roman" w:cs="仿宋_GB2312" w:hint="eastAsia"/>
          <w:b w:val="0"/>
          <w:bCs w:val="0"/>
          <w:sz w:val="32"/>
          <w:szCs w:val="32"/>
          <w:lang w:val="en-US"/>
        </w:rPr>
        <w:t>关于</w:t>
      </w:r>
      <w:r>
        <w:rPr>
          <w:rFonts w:ascii="Times New Roman" w:eastAsia="仿宋_GB2312" w:hAnsi="Times New Roman" w:cs="仿宋_GB2312" w:hint="default"/>
          <w:b w:val="0"/>
          <w:bCs w:val="0"/>
          <w:sz w:val="32"/>
          <w:szCs w:val="32"/>
        </w:rPr>
        <w:t>2024</w:t>
      </w:r>
      <w:r>
        <w:rPr>
          <w:rFonts w:ascii="Times New Roman" w:eastAsia="仿宋_GB2312" w:hAnsi="Times New Roman" w:cs="仿宋_GB2312" w:hint="eastAsia"/>
          <w:b w:val="0"/>
          <w:bCs w:val="0"/>
          <w:sz w:val="32"/>
          <w:szCs w:val="32"/>
          <w:lang w:val="en-US"/>
        </w:rPr>
        <w:t>年财政拨款收支总表的说明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5.</w:t>
      </w:r>
      <w:r>
        <w:rPr>
          <w:rFonts w:ascii="Times New Roman" w:eastAsia="仿宋_GB2312" w:hAnsi="Times New Roman" w:cs="仿宋_GB2312" w:hint="eastAsia"/>
          <w:b w:val="0"/>
          <w:bCs w:val="0"/>
          <w:sz w:val="32"/>
          <w:szCs w:val="32"/>
          <w:lang w:val="en-US"/>
        </w:rPr>
        <w:t>关于</w:t>
      </w:r>
      <w:r>
        <w:rPr>
          <w:rFonts w:ascii="Times New Roman" w:eastAsia="仿宋_GB2312" w:hAnsi="Times New Roman" w:cs="仿宋_GB2312" w:hint="default"/>
          <w:b w:val="0"/>
          <w:bCs w:val="0"/>
          <w:sz w:val="32"/>
          <w:szCs w:val="32"/>
        </w:rPr>
        <w:t>2024</w:t>
      </w:r>
      <w:r>
        <w:rPr>
          <w:rFonts w:ascii="Times New Roman" w:eastAsia="仿宋_GB2312" w:hAnsi="Times New Roman" w:cs="仿宋_GB2312" w:hint="eastAsia"/>
          <w:b w:val="0"/>
          <w:bCs w:val="0"/>
          <w:sz w:val="32"/>
          <w:szCs w:val="32"/>
          <w:lang w:val="en-US"/>
        </w:rPr>
        <w:t>年一般公共预算支出表的说明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6.</w:t>
      </w:r>
      <w:r>
        <w:rPr>
          <w:rFonts w:ascii="Times New Roman" w:eastAsia="仿宋_GB2312" w:hAnsi="Times New Roman" w:cs="仿宋_GB2312" w:hint="eastAsia"/>
          <w:b w:val="0"/>
          <w:bCs w:val="0"/>
          <w:sz w:val="32"/>
          <w:szCs w:val="32"/>
          <w:lang w:val="en-US"/>
        </w:rPr>
        <w:t>关于</w:t>
      </w:r>
      <w:r>
        <w:rPr>
          <w:rFonts w:ascii="Times New Roman" w:eastAsia="仿宋_GB2312" w:hAnsi="Times New Roman" w:cs="仿宋_GB2312" w:hint="default"/>
          <w:b w:val="0"/>
          <w:bCs w:val="0"/>
          <w:sz w:val="32"/>
          <w:szCs w:val="32"/>
        </w:rPr>
        <w:t>2024</w:t>
      </w:r>
      <w:r>
        <w:rPr>
          <w:rFonts w:ascii="Times New Roman" w:eastAsia="仿宋_GB2312" w:hAnsi="Times New Roman" w:cs="仿宋_GB2312" w:hint="eastAsia"/>
          <w:b w:val="0"/>
          <w:bCs w:val="0"/>
          <w:sz w:val="32"/>
          <w:szCs w:val="32"/>
          <w:lang w:val="en-US"/>
        </w:rPr>
        <w:t>年一般公共预算基本支出表的说明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7.</w:t>
      </w:r>
      <w:r>
        <w:rPr>
          <w:rFonts w:ascii="Times New Roman" w:eastAsia="仿宋_GB2312" w:hAnsi="Times New Roman" w:cs="仿宋_GB2312" w:hint="eastAsia"/>
          <w:b w:val="0"/>
          <w:bCs w:val="0"/>
          <w:sz w:val="32"/>
          <w:szCs w:val="32"/>
          <w:lang w:val="en-US"/>
        </w:rPr>
        <w:t>关于</w:t>
      </w:r>
      <w:r>
        <w:rPr>
          <w:rFonts w:ascii="Times New Roman" w:eastAsia="仿宋_GB2312" w:hAnsi="Times New Roman" w:cs="仿宋_GB2312" w:hint="default"/>
          <w:b w:val="0"/>
          <w:bCs w:val="0"/>
          <w:sz w:val="32"/>
          <w:szCs w:val="32"/>
        </w:rPr>
        <w:t>2024</w:t>
      </w:r>
      <w:r>
        <w:rPr>
          <w:rFonts w:ascii="Times New Roman" w:eastAsia="仿宋_GB2312" w:hAnsi="Times New Roman" w:cs="仿宋_GB2312" w:hint="eastAsia"/>
          <w:b w:val="0"/>
          <w:bCs w:val="0"/>
          <w:sz w:val="32"/>
          <w:szCs w:val="32"/>
          <w:lang w:val="en-US"/>
        </w:rPr>
        <w:t>年政府性基金预算支出表的说明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8.</w:t>
      </w:r>
      <w:r>
        <w:rPr>
          <w:rFonts w:ascii="Times New Roman" w:eastAsia="仿宋_GB2312" w:hAnsi="Times New Roman" w:cs="仿宋_GB2312" w:hint="eastAsia"/>
          <w:b w:val="0"/>
          <w:bCs w:val="0"/>
          <w:sz w:val="32"/>
          <w:szCs w:val="32"/>
          <w:lang w:val="en-US"/>
        </w:rPr>
        <w:t>关于</w:t>
      </w:r>
      <w:r>
        <w:rPr>
          <w:rFonts w:ascii="Times New Roman" w:eastAsia="仿宋_GB2312" w:hAnsi="Times New Roman" w:cs="仿宋_GB2312" w:hint="default"/>
          <w:b w:val="0"/>
          <w:bCs w:val="0"/>
          <w:sz w:val="32"/>
          <w:szCs w:val="32"/>
        </w:rPr>
        <w:t>2024</w:t>
      </w:r>
      <w:r>
        <w:rPr>
          <w:rFonts w:ascii="Times New Roman" w:eastAsia="仿宋_GB2312" w:hAnsi="Times New Roman" w:cs="仿宋_GB2312" w:hint="eastAsia"/>
          <w:b w:val="0"/>
          <w:bCs w:val="0"/>
          <w:sz w:val="32"/>
          <w:szCs w:val="32"/>
          <w:lang w:val="en-US"/>
        </w:rPr>
        <w:t>年国有资本经营预算支出表的说明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9.</w:t>
      </w:r>
      <w:r>
        <w:rPr>
          <w:rFonts w:ascii="Times New Roman" w:eastAsia="仿宋_GB2312" w:hAnsi="Times New Roman" w:cs="仿宋_GB2312" w:hint="eastAsia"/>
          <w:b w:val="0"/>
          <w:bCs w:val="0"/>
          <w:sz w:val="32"/>
          <w:szCs w:val="32"/>
          <w:lang w:val="en-US"/>
        </w:rPr>
        <w:t>关于</w:t>
      </w:r>
      <w:r>
        <w:rPr>
          <w:rFonts w:ascii="Times New Roman" w:eastAsia="仿宋_GB2312" w:hAnsi="Times New Roman" w:cs="仿宋_GB2312" w:hint="default"/>
          <w:b w:val="0"/>
          <w:bCs w:val="0"/>
          <w:sz w:val="32"/>
          <w:szCs w:val="32"/>
        </w:rPr>
        <w:t>2024</w:t>
      </w:r>
      <w:r>
        <w:rPr>
          <w:rFonts w:ascii="Times New Roman" w:eastAsia="仿宋_GB2312" w:hAnsi="Times New Roman" w:cs="仿宋_GB2312" w:hint="eastAsia"/>
          <w:b w:val="0"/>
          <w:bCs w:val="0"/>
          <w:sz w:val="32"/>
          <w:szCs w:val="32"/>
          <w:lang w:val="en-US"/>
        </w:rPr>
        <w:t>年项目支出表的说明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10.</w:t>
      </w:r>
      <w:r>
        <w:rPr>
          <w:rFonts w:ascii="Times New Roman" w:eastAsia="仿宋_GB2312" w:hAnsi="Times New Roman" w:cs="仿宋_GB2312" w:hint="eastAsia"/>
          <w:b w:val="0"/>
          <w:bCs w:val="0"/>
          <w:sz w:val="32"/>
          <w:szCs w:val="32"/>
          <w:lang w:val="en-US"/>
        </w:rPr>
        <w:t>关于</w:t>
      </w:r>
      <w:r>
        <w:rPr>
          <w:rFonts w:ascii="Times New Roman" w:eastAsia="仿宋_GB2312" w:hAnsi="Times New Roman" w:cs="仿宋_GB2312" w:hint="default"/>
          <w:b w:val="0"/>
          <w:bCs w:val="0"/>
          <w:sz w:val="32"/>
          <w:szCs w:val="32"/>
        </w:rPr>
        <w:t>2024</w:t>
      </w:r>
      <w:r>
        <w:rPr>
          <w:rFonts w:ascii="Times New Roman" w:eastAsia="仿宋_GB2312" w:hAnsi="Times New Roman" w:cs="仿宋_GB2312" w:hint="eastAsia"/>
          <w:b w:val="0"/>
          <w:bCs w:val="0"/>
          <w:sz w:val="32"/>
          <w:szCs w:val="32"/>
          <w:lang w:val="en-US"/>
        </w:rPr>
        <w:t>年政府采购支出表的说明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11.</w:t>
      </w:r>
      <w:r>
        <w:rPr>
          <w:rFonts w:ascii="Times New Roman" w:eastAsia="仿宋_GB2312" w:hAnsi="Times New Roman" w:cs="仿宋_GB2312" w:hint="eastAsia"/>
          <w:b w:val="0"/>
          <w:bCs w:val="0"/>
          <w:sz w:val="32"/>
          <w:szCs w:val="32"/>
          <w:lang w:val="en-US"/>
        </w:rPr>
        <w:t>关于</w:t>
      </w:r>
      <w:r>
        <w:rPr>
          <w:rFonts w:ascii="Times New Roman" w:eastAsia="仿宋_GB2312" w:hAnsi="Times New Roman" w:cs="仿宋_GB2312" w:hint="default"/>
          <w:b w:val="0"/>
          <w:bCs w:val="0"/>
          <w:sz w:val="32"/>
          <w:szCs w:val="32"/>
        </w:rPr>
        <w:t>2024</w:t>
      </w:r>
      <w:r>
        <w:rPr>
          <w:rFonts w:ascii="Times New Roman" w:eastAsia="仿宋_GB2312" w:hAnsi="Times New Roman" w:cs="仿宋_GB2312" w:hint="eastAsia"/>
          <w:b w:val="0"/>
          <w:bCs w:val="0"/>
          <w:sz w:val="32"/>
          <w:szCs w:val="32"/>
          <w:lang w:val="en-US"/>
        </w:rPr>
        <w:t>年政府购买服务支出表的说明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lang w:val="en-US"/>
        </w:rPr>
      </w:pPr>
      <w:r>
        <w:rPr>
          <w:rFonts w:ascii="Times New Roman" w:eastAsia="仿宋_GB2312" w:hAnsi="Times New Roman" w:cs="仿宋_GB2312" w:hint="default"/>
          <w:b w:val="0"/>
          <w:bCs w:val="0"/>
          <w:sz w:val="32"/>
          <w:szCs w:val="32"/>
        </w:rPr>
        <w:t>12.</w:t>
      </w:r>
      <w:r>
        <w:rPr>
          <w:rFonts w:ascii="Times New Roman" w:eastAsia="仿宋_GB2312" w:hAnsi="Times New Roman" w:cs="仿宋_GB2312" w:hint="eastAsia"/>
          <w:b w:val="0"/>
          <w:bCs w:val="0"/>
          <w:sz w:val="32"/>
          <w:szCs w:val="32"/>
          <w:lang w:val="en-US"/>
        </w:rPr>
        <w:t>其他重要事项情况说明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bCs/>
          <w:sz w:val="32"/>
          <w:szCs w:val="32"/>
          <w:lang w:val="en-US"/>
        </w:rPr>
        <w:sectPr>
          <w:pgSz w:w="11906" w:h="16838"/>
          <w:pgMar w:top="1440" w:right="1800" w:bottom="1440" w:left="1800" w:header="851" w:footer="992" w:gutter="0"/>
          <w:cols w:num="1" w:space="425"/>
          <w:docGrid w:type="lines" w:linePitch="312" w:charSpace="0"/>
        </w:sectPr>
      </w:pPr>
      <w:r>
        <w:rPr>
          <w:rFonts w:ascii="Times New Roman" w:eastAsia="仿宋_GB2312" w:hAnsi="Times New Roman" w:cs="仿宋_GB2312" w:hint="eastAsia"/>
          <w:b/>
          <w:bCs/>
          <w:sz w:val="32"/>
          <w:szCs w:val="32"/>
          <w:lang w:val="en-US"/>
        </w:rPr>
        <w:t>第四部分</w:t>
      </w:r>
      <w:r>
        <w:rPr>
          <w:rFonts w:ascii="Times New Roman" w:eastAsia="仿宋_GB2312" w:hAnsi="Times New Roman" w:cs="仿宋_GB2312" w:hint="default"/>
          <w:b/>
          <w:bCs/>
          <w:sz w:val="32"/>
          <w:szCs w:val="32"/>
        </w:rPr>
        <w:t xml:space="preserve"> </w:t>
      </w:r>
      <w:r>
        <w:rPr>
          <w:rFonts w:ascii="Times New Roman" w:eastAsia="仿宋_GB2312" w:hAnsi="Times New Roman" w:cs="仿宋_GB2312" w:hint="eastAsia"/>
          <w:b/>
          <w:bCs/>
          <w:sz w:val="32"/>
          <w:szCs w:val="32"/>
          <w:lang w:val="en-US"/>
        </w:rPr>
        <w:t>名词解释</w:t>
      </w:r>
    </w:p>
    <w:p>
      <w:pPr>
        <w:keepNext w:val="0"/>
        <w:keepLines w:val="0"/>
        <w:pageBreakBefore w:val="0"/>
        <w:widowControl w:val="0"/>
        <w:numPr>
          <w:ilvl w:val="0"/>
          <w:numId w:val="0"/>
        </w:numPr>
        <w:kinsoku/>
        <w:wordWrap/>
        <w:overflowPunct/>
        <w:topLinePunct w:val="0"/>
        <w:autoSpaceDE/>
        <w:autoSpaceDN/>
        <w:bidi w:val="0"/>
        <w:adjustRightInd/>
        <w:snapToGrid/>
        <w:spacing w:after="312" w:afterLines="100"/>
        <w:jc w:val="center"/>
        <w:textAlignment w:val="auto"/>
        <w:rPr>
          <w:rFonts w:ascii="Times New Roman" w:eastAsia="方正小标宋简体" w:hAnsi="Times New Roman" w:cs="方正小标宋简体" w:hint="eastAsia"/>
          <w:bCs/>
          <w:color w:val="000000"/>
          <w:sz w:val="40"/>
          <w:szCs w:val="40"/>
          <w:lang w:val="en-US"/>
        </w:rPr>
      </w:pPr>
      <w:r>
        <w:rPr>
          <w:rFonts w:ascii="Times New Roman" w:eastAsia="黑体" w:hAnsi="Times New Roman" w:cs="黑体" w:hint="eastAsia"/>
          <w:bCs/>
          <w:color w:val="000000"/>
          <w:sz w:val="40"/>
          <w:szCs w:val="40"/>
          <w:lang w:val="en-US"/>
        </w:rPr>
        <w:t>第一部分</w:t>
      </w:r>
      <w:r>
        <w:rPr>
          <w:rFonts w:ascii="Times New Roman" w:eastAsia="黑体" w:hAnsi="Times New Roman" w:cs="黑体" w:hint="eastAsia"/>
          <w:bCs/>
          <w:color w:val="000000"/>
          <w:sz w:val="40"/>
          <w:szCs w:val="40"/>
        </w:rPr>
        <w:t xml:space="preserve"> 部门</w:t>
      </w:r>
      <w:r>
        <w:rPr>
          <w:rFonts w:ascii="Times New Roman" w:eastAsia="黑体" w:hAnsi="Times New Roman" w:cs="黑体" w:hint="eastAsia"/>
          <w:bCs/>
          <w:color w:val="000000"/>
          <w:sz w:val="40"/>
          <w:szCs w:val="40"/>
        </w:rPr>
        <w:t>概况</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黑体" w:hAnsi="Times New Roman" w:cs="黑体" w:hint="eastAsia"/>
          <w:b w:val="0"/>
          <w:bCs w:val="0"/>
          <w:sz w:val="32"/>
          <w:szCs w:val="32"/>
          <w:lang w:val="en-US"/>
        </w:rPr>
      </w:pPr>
      <w:r>
        <w:rPr>
          <w:rFonts w:ascii="Times New Roman" w:eastAsia="黑体" w:hAnsi="Times New Roman" w:cs="黑体" w:hint="eastAsia"/>
          <w:b w:val="0"/>
          <w:bCs w:val="0"/>
          <w:sz w:val="32"/>
          <w:szCs w:val="32"/>
          <w:lang w:val="en-US" w:eastAsia="zh-CN"/>
        </w:rPr>
        <w:t>一、</w:t>
      </w:r>
      <w:r>
        <w:rPr>
          <w:rFonts w:ascii="Times New Roman" w:eastAsia="黑体" w:hAnsi="Times New Roman" w:cs="黑体" w:hint="eastAsia"/>
          <w:b w:val="0"/>
          <w:bCs w:val="0"/>
          <w:sz w:val="32"/>
          <w:szCs w:val="32"/>
          <w:lang w:val="en-US"/>
        </w:rPr>
        <w:t>主要职责</w:t>
      </w:r>
    </w:p>
    <w:p>
      <w:pPr>
        <w:jc w:val="both"/>
      </w:pPr>
      <w:r>
        <w:rPr>
          <w:rFonts w:ascii="Times New Roman" w:eastAsia="仿宋_GB2312" w:hAnsi="Times New Roman"/>
          <w:b w:val="0"/>
          <w:sz w:val="32"/>
        </w:rPr>
        <w:t>　　（一）贯彻执行国家、省和市有关工业和信息化工作的方针政策、法律法规。研究提出我区新型工业化发展和制造强区的战略、政策。组织编制、实施全区工业经济发展的中长期规划、专项规划和年度计划。组织实施工业发展目标任务完成情况的考核综合评价。协调解决产业结构战略性调整和优化升级、信息化和工业化融合等进程中的问题，加快现代产业体系建设。做好本部门行政审批相关工作。</w:t>
      </w:r>
    </w:p>
    <w:p>
      <w:pPr>
        <w:jc w:val="both"/>
      </w:pPr>
      <w:r>
        <w:rPr>
          <w:rFonts w:ascii="Times New Roman" w:eastAsia="仿宋_GB2312" w:hAnsi="Times New Roman"/>
          <w:b w:val="0"/>
          <w:sz w:val="32"/>
        </w:rPr>
        <w:t>　　    （二）监测、分析全区工业经济运行态势，加强预测预警、信息引导，调节工业经济日常运行。承担工业企业综合服务工作，健全完善服务工业企业工作体系和服务网络，协调解决经济运行中的问题并提出建议。指导监督相关行业领域加强安全生产管理和国防动员有关工作。</w:t>
      </w:r>
    </w:p>
    <w:p>
      <w:pPr>
        <w:jc w:val="both"/>
      </w:pPr>
      <w:r>
        <w:rPr>
          <w:rFonts w:ascii="Times New Roman" w:eastAsia="仿宋_GB2312" w:hAnsi="Times New Roman"/>
          <w:b w:val="0"/>
          <w:sz w:val="32"/>
        </w:rPr>
        <w:t>　　（三）制定并组织实施工业行业的规划和产业政策，提出优化产业布局、结构调整和淘汰落后产能的政策建议。组织实施行业技术规范与行业标准，推进工业领域淘汰落后产能。管理和指导相关行业协会工作。指导和推进特色工业园区发展，组织培育区域和行业品牌。</w:t>
      </w:r>
    </w:p>
    <w:p>
      <w:pPr>
        <w:jc w:val="both"/>
      </w:pPr>
      <w:r>
        <w:rPr>
          <w:rFonts w:ascii="Times New Roman" w:eastAsia="仿宋_GB2312" w:hAnsi="Times New Roman"/>
          <w:b w:val="0"/>
          <w:sz w:val="32"/>
        </w:rPr>
        <w:t>　　（四）负责全区工业固定资产和企业技术改造投资管理工作。按照规定权限，负责管理工业领域企业技术改造投资项目，并对重点项目进行监管和督查。</w:t>
      </w:r>
    </w:p>
    <w:p>
      <w:pPr>
        <w:jc w:val="both"/>
      </w:pPr>
      <w:r>
        <w:rPr>
          <w:rFonts w:ascii="Times New Roman" w:eastAsia="仿宋_GB2312" w:hAnsi="Times New Roman"/>
          <w:b w:val="0"/>
          <w:sz w:val="32"/>
        </w:rPr>
        <w:t>　　（五）指导工业企业技术创新和技术进步，提出相关政策，推进企业技术创新体系和能力建设，培育企业技术中心、制造业创新中心和工业设计中心。实施工业强基工程,推进产学研结合和企业技术创新成果转化应用。协调工业领域军民融合产业发展。指导工业企业质量管理和企业品牌战略推进，按照分工管理工业领域的标准化工作，配合开展工业领域质量管理工作。</w:t>
      </w:r>
    </w:p>
    <w:p>
      <w:pPr>
        <w:jc w:val="both"/>
      </w:pPr>
      <w:r>
        <w:rPr>
          <w:rFonts w:ascii="Times New Roman" w:eastAsia="仿宋_GB2312" w:hAnsi="Times New Roman"/>
          <w:b w:val="0"/>
          <w:sz w:val="32"/>
        </w:rPr>
        <w:t>　　（六）负责全区工业节能管理工作。承担全区工业节能目标任务分解落实和考核工作职责。指导和协调工业绿色发展，推进工业循环经济、清洁生产，培育和发展节能环保等新兴产业。组织协调工业节能与综合利用示范项目和新产品、新技术、新设备、新材料的推广应用。</w:t>
      </w:r>
    </w:p>
    <w:p>
      <w:pPr>
        <w:jc w:val="both"/>
      </w:pPr>
      <w:r>
        <w:rPr>
          <w:rFonts w:ascii="Times New Roman" w:eastAsia="仿宋_GB2312" w:hAnsi="Times New Roman"/>
          <w:b w:val="0"/>
          <w:sz w:val="32"/>
        </w:rPr>
        <w:t>　　（七）负责指导和服务中小企业发展，会同有关部门拟订促进中小企业“专精特新”发展的政策措施，加快特色产业集群（基地）建设，协调解决重大问题。指导中小企业公共服务平台，促进中小企业创业创新发展。指导全区企业经营管理人才队伍建设。</w:t>
      </w:r>
    </w:p>
    <w:p>
      <w:pPr>
        <w:jc w:val="both"/>
      </w:pPr>
      <w:r>
        <w:rPr>
          <w:rFonts w:ascii="Times New Roman" w:eastAsia="仿宋_GB2312" w:hAnsi="Times New Roman"/>
          <w:b w:val="0"/>
          <w:sz w:val="32"/>
        </w:rPr>
        <w:t>　　（八）开展对外产业交流合作，组织协调工业重要会展活动。指导协调工业招商引资和招才引智，指导工业企业市场拓展和合作交流，促进区域产业、企业的经济技术协作。</w:t>
      </w:r>
    </w:p>
    <w:p>
      <w:pPr>
        <w:jc w:val="both"/>
      </w:pPr>
      <w:r>
        <w:rPr>
          <w:rFonts w:ascii="Times New Roman" w:eastAsia="仿宋_GB2312" w:hAnsi="Times New Roman"/>
          <w:b w:val="0"/>
          <w:sz w:val="32"/>
        </w:rPr>
        <w:t>　　（九）负责非煤矿山行业管理工作。组织实施矿山行业发展规划、管理办法和准入条件。优化行业布局和产业结构，整顿和规范行业发展秩序，推进矿山合理开采和资源综合利用。负责民用爆炸物品生产、销售的安全监督管理。负责全区黄金行业发展的综合协调服务。</w:t>
      </w:r>
    </w:p>
    <w:p>
      <w:pPr>
        <w:jc w:val="both"/>
      </w:pPr>
      <w:r>
        <w:rPr>
          <w:rFonts w:ascii="Times New Roman" w:eastAsia="仿宋_GB2312" w:hAnsi="Times New Roman"/>
          <w:b w:val="0"/>
          <w:sz w:val="32"/>
        </w:rPr>
        <w:t>　　（十）统筹协调工业和信息化深度融合工作。研究拟订信息化和工业化融合发展战略，提出政策建议。指导推进工业数字化、智能化、网络化制造和应用。研究推进工业互联网发展，推进制造业数字化转型。</w:t>
      </w:r>
    </w:p>
    <w:p>
      <w:pPr>
        <w:jc w:val="both"/>
      </w:pPr>
      <w:r>
        <w:rPr>
          <w:rFonts w:ascii="Times New Roman" w:eastAsia="仿宋_GB2312" w:hAnsi="Times New Roman"/>
          <w:b w:val="0"/>
          <w:sz w:val="32"/>
        </w:rPr>
        <w:t>　　（十一）研究提出全区促进民营经济发展战略、发展规划、年度计划和政策措施。组织培育民营市场主体，帮助协调减轻民营企业负担，指导民营经济合理布局和结构调整，推动民营经济转型升级。组织开展民营经济对外合作与交流。指导民营企业相关协会工作。</w:t>
      </w:r>
    </w:p>
    <w:p>
      <w:pPr>
        <w:jc w:val="both"/>
      </w:pPr>
      <w:r>
        <w:rPr>
          <w:rFonts w:ascii="Times New Roman" w:eastAsia="仿宋_GB2312" w:hAnsi="Times New Roman"/>
          <w:b w:val="0"/>
          <w:sz w:val="32"/>
        </w:rPr>
        <w:t>　　（十二）贯彻落实省、市政府有关“四送一服”双千工程的部署要求，负责协调推进全区“四送一服”工作。负责受理影响民营经济和民营企业发展的各类投诉举报，并协调处理，维护企业合法权益。</w:t>
      </w:r>
    </w:p>
    <w:p>
      <w:pPr>
        <w:jc w:val="both"/>
      </w:pPr>
      <w:r>
        <w:rPr>
          <w:rFonts w:ascii="Times New Roman" w:eastAsia="仿宋_GB2312" w:hAnsi="Times New Roman"/>
          <w:b w:val="0"/>
          <w:sz w:val="32"/>
        </w:rPr>
        <w:t>　　（十三）主抓全区企业管理和改制服务工作。</w:t>
      </w:r>
    </w:p>
    <w:p>
      <w:pPr>
        <w:jc w:val="both"/>
      </w:pPr>
      <w:r>
        <w:rPr>
          <w:rFonts w:ascii="Times New Roman" w:eastAsia="仿宋_GB2312" w:hAnsi="Times New Roman"/>
          <w:b w:val="0"/>
          <w:sz w:val="32"/>
        </w:rPr>
        <w:t>　　（十四）负责本部门权力清单和责任清单的落实工作。</w:t>
      </w:r>
    </w:p>
    <w:p>
      <w:pPr>
        <w:jc w:val="both"/>
      </w:pPr>
      <w:r>
        <w:rPr>
          <w:rFonts w:ascii="Times New Roman" w:eastAsia="仿宋_GB2312" w:hAnsi="Times New Roman"/>
          <w:b w:val="0"/>
          <w:sz w:val="32"/>
        </w:rPr>
        <w:t>　　（十五）贯彻执行国家、省、市信息化工作的方针政策和法律法规;指导镇、办事处、社区、部门信息化工作。</w:t>
      </w:r>
    </w:p>
    <w:p>
      <w:pPr>
        <w:jc w:val="both"/>
      </w:pPr>
      <w:r>
        <w:rPr>
          <w:rFonts w:ascii="Times New Roman" w:eastAsia="仿宋_GB2312" w:hAnsi="Times New Roman"/>
          <w:b w:val="0"/>
          <w:sz w:val="32"/>
        </w:rPr>
        <w:t>　　（十六）完成区委、区政府和上级主管部门交办的其他任务。</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黑体" w:hAnsi="Times New Roman" w:cs="黑体" w:hint="eastAsia"/>
          <w:b w:val="0"/>
          <w:bCs w:val="0"/>
          <w:sz w:val="32"/>
          <w:szCs w:val="32"/>
          <w:lang w:val="en-US"/>
        </w:rPr>
      </w:pPr>
      <w:r>
        <w:rPr>
          <w:rFonts w:ascii="Times New Roman" w:eastAsia="黑体" w:hAnsi="Times New Roman" w:cs="黑体" w:hint="eastAsia"/>
          <w:b w:val="0"/>
          <w:bCs w:val="0"/>
          <w:sz w:val="32"/>
          <w:szCs w:val="32"/>
          <w:lang w:val="en-US" w:eastAsia="zh-CN"/>
        </w:rPr>
        <w:t>二、</w:t>
      </w:r>
      <w:r>
        <w:rPr>
          <w:rFonts w:ascii="Times New Roman" w:eastAsia="黑体" w:hAnsi="Times New Roman" w:cs="黑体" w:hint="eastAsia"/>
          <w:b w:val="0"/>
          <w:bCs w:val="0"/>
          <w:sz w:val="32"/>
          <w:szCs w:val="32"/>
        </w:rPr>
        <w:t>部门</w:t>
      </w:r>
      <w:r>
        <w:rPr>
          <w:rFonts w:ascii="Times New Roman" w:eastAsia="黑体" w:hAnsi="Times New Roman" w:cs="黑体" w:hint="eastAsia"/>
          <w:b w:val="0"/>
          <w:bCs w:val="0"/>
          <w:sz w:val="32"/>
          <w:szCs w:val="32"/>
          <w:lang w:val="en-US"/>
        </w:rPr>
        <w:t>预算构成</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w:eastAsia="仿宋_GB2312" w:hAnsi="Times New Roman" w:cs="仿宋_GB2312" w:hint="default"/>
          <w:b w:val="0"/>
          <w:bCs w:val="0"/>
          <w:sz w:val="32"/>
          <w:szCs w:val="32"/>
        </w:rPr>
      </w:pPr>
      <w:r>
        <w:rPr>
          <w:rFonts w:ascii="Times New Roman" w:eastAsia="仿宋_GB2312" w:hAnsi="Times New Roman" w:cs="仿宋_GB2312" w:hint="eastAsia"/>
          <w:b w:val="0"/>
          <w:bCs w:val="0"/>
          <w:sz w:val="32"/>
          <w:szCs w:val="32"/>
          <w:lang w:val="en-US"/>
        </w:rPr>
        <w:t>从预算单位构成看</w:t>
      </w:r>
      <w:r>
        <w:rPr>
          <w:rFonts w:ascii="Times New Roman" w:eastAsia="仿宋_GB2312" w:hAnsi="Times New Roman" w:cs="仿宋_GB2312" w:hint="default"/>
          <w:b w:val="0"/>
          <w:bCs w:val="0"/>
          <w:sz w:val="32"/>
          <w:szCs w:val="32"/>
        </w:rPr>
        <w:t>，铜陵市铜官区经济与信息化局2024</w:t>
      </w:r>
      <w:r>
        <w:rPr>
          <w:rFonts w:ascii="Times New Roman" w:eastAsia="仿宋_GB2312" w:hAnsi="Times New Roman" w:cs="仿宋_GB2312" w:hint="eastAsia"/>
          <w:b w:val="0"/>
          <w:bCs w:val="0"/>
          <w:sz w:val="32"/>
          <w:szCs w:val="32"/>
          <w:lang w:val="en-US"/>
        </w:rPr>
        <w:t>年度</w:t>
      </w:r>
      <w:r>
        <w:rPr>
          <w:rFonts w:ascii="Times New Roman" w:eastAsia="仿宋_GB2312" w:hAnsi="Times New Roman" w:cs="仿宋_GB2312" w:hint="default"/>
          <w:b w:val="0"/>
          <w:bCs w:val="0"/>
          <w:sz w:val="32"/>
          <w:szCs w:val="32"/>
        </w:rPr>
        <w:t>部门</w:t>
      </w:r>
      <w:r>
        <w:rPr>
          <w:rFonts w:ascii="Times New Roman" w:eastAsia="仿宋_GB2312" w:hAnsi="Times New Roman" w:cs="仿宋_GB2312" w:hint="eastAsia"/>
          <w:b w:val="0"/>
          <w:bCs w:val="0"/>
          <w:sz w:val="32"/>
          <w:szCs w:val="32"/>
          <w:lang w:val="en-US"/>
        </w:rPr>
        <w:t>预算</w:t>
      </w:r>
      <w:r>
        <w:rPr>
          <w:rFonts w:ascii="Times New Roman" w:eastAsia="仿宋_GB2312" w:hAnsi="Times New Roman" w:cs="仿宋_GB2312" w:hint="default"/>
          <w:b w:val="0"/>
          <w:bCs w:val="0"/>
          <w:sz w:val="32"/>
          <w:szCs w:val="32"/>
        </w:rPr>
        <w:t>仅包括本级预算，无其他下属单位预算。</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黑体" w:hAnsi="Times New Roman" w:cs="黑体" w:hint="eastAsia"/>
          <w:b w:val="0"/>
          <w:bCs w:val="0"/>
          <w:sz w:val="32"/>
          <w:szCs w:val="32"/>
          <w:lang w:val="en-US"/>
        </w:rPr>
      </w:pPr>
      <w:r>
        <w:rPr>
          <w:rFonts w:ascii="Times New Roman" w:eastAsia="黑体" w:hAnsi="Times New Roman" w:cs="黑体" w:hint="eastAsia"/>
          <w:b w:val="0"/>
          <w:bCs w:val="0"/>
          <w:sz w:val="32"/>
          <w:szCs w:val="32"/>
          <w:lang w:val="en-US" w:eastAsia="zh-CN"/>
        </w:rPr>
        <w:t>三、</w:t>
      </w:r>
      <w:r>
        <w:rPr>
          <w:rFonts w:ascii="Times New Roman" w:eastAsia="黑体" w:hAnsi="Times New Roman" w:cs="黑体" w:hint="default"/>
          <w:b w:val="0"/>
          <w:bCs w:val="0"/>
          <w:sz w:val="32"/>
          <w:szCs w:val="32"/>
        </w:rPr>
        <w:t>2024</w:t>
      </w:r>
      <w:r>
        <w:rPr>
          <w:rFonts w:ascii="Times New Roman" w:eastAsia="黑体" w:hAnsi="Times New Roman" w:cs="黑体" w:hint="eastAsia"/>
          <w:b w:val="0"/>
          <w:bCs w:val="0"/>
          <w:sz w:val="32"/>
          <w:szCs w:val="32"/>
          <w:lang w:val="en-US"/>
        </w:rPr>
        <w:t>年度主要工作任务</w:t>
      </w:r>
    </w:p>
    <w:p>
      <w:pPr>
        <w:jc w:val="both"/>
      </w:pPr>
      <w:r>
        <w:rPr>
          <w:rFonts w:ascii="Times New Roman" w:eastAsia="仿宋_GB2312" w:hAnsi="Times New Roman"/>
          <w:b w:val="0"/>
          <w:sz w:val="32"/>
        </w:rPr>
        <w:t>　　（一）开展工业经济运行调度，持续实施技术改造；</w:t>
      </w:r>
    </w:p>
    <w:p>
      <w:pPr>
        <w:jc w:val="both"/>
      </w:pPr>
      <w:r>
        <w:rPr>
          <w:rFonts w:ascii="Times New Roman" w:eastAsia="仿宋_GB2312" w:hAnsi="Times New Roman"/>
          <w:b w:val="0"/>
          <w:sz w:val="32"/>
        </w:rPr>
        <w:t>　　（二）推进供给侧结构性改革，持续开展为企服务工作；</w:t>
      </w:r>
    </w:p>
    <w:p>
      <w:pPr>
        <w:jc w:val="both"/>
      </w:pPr>
      <w:r>
        <w:rPr>
          <w:rFonts w:ascii="Times New Roman" w:eastAsia="仿宋_GB2312" w:hAnsi="Times New Roman"/>
          <w:b w:val="0"/>
          <w:sz w:val="32"/>
        </w:rPr>
        <w:t>　　（三）促进民营经济发展；</w:t>
      </w:r>
    </w:p>
    <w:p>
      <w:pPr>
        <w:jc w:val="both"/>
      </w:pPr>
      <w:r>
        <w:rPr>
          <w:rFonts w:ascii="Times New Roman" w:eastAsia="仿宋_GB2312" w:hAnsi="Times New Roman"/>
          <w:b w:val="0"/>
          <w:sz w:val="32"/>
        </w:rPr>
        <w:t>　　（四）深化企业两化融合，持续推进转型升级；</w:t>
      </w:r>
    </w:p>
    <w:p>
      <w:pPr>
        <w:jc w:val="both"/>
      </w:pPr>
      <w:r>
        <w:rPr>
          <w:rFonts w:ascii="Times New Roman" w:eastAsia="仿宋_GB2312" w:hAnsi="Times New Roman"/>
          <w:b w:val="0"/>
          <w:sz w:val="32"/>
        </w:rPr>
        <w:t>　　（五）加强非煤矿及民爆企业行业监管；</w:t>
      </w:r>
    </w:p>
    <w:p>
      <w:pPr>
        <w:jc w:val="both"/>
      </w:pPr>
      <w:r>
        <w:rPr>
          <w:rFonts w:ascii="Times New Roman" w:eastAsia="仿宋_GB2312" w:hAnsi="Times New Roman"/>
          <w:b w:val="0"/>
          <w:sz w:val="32"/>
        </w:rPr>
        <w:t>　　（六）改制企业信访维稳与遗留问题化解；</w:t>
      </w:r>
    </w:p>
    <w:p>
      <w:pPr>
        <w:jc w:val="both"/>
        <w:sectPr>
          <w:pgSz w:w="11906" w:h="16838"/>
          <w:pgMar w:top="1440" w:right="1800" w:bottom="1440" w:left="1800" w:header="851" w:footer="992" w:gutter="0"/>
          <w:cols w:num="1" w:space="425"/>
          <w:docGrid w:type="lines" w:linePitch="312" w:charSpace="0"/>
        </w:sectPr>
      </w:pPr>
      <w:r>
        <w:rPr>
          <w:rFonts w:ascii="Times New Roman" w:eastAsia="仿宋_GB2312" w:hAnsi="Times New Roman"/>
          <w:b w:val="0"/>
          <w:sz w:val="32"/>
        </w:rPr>
        <w:t>　　（七）产业链招商引资。</w:t>
      </w:r>
    </w:p>
    <w:p>
      <w:pPr>
        <w:numPr>
          <w:ilvl w:val="0"/>
          <w:numId w:val="0"/>
        </w:numPr>
        <w:jc w:val="center"/>
        <w:rPr>
          <w:rFonts w:ascii="Times New Roman" w:eastAsia="黑体" w:hAnsi="Times New Roman" w:cs="黑体" w:hint="eastAsia"/>
          <w:bCs/>
          <w:color w:val="000000"/>
          <w:sz w:val="40"/>
          <w:szCs w:val="40"/>
          <w:lang w:val="en-US"/>
        </w:rPr>
      </w:pPr>
      <w:r>
        <w:rPr>
          <w:rFonts w:ascii="Times New Roman" w:eastAsia="黑体" w:hAnsi="Times New Roman" w:cs="黑体" w:hint="eastAsia"/>
          <w:bCs/>
          <w:color w:val="000000"/>
          <w:sz w:val="40"/>
          <w:szCs w:val="40"/>
          <w:lang w:val="en-US" w:eastAsia="zh-CN"/>
        </w:rPr>
        <w:t xml:space="preserve">第二部分 </w:t>
      </w:r>
      <w:r>
        <w:rPr>
          <w:rFonts w:ascii="Times New Roman" w:eastAsia="黑体" w:hAnsi="Times New Roman" w:cs="黑体" w:hint="eastAsia"/>
          <w:bCs/>
          <w:color w:val="000000"/>
          <w:sz w:val="40"/>
          <w:szCs w:val="40"/>
        </w:rPr>
        <w:t>2024</w:t>
      </w:r>
      <w:r>
        <w:rPr>
          <w:rFonts w:ascii="Times New Roman" w:eastAsia="黑体" w:hAnsi="Times New Roman" w:cs="黑体" w:hint="eastAsia"/>
          <w:bCs/>
          <w:color w:val="000000"/>
          <w:sz w:val="40"/>
          <w:szCs w:val="40"/>
          <w:lang w:val="en-US"/>
        </w:rPr>
        <w:t>年</w:t>
      </w:r>
      <w:r>
        <w:rPr>
          <w:rFonts w:ascii="Times New Roman" w:eastAsia="黑体" w:hAnsi="Times New Roman" w:cs="黑体" w:hint="eastAsia"/>
          <w:bCs/>
          <w:color w:val="000000"/>
          <w:sz w:val="40"/>
          <w:szCs w:val="40"/>
        </w:rPr>
        <w:t>部门</w:t>
      </w:r>
      <w:r>
        <w:rPr>
          <w:rFonts w:ascii="Times New Roman" w:eastAsia="黑体" w:hAnsi="Times New Roman" w:cs="黑体" w:hint="eastAsia"/>
          <w:bCs/>
          <w:color w:val="000000"/>
          <w:sz w:val="40"/>
          <w:szCs w:val="40"/>
        </w:rPr>
        <w:t>预算</w:t>
      </w:r>
      <w:r>
        <w:rPr>
          <w:rFonts w:ascii="Times New Roman" w:eastAsia="黑体" w:hAnsi="Times New Roman" w:cs="黑体" w:hint="eastAsia"/>
          <w:bCs/>
          <w:color w:val="000000"/>
          <w:sz w:val="40"/>
          <w:szCs w:val="40"/>
          <w:lang w:val="en-US"/>
        </w:rPr>
        <w:t>表</w:t>
      </w:r>
    </w:p>
    <w:tbl>
      <w:tblPr>
        <w:tblStyle w:val="TableNormal"/>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ayout w:type="fixed"/>
        <w:tblCellMar>
          <w:top w:w="0" w:type="dxa"/>
          <w:left w:w="108" w:type="dxa"/>
          <w:bottom w:w="0" w:type="dxa"/>
          <w:right w:w="108" w:type="dxa"/>
        </w:tblCellMar>
      </w:tblPr>
      <w:tblGrid>
        <w:gridCol w:w="3767"/>
        <w:gridCol w:w="1326"/>
        <w:gridCol w:w="3792"/>
        <w:gridCol w:w="1083"/>
      </w:tblGrid>
      <w:tr>
        <w:tblPrEx>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ayout w:type="fixed"/>
          <w:tblCellMar>
            <w:top w:w="0" w:type="dxa"/>
            <w:left w:w="108" w:type="dxa"/>
            <w:bottom w:w="0" w:type="dxa"/>
            <w:right w:w="108" w:type="dxa"/>
          </w:tblCellMar>
        </w:tblPrEx>
        <w:trPr>
          <w:trHeight w:val="0"/>
          <w:jc w:val="center"/>
        </w:trPr>
        <w:tc>
          <w:tcPr>
            <w:tcW w:w="2555" w:type="pct"/>
            <w:gridSpan w:val="2"/>
            <w:tcBorders>
              <w:top w:val="nil"/>
              <w:left w:val="nil"/>
              <w:bottom w:val="nil"/>
              <w:right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444" w:type="pct"/>
            <w:gridSpan w:val="2"/>
            <w:tcBorders>
              <w:top w:val="nil"/>
              <w:left w:val="nil"/>
              <w:bottom w:val="nil"/>
              <w:right w:val="nil"/>
            </w:tcBorders>
            <w:shd w:val="clear" w:color="auto" w:fill="auto"/>
            <w:noWrap/>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bidi="ar"/>
              </w:rPr>
            </w:pPr>
            <w:r>
              <w:rPr>
                <w:rFonts w:ascii="Times New Roman" w:eastAsia="宋体" w:hAnsi="Times New Roman" w:cs="宋体" w:hint="eastAsia"/>
                <w:b w:val="0"/>
                <w:bCs w:val="0"/>
                <w:i w:val="0"/>
                <w:iCs w:val="0"/>
                <w:color w:val="000000"/>
                <w:kern w:val="0"/>
                <w:sz w:val="20"/>
                <w:szCs w:val="20"/>
                <w:u w:val="none"/>
                <w:lang w:eastAsia="zh-CN" w:bidi="ar"/>
              </w:rPr>
              <w:t>部门</w:t>
            </w:r>
            <w:r>
              <w:rPr>
                <w:rFonts w:ascii="Times New Roman" w:eastAsia="宋体" w:hAnsi="Times New Roman" w:cs="宋体" w:hint="eastAsia"/>
                <w:b w:val="0"/>
                <w:bCs w:val="0"/>
                <w:i w:val="0"/>
                <w:iCs w:val="0"/>
                <w:color w:val="000000"/>
                <w:kern w:val="0"/>
                <w:sz w:val="20"/>
                <w:szCs w:val="20"/>
                <w:u w:val="none"/>
                <w:lang w:val="en-US" w:bidi="ar"/>
              </w:rPr>
              <w:t>公开表</w:t>
            </w:r>
            <w:r>
              <w:rPr>
                <w:rFonts w:ascii="Times New Roman" w:eastAsia="宋体" w:hAnsi="Times New Roman" w:cs="宋体" w:hint="eastAsia"/>
                <w:b w:val="0"/>
                <w:bCs w:val="0"/>
                <w:i w:val="0"/>
                <w:iCs w:val="0"/>
                <w:color w:val="000000"/>
                <w:kern w:val="0"/>
                <w:sz w:val="20"/>
                <w:szCs w:val="20"/>
                <w:u w:val="none"/>
                <w:lang w:bidi="ar"/>
              </w:rPr>
              <w:t>1</w:t>
            </w: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5000" w:type="pct"/>
            <w:gridSpan w:val="4"/>
            <w:tcBorders>
              <w:top w:val="nil"/>
              <w:left w:val="nil"/>
              <w:bottom w:val="nil"/>
              <w:right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仿宋_GB2312" w:hAnsi="Times New Roman" w:cs="仿宋_GB2312" w:hint="eastAsia"/>
                <w:b/>
                <w:bCs/>
                <w:i w:val="0"/>
                <w:iCs w:val="0"/>
                <w:color w:val="000000"/>
                <w:kern w:val="0"/>
                <w:sz w:val="20"/>
                <w:szCs w:val="20"/>
                <w:u w:val="none"/>
                <w:lang w:val="en-US" w:bidi="ar"/>
              </w:rPr>
            </w:pPr>
            <w:r>
              <w:rPr>
                <w:rFonts w:ascii="Times New Roman" w:eastAsia="黑体" w:hAnsi="Times New Roman" w:cs="黑体" w:hint="eastAsia"/>
                <w:b w:val="0"/>
                <w:bCs w:val="0"/>
                <w:kern w:val="0"/>
                <w:sz w:val="32"/>
                <w:szCs w:val="32"/>
                <w:lang w:eastAsia="zh-CN"/>
              </w:rPr>
              <w:t>铜陵市铜官区经济与信息化局2024</w:t>
            </w:r>
            <w:r>
              <w:rPr>
                <w:rFonts w:ascii="Times New Roman" w:eastAsia="黑体" w:hAnsi="Times New Roman" w:cs="黑体" w:hint="eastAsia"/>
                <w:b w:val="0"/>
                <w:bCs w:val="0"/>
                <w:kern w:val="0"/>
                <w:sz w:val="32"/>
                <w:szCs w:val="32"/>
                <w:lang w:val="en-US"/>
              </w:rPr>
              <w:t>年收支</w:t>
            </w:r>
            <w:r>
              <w:rPr>
                <w:rFonts w:ascii="Times New Roman" w:eastAsia="黑体" w:hAnsi="Times New Roman" w:cs="黑体" w:hint="eastAsia"/>
                <w:b w:val="0"/>
                <w:bCs w:val="0"/>
                <w:kern w:val="0"/>
                <w:sz w:val="32"/>
                <w:szCs w:val="32"/>
              </w:rPr>
              <w:t>总表</w:t>
            </w: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2555" w:type="pct"/>
            <w:gridSpan w:val="2"/>
            <w:tcBorders>
              <w:top w:val="nil"/>
              <w:left w:val="nil"/>
              <w:bottom w:val="single" w:sz="4" w:space="0" w:color="auto"/>
              <w:right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444" w:type="pct"/>
            <w:gridSpan w:val="2"/>
            <w:tcBorders>
              <w:top w:val="nil"/>
              <w:left w:val="nil"/>
              <w:bottom w:val="single" w:sz="4" w:space="0" w:color="auto"/>
              <w:right w:val="nil"/>
            </w:tcBorders>
            <w:shd w:val="clear" w:color="auto" w:fill="auto"/>
            <w:noWrap/>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val="en-US" w:bidi="ar"/>
              </w:rPr>
            </w:pPr>
            <w:r>
              <w:rPr>
                <w:rFonts w:ascii="Times New Roman" w:eastAsia="宋体" w:hAnsi="Times New Roman" w:cs="宋体" w:hint="eastAsia"/>
                <w:b w:val="0"/>
                <w:bCs w:val="0"/>
                <w:i w:val="0"/>
                <w:iCs w:val="0"/>
                <w:color w:val="000000"/>
                <w:kern w:val="0"/>
                <w:sz w:val="20"/>
                <w:szCs w:val="20"/>
                <w:u w:val="none"/>
                <w:lang w:val="en-US" w:bidi="ar"/>
              </w:rPr>
              <w:t>单位</w:t>
            </w:r>
            <w:r>
              <w:rPr>
                <w:rFonts w:ascii="Times New Roman" w:eastAsia="宋体" w:hAnsi="Times New Roman" w:cs="宋体" w:hint="eastAsia"/>
                <w:b w:val="0"/>
                <w:bCs w:val="0"/>
                <w:i w:val="0"/>
                <w:iCs w:val="0"/>
                <w:color w:val="000000"/>
                <w:kern w:val="0"/>
                <w:sz w:val="20"/>
                <w:szCs w:val="20"/>
                <w:u w:val="none"/>
                <w:lang w:bidi="ar"/>
              </w:rPr>
              <w:t>：</w:t>
            </w:r>
            <w:r>
              <w:rPr>
                <w:rFonts w:ascii="Times New Roman" w:eastAsia="宋体" w:hAnsi="Times New Roman" w:cs="宋体" w:hint="eastAsia"/>
                <w:b w:val="0"/>
                <w:bCs w:val="0"/>
                <w:i w:val="0"/>
                <w:iCs w:val="0"/>
                <w:color w:val="000000"/>
                <w:kern w:val="0"/>
                <w:sz w:val="20"/>
                <w:szCs w:val="20"/>
                <w:u w:val="none"/>
                <w:lang w:val="en-US" w:bidi="ar"/>
              </w:rPr>
              <w:t>万元</w:t>
            </w: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255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收</w:t>
            </w:r>
            <w:r>
              <w:rPr>
                <w:rFonts w:ascii="Times New Roman" w:eastAsia="宋体" w:hAnsi="Times New Roman" w:cs="宋体" w:hint="eastAsia"/>
                <w:b/>
                <w:bCs/>
                <w:i w:val="0"/>
                <w:iCs w:val="0"/>
                <w:color w:val="000000"/>
                <w:kern w:val="0"/>
                <w:sz w:val="20"/>
                <w:szCs w:val="20"/>
                <w:u w:val="none"/>
                <w:lang w:eastAsia="zh-CN" w:bidi="ar"/>
              </w:rPr>
              <w:t xml:space="preserve">          </w:t>
            </w:r>
            <w:r>
              <w:rPr>
                <w:rFonts w:ascii="Times New Roman" w:eastAsia="宋体" w:hAnsi="Times New Roman" w:cs="宋体" w:hint="eastAsia"/>
                <w:b/>
                <w:bCs/>
                <w:i w:val="0"/>
                <w:iCs w:val="0"/>
                <w:color w:val="000000"/>
                <w:kern w:val="0"/>
                <w:sz w:val="20"/>
                <w:szCs w:val="20"/>
                <w:u w:val="none"/>
                <w:lang w:val="en-US" w:eastAsia="zh-CN" w:bidi="ar"/>
              </w:rPr>
              <w:t>入</w:t>
            </w:r>
          </w:p>
        </w:tc>
        <w:tc>
          <w:tcPr>
            <w:tcW w:w="24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支          出</w:t>
            </w: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收</w:t>
            </w:r>
            <w:r>
              <w:rPr>
                <w:rFonts w:ascii="Times New Roman" w:eastAsia="宋体" w:hAnsi="Times New Roman" w:cs="宋体" w:hint="eastAsia"/>
                <w:b/>
                <w:bCs/>
                <w:i w:val="0"/>
                <w:iCs w:val="0"/>
                <w:color w:val="000000"/>
                <w:kern w:val="0"/>
                <w:sz w:val="20"/>
                <w:szCs w:val="20"/>
                <w:u w:val="none"/>
                <w:lang w:eastAsia="zh-CN" w:bidi="ar"/>
              </w:rPr>
              <w:t xml:space="preserve">  </w:t>
            </w:r>
            <w:r>
              <w:rPr>
                <w:rFonts w:ascii="Times New Roman" w:eastAsia="宋体" w:hAnsi="Times New Roman" w:cs="宋体" w:hint="eastAsia"/>
                <w:b/>
                <w:bCs/>
                <w:i w:val="0"/>
                <w:iCs w:val="0"/>
                <w:color w:val="000000"/>
                <w:kern w:val="0"/>
                <w:sz w:val="20"/>
                <w:szCs w:val="20"/>
                <w:u w:val="none"/>
                <w:lang w:val="en-US" w:eastAsia="zh-CN" w:bidi="ar"/>
              </w:rPr>
              <w:t>入</w:t>
            </w:r>
            <w:r>
              <w:rPr>
                <w:rFonts w:ascii="Times New Roman" w:eastAsia="宋体" w:hAnsi="Times New Roman" w:cs="宋体" w:hint="eastAsia"/>
                <w:b/>
                <w:bCs/>
                <w:i w:val="0"/>
                <w:iCs w:val="0"/>
                <w:color w:val="000000"/>
                <w:kern w:val="0"/>
                <w:sz w:val="20"/>
                <w:szCs w:val="20"/>
                <w:u w:val="none"/>
                <w:lang w:eastAsia="zh-CN" w:bidi="ar"/>
              </w:rPr>
              <w:t xml:space="preserve">  </w:t>
            </w:r>
            <w:r>
              <w:rPr>
                <w:rFonts w:ascii="Times New Roman" w:eastAsia="宋体" w:hAnsi="Times New Roman" w:cs="宋体" w:hint="eastAsia"/>
                <w:b/>
                <w:bCs/>
                <w:i w:val="0"/>
                <w:iCs w:val="0"/>
                <w:color w:val="000000"/>
                <w:kern w:val="0"/>
                <w:sz w:val="20"/>
                <w:szCs w:val="20"/>
                <w:u w:val="none"/>
                <w:lang w:val="en-US" w:eastAsia="zh-CN" w:bidi="ar"/>
              </w:rPr>
              <w:t>项</w:t>
            </w:r>
            <w:r>
              <w:rPr>
                <w:rFonts w:ascii="Times New Roman" w:eastAsia="宋体" w:hAnsi="Times New Roman" w:cs="宋体" w:hint="eastAsia"/>
                <w:b/>
                <w:bCs/>
                <w:i w:val="0"/>
                <w:iCs w:val="0"/>
                <w:color w:val="000000"/>
                <w:kern w:val="0"/>
                <w:sz w:val="20"/>
                <w:szCs w:val="20"/>
                <w:u w:val="none"/>
                <w:lang w:eastAsia="zh-CN" w:bidi="ar"/>
              </w:rPr>
              <w:t xml:space="preserve">  </w:t>
            </w:r>
            <w:r>
              <w:rPr>
                <w:rFonts w:ascii="Times New Roman" w:eastAsia="宋体" w:hAnsi="Times New Roman" w:cs="宋体" w:hint="eastAsia"/>
                <w:b/>
                <w:bCs/>
                <w:i w:val="0"/>
                <w:iCs w:val="0"/>
                <w:color w:val="000000"/>
                <w:kern w:val="0"/>
                <w:sz w:val="20"/>
                <w:szCs w:val="20"/>
                <w:u w:val="none"/>
                <w:lang w:val="en-US" w:eastAsia="zh-CN" w:bidi="ar"/>
              </w:rPr>
              <w:t>目</w:t>
            </w:r>
          </w:p>
        </w:tc>
        <w:tc>
          <w:tcPr>
            <w:tcW w:w="664"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预算数</w:t>
            </w:r>
          </w:p>
        </w:tc>
        <w:tc>
          <w:tcPr>
            <w:tcW w:w="1902"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支出功能分类科目</w:t>
            </w:r>
          </w:p>
        </w:tc>
        <w:tc>
          <w:tcPr>
            <w:tcW w:w="542"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预算数</w:t>
            </w: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一、一般公共预算拨款收入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472.04</w:t>
            </w: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一、一般公共服务支出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290.44</w:t>
            </w: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i w:val="0"/>
                <w:iCs w:val="0"/>
                <w:color w:val="000000"/>
                <w:sz w:val="20"/>
                <w:szCs w:val="20"/>
                <w:u w:val="none"/>
                <w:lang w:val="en-US"/>
              </w:rPr>
            </w:pPr>
            <w:r>
              <w:rPr>
                <w:rFonts w:ascii="Times New Roman" w:eastAsia="宋体" w:hAnsi="Times New Roman" w:cs="宋体" w:hint="eastAsia"/>
                <w:i w:val="0"/>
                <w:iCs w:val="0"/>
                <w:color w:val="000000"/>
                <w:sz w:val="20"/>
                <w:szCs w:val="20"/>
                <w:u w:val="none"/>
                <w:lang w:val="en-US"/>
              </w:rPr>
              <w:t>其中</w:t>
            </w:r>
            <w:r>
              <w:rPr>
                <w:rFonts w:ascii="Times New Roman" w:eastAsia="宋体" w:hAnsi="Times New Roman" w:cs="宋体" w:hint="eastAsia"/>
                <w:i w:val="0"/>
                <w:iCs w:val="0"/>
                <w:color w:val="000000"/>
                <w:sz w:val="20"/>
                <w:szCs w:val="20"/>
                <w:u w:val="none"/>
              </w:rPr>
              <w:t>：</w:t>
            </w:r>
            <w:r>
              <w:rPr>
                <w:rFonts w:ascii="Times New Roman" w:eastAsia="宋体" w:hAnsi="Times New Roman" w:cs="宋体" w:hint="eastAsia"/>
                <w:i w:val="0"/>
                <w:iCs w:val="0"/>
                <w:color w:val="000000"/>
                <w:sz w:val="20"/>
                <w:szCs w:val="20"/>
                <w:u w:val="none"/>
                <w:lang w:val="en-US"/>
              </w:rPr>
              <w:t>上级转移支付收入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二、外交支出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三、国防支出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二、政府性基金预算拨款收入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四、公共安全支出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sz w:val="20"/>
                <w:szCs w:val="20"/>
                <w:u w:val="none"/>
                <w:lang w:val="en-US"/>
              </w:rPr>
              <w:t>其中</w:t>
            </w:r>
            <w:r>
              <w:rPr>
                <w:rFonts w:ascii="Times New Roman" w:eastAsia="宋体" w:hAnsi="Times New Roman" w:cs="宋体" w:hint="eastAsia"/>
                <w:i w:val="0"/>
                <w:iCs w:val="0"/>
                <w:color w:val="000000"/>
                <w:sz w:val="20"/>
                <w:szCs w:val="20"/>
                <w:u w:val="none"/>
              </w:rPr>
              <w:t>：</w:t>
            </w:r>
            <w:r>
              <w:rPr>
                <w:rFonts w:ascii="Times New Roman" w:eastAsia="宋体" w:hAnsi="Times New Roman" w:cs="宋体" w:hint="eastAsia"/>
                <w:i w:val="0"/>
                <w:iCs w:val="0"/>
                <w:color w:val="000000"/>
                <w:sz w:val="20"/>
                <w:szCs w:val="20"/>
                <w:u w:val="none"/>
                <w:lang w:val="en-US"/>
              </w:rPr>
              <w:t>上级转移支付收入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五、教育支出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六、科学技术支出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三、国有资本经营预算拨款收入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七、文化旅游体育与传媒支出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sz w:val="20"/>
                <w:szCs w:val="20"/>
                <w:u w:val="none"/>
                <w:lang w:val="en-US"/>
              </w:rPr>
              <w:t>其中</w:t>
            </w:r>
            <w:r>
              <w:rPr>
                <w:rFonts w:ascii="Times New Roman" w:eastAsia="宋体" w:hAnsi="Times New Roman" w:cs="宋体" w:hint="eastAsia"/>
                <w:i w:val="0"/>
                <w:iCs w:val="0"/>
                <w:color w:val="000000"/>
                <w:sz w:val="20"/>
                <w:szCs w:val="20"/>
                <w:u w:val="none"/>
              </w:rPr>
              <w:t>：</w:t>
            </w:r>
            <w:r>
              <w:rPr>
                <w:rFonts w:ascii="Times New Roman" w:eastAsia="宋体" w:hAnsi="Times New Roman" w:cs="宋体" w:hint="eastAsia"/>
                <w:i w:val="0"/>
                <w:iCs w:val="0"/>
                <w:color w:val="000000"/>
                <w:sz w:val="20"/>
                <w:szCs w:val="20"/>
                <w:u w:val="none"/>
                <w:lang w:val="en-US"/>
              </w:rPr>
              <w:t>上级转移支付收入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八、社会保障和就业支出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181.60</w:t>
            </w: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九、卫生健康支出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四、财政专户管理资金收入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十、节能环保支出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十一、城乡社区支出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282"/>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五、单位资金收入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十二、农林水支出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kern w:val="2"/>
                <w:sz w:val="20"/>
                <w:szCs w:val="20"/>
                <w:u w:val="none"/>
                <w:lang w:val="en-US" w:eastAsia="zh-CN" w:bidi="ar-SA"/>
              </w:rPr>
            </w:pPr>
            <w:r>
              <w:rPr>
                <w:rFonts w:ascii="Times New Roman" w:eastAsia="宋体" w:hAnsi="Times New Roman" w:cs="宋体" w:hint="eastAsia"/>
                <w:i w:val="0"/>
                <w:iCs w:val="0"/>
                <w:color w:val="000000"/>
                <w:kern w:val="0"/>
                <w:sz w:val="20"/>
                <w:szCs w:val="20"/>
                <w:u w:val="none"/>
                <w:lang w:val="en-US" w:eastAsia="zh-CN" w:bidi="ar"/>
              </w:rPr>
              <w:t xml:space="preserve">        其中：事业收入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十三、交通运输支出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kern w:val="2"/>
                <w:sz w:val="20"/>
                <w:szCs w:val="20"/>
                <w:u w:val="none"/>
                <w:lang w:val="en-US" w:eastAsia="zh-CN" w:bidi="ar-SA"/>
              </w:rPr>
            </w:pPr>
            <w:r>
              <w:rPr>
                <w:rFonts w:ascii="Times New Roman" w:eastAsia="宋体" w:hAnsi="Times New Roman" w:cs="宋体" w:hint="eastAsia"/>
                <w:i w:val="0"/>
                <w:iCs w:val="0"/>
                <w:color w:val="000000"/>
                <w:kern w:val="0"/>
                <w:sz w:val="20"/>
                <w:szCs w:val="20"/>
                <w:u w:val="none"/>
                <w:lang w:val="en-US" w:eastAsia="zh-CN" w:bidi="ar"/>
              </w:rPr>
              <w:t xml:space="preserve">              事业单位经营收入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十四、资源勘探工业信息等支出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kern w:val="2"/>
                <w:sz w:val="20"/>
                <w:szCs w:val="20"/>
                <w:u w:val="none"/>
                <w:lang w:val="en-US" w:eastAsia="zh-CN" w:bidi="ar-SA"/>
              </w:rPr>
            </w:pPr>
            <w:r>
              <w:rPr>
                <w:rFonts w:ascii="Times New Roman" w:eastAsia="宋体" w:hAnsi="Times New Roman" w:cs="宋体" w:hint="eastAsia"/>
                <w:i w:val="0"/>
                <w:iCs w:val="0"/>
                <w:color w:val="000000"/>
                <w:kern w:val="0"/>
                <w:sz w:val="20"/>
                <w:szCs w:val="20"/>
                <w:u w:val="none"/>
                <w:lang w:val="en-US" w:eastAsia="zh-CN" w:bidi="ar"/>
              </w:rPr>
              <w:t xml:space="preserve">              上级补助收入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十五、商业服务等支出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kern w:val="2"/>
                <w:sz w:val="20"/>
                <w:szCs w:val="20"/>
                <w:u w:val="none"/>
                <w:lang w:val="en-US" w:eastAsia="zh-CN" w:bidi="ar-SA"/>
              </w:rPr>
            </w:pPr>
            <w:r>
              <w:rPr>
                <w:rFonts w:ascii="Times New Roman" w:eastAsia="宋体" w:hAnsi="Times New Roman" w:cs="宋体" w:hint="eastAsia"/>
                <w:i w:val="0"/>
                <w:iCs w:val="0"/>
                <w:color w:val="000000"/>
                <w:kern w:val="0"/>
                <w:sz w:val="20"/>
                <w:szCs w:val="20"/>
                <w:u w:val="none"/>
                <w:lang w:val="en-US" w:eastAsia="zh-CN" w:bidi="ar"/>
              </w:rPr>
              <w:t xml:space="preserve">              附属单位上缴收入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十六、金融支出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kern w:val="2"/>
                <w:sz w:val="20"/>
                <w:szCs w:val="20"/>
                <w:u w:val="none"/>
                <w:lang w:val="en-US" w:eastAsia="zh-CN" w:bidi="ar-SA"/>
              </w:rPr>
            </w:pPr>
            <w:r>
              <w:rPr>
                <w:rFonts w:ascii="Times New Roman" w:eastAsia="宋体" w:hAnsi="Times New Roman" w:cs="宋体" w:hint="eastAsia"/>
                <w:i w:val="0"/>
                <w:iCs w:val="0"/>
                <w:color w:val="000000"/>
                <w:kern w:val="0"/>
                <w:sz w:val="20"/>
                <w:szCs w:val="20"/>
                <w:u w:val="none"/>
                <w:lang w:val="en-US" w:eastAsia="zh-CN" w:bidi="ar"/>
              </w:rPr>
              <w:t xml:space="preserve">              其他收入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十七、援助其他地区支出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十八、自然资源海洋气象等支出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十九、住房保障支出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二十、粮油物资储备支出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二十一、灾害防治及应急管理支出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二十二、预备费</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二十三、其他支出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二十四、转移性支出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二十五、债务还本支出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二十六、债务付息支出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二十七、债务发行费用支出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本</w:t>
            </w:r>
            <w:r>
              <w:rPr>
                <w:rFonts w:ascii="Times New Roman" w:eastAsia="宋体" w:hAnsi="Times New Roman" w:cs="宋体" w:hint="eastAsia"/>
                <w:i w:val="0"/>
                <w:iCs w:val="0"/>
                <w:color w:val="000000"/>
                <w:kern w:val="0"/>
                <w:sz w:val="20"/>
                <w:szCs w:val="20"/>
                <w:u w:val="none"/>
                <w:lang w:eastAsia="zh-CN" w:bidi="ar"/>
              </w:rPr>
              <w:t xml:space="preserve">  </w:t>
            </w:r>
            <w:r>
              <w:rPr>
                <w:rFonts w:ascii="Times New Roman" w:eastAsia="宋体" w:hAnsi="Times New Roman" w:cs="宋体" w:hint="eastAsia"/>
                <w:i w:val="0"/>
                <w:iCs w:val="0"/>
                <w:color w:val="000000"/>
                <w:kern w:val="0"/>
                <w:sz w:val="20"/>
                <w:szCs w:val="20"/>
                <w:u w:val="none"/>
                <w:lang w:val="en-US" w:eastAsia="zh-CN" w:bidi="ar"/>
              </w:rPr>
              <w:t>年</w:t>
            </w:r>
            <w:r>
              <w:rPr>
                <w:rFonts w:ascii="Times New Roman" w:eastAsia="宋体" w:hAnsi="Times New Roman" w:cs="宋体" w:hint="eastAsia"/>
                <w:i w:val="0"/>
                <w:iCs w:val="0"/>
                <w:color w:val="000000"/>
                <w:kern w:val="0"/>
                <w:sz w:val="20"/>
                <w:szCs w:val="20"/>
                <w:u w:val="none"/>
                <w:lang w:eastAsia="zh-CN" w:bidi="ar"/>
              </w:rPr>
              <w:t xml:space="preserve">  </w:t>
            </w:r>
            <w:r>
              <w:rPr>
                <w:rFonts w:ascii="Times New Roman" w:eastAsia="宋体" w:hAnsi="Times New Roman" w:cs="宋体" w:hint="eastAsia"/>
                <w:i w:val="0"/>
                <w:iCs w:val="0"/>
                <w:color w:val="000000"/>
                <w:kern w:val="0"/>
                <w:sz w:val="20"/>
                <w:szCs w:val="20"/>
                <w:u w:val="none"/>
                <w:lang w:val="en-US" w:eastAsia="zh-CN" w:bidi="ar"/>
              </w:rPr>
              <w:t>收</w:t>
            </w:r>
            <w:r>
              <w:rPr>
                <w:rFonts w:ascii="Times New Roman" w:eastAsia="宋体" w:hAnsi="Times New Roman" w:cs="宋体" w:hint="eastAsia"/>
                <w:i w:val="0"/>
                <w:iCs w:val="0"/>
                <w:color w:val="000000"/>
                <w:kern w:val="0"/>
                <w:sz w:val="20"/>
                <w:szCs w:val="20"/>
                <w:u w:val="none"/>
                <w:lang w:eastAsia="zh-CN" w:bidi="ar"/>
              </w:rPr>
              <w:t xml:space="preserve">  </w:t>
            </w:r>
            <w:r>
              <w:rPr>
                <w:rFonts w:ascii="Times New Roman" w:eastAsia="宋体" w:hAnsi="Times New Roman" w:cs="宋体" w:hint="eastAsia"/>
                <w:i w:val="0"/>
                <w:iCs w:val="0"/>
                <w:color w:val="000000"/>
                <w:kern w:val="0"/>
                <w:sz w:val="20"/>
                <w:szCs w:val="20"/>
                <w:u w:val="none"/>
                <w:lang w:val="en-US" w:eastAsia="zh-CN" w:bidi="ar"/>
              </w:rPr>
              <w:t>入</w:t>
            </w:r>
            <w:r>
              <w:rPr>
                <w:rFonts w:ascii="Times New Roman" w:eastAsia="宋体" w:hAnsi="Times New Roman" w:cs="宋体" w:hint="eastAsia"/>
                <w:i w:val="0"/>
                <w:iCs w:val="0"/>
                <w:color w:val="000000"/>
                <w:kern w:val="0"/>
                <w:sz w:val="20"/>
                <w:szCs w:val="20"/>
                <w:u w:val="none"/>
                <w:lang w:eastAsia="zh-CN" w:bidi="ar"/>
              </w:rPr>
              <w:t xml:space="preserve">  </w:t>
            </w:r>
            <w:r>
              <w:rPr>
                <w:rFonts w:ascii="Times New Roman" w:eastAsia="宋体" w:hAnsi="Times New Roman" w:cs="宋体" w:hint="eastAsia"/>
                <w:i w:val="0"/>
                <w:iCs w:val="0"/>
                <w:color w:val="000000"/>
                <w:kern w:val="0"/>
                <w:sz w:val="20"/>
                <w:szCs w:val="20"/>
                <w:u w:val="none"/>
                <w:lang w:val="en-US" w:eastAsia="zh-CN" w:bidi="ar"/>
              </w:rPr>
              <w:t>小</w:t>
            </w:r>
            <w:r>
              <w:rPr>
                <w:rFonts w:ascii="Times New Roman" w:eastAsia="宋体" w:hAnsi="Times New Roman" w:cs="宋体" w:hint="eastAsia"/>
                <w:i w:val="0"/>
                <w:iCs w:val="0"/>
                <w:color w:val="000000"/>
                <w:kern w:val="0"/>
                <w:sz w:val="20"/>
                <w:szCs w:val="20"/>
                <w:u w:val="none"/>
                <w:lang w:eastAsia="zh-CN" w:bidi="ar"/>
              </w:rPr>
              <w:t xml:space="preserve">  </w:t>
            </w:r>
            <w:r>
              <w:rPr>
                <w:rFonts w:ascii="Times New Roman" w:eastAsia="宋体" w:hAnsi="Times New Roman" w:cs="宋体" w:hint="eastAsia"/>
                <w:i w:val="0"/>
                <w:iCs w:val="0"/>
                <w:color w:val="000000"/>
                <w:kern w:val="0"/>
                <w:sz w:val="20"/>
                <w:szCs w:val="20"/>
                <w:u w:val="none"/>
                <w:lang w:val="en-US" w:eastAsia="zh-CN" w:bidi="ar"/>
              </w:rPr>
              <w:t>计</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472.04</w:t>
            </w: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本</w:t>
            </w:r>
            <w:r>
              <w:rPr>
                <w:rFonts w:ascii="Times New Roman" w:eastAsia="宋体" w:hAnsi="Times New Roman" w:cs="宋体" w:hint="eastAsia"/>
                <w:i w:val="0"/>
                <w:iCs w:val="0"/>
                <w:color w:val="000000"/>
                <w:kern w:val="0"/>
                <w:sz w:val="20"/>
                <w:szCs w:val="20"/>
                <w:u w:val="none"/>
                <w:lang w:eastAsia="zh-CN" w:bidi="ar"/>
              </w:rPr>
              <w:t xml:space="preserve">  </w:t>
            </w:r>
            <w:r>
              <w:rPr>
                <w:rFonts w:ascii="Times New Roman" w:eastAsia="宋体" w:hAnsi="Times New Roman" w:cs="宋体" w:hint="eastAsia"/>
                <w:i w:val="0"/>
                <w:iCs w:val="0"/>
                <w:color w:val="000000"/>
                <w:kern w:val="0"/>
                <w:sz w:val="20"/>
                <w:szCs w:val="20"/>
                <w:u w:val="none"/>
                <w:lang w:val="en-US" w:eastAsia="zh-CN" w:bidi="ar"/>
              </w:rPr>
              <w:t>年</w:t>
            </w:r>
            <w:r>
              <w:rPr>
                <w:rFonts w:ascii="Times New Roman" w:eastAsia="宋体" w:hAnsi="Times New Roman" w:cs="宋体" w:hint="eastAsia"/>
                <w:i w:val="0"/>
                <w:iCs w:val="0"/>
                <w:color w:val="000000"/>
                <w:kern w:val="0"/>
                <w:sz w:val="20"/>
                <w:szCs w:val="20"/>
                <w:u w:val="none"/>
                <w:lang w:eastAsia="zh-CN" w:bidi="ar"/>
              </w:rPr>
              <w:t xml:space="preserve">  </w:t>
            </w:r>
            <w:r>
              <w:rPr>
                <w:rFonts w:ascii="Times New Roman" w:eastAsia="宋体" w:hAnsi="Times New Roman" w:cs="宋体" w:hint="eastAsia"/>
                <w:i w:val="0"/>
                <w:iCs w:val="0"/>
                <w:color w:val="000000"/>
                <w:kern w:val="0"/>
                <w:sz w:val="20"/>
                <w:szCs w:val="20"/>
                <w:u w:val="none"/>
                <w:lang w:val="en-US" w:bidi="ar"/>
              </w:rPr>
              <w:t>支</w:t>
            </w:r>
            <w:r>
              <w:rPr>
                <w:rFonts w:ascii="Times New Roman" w:eastAsia="宋体" w:hAnsi="Times New Roman" w:cs="宋体" w:hint="eastAsia"/>
                <w:i w:val="0"/>
                <w:iCs w:val="0"/>
                <w:color w:val="000000"/>
                <w:kern w:val="0"/>
                <w:sz w:val="20"/>
                <w:szCs w:val="20"/>
                <w:u w:val="none"/>
                <w:lang w:eastAsia="zh-CN" w:bidi="ar"/>
              </w:rPr>
              <w:t xml:space="preserve">  </w:t>
            </w:r>
            <w:r>
              <w:rPr>
                <w:rFonts w:ascii="Times New Roman" w:eastAsia="宋体" w:hAnsi="Times New Roman" w:cs="宋体" w:hint="eastAsia"/>
                <w:i w:val="0"/>
                <w:iCs w:val="0"/>
                <w:color w:val="000000"/>
                <w:kern w:val="0"/>
                <w:sz w:val="20"/>
                <w:szCs w:val="20"/>
                <w:u w:val="none"/>
                <w:lang w:val="en-US" w:bidi="ar"/>
              </w:rPr>
              <w:t>出</w:t>
            </w:r>
            <w:r>
              <w:rPr>
                <w:rFonts w:ascii="Times New Roman" w:eastAsia="宋体" w:hAnsi="Times New Roman" w:cs="宋体" w:hint="eastAsia"/>
                <w:i w:val="0"/>
                <w:iCs w:val="0"/>
                <w:color w:val="000000"/>
                <w:kern w:val="0"/>
                <w:sz w:val="20"/>
                <w:szCs w:val="20"/>
                <w:u w:val="none"/>
                <w:lang w:eastAsia="zh-CN" w:bidi="ar"/>
              </w:rPr>
              <w:t xml:space="preserve">  </w:t>
            </w:r>
            <w:r>
              <w:rPr>
                <w:rFonts w:ascii="Times New Roman" w:eastAsia="宋体" w:hAnsi="Times New Roman" w:cs="宋体" w:hint="eastAsia"/>
                <w:i w:val="0"/>
                <w:iCs w:val="0"/>
                <w:color w:val="000000"/>
                <w:kern w:val="0"/>
                <w:sz w:val="20"/>
                <w:szCs w:val="20"/>
                <w:u w:val="none"/>
                <w:lang w:val="en-US" w:eastAsia="zh-CN" w:bidi="ar"/>
              </w:rPr>
              <w:t>小</w:t>
            </w:r>
            <w:r>
              <w:rPr>
                <w:rFonts w:ascii="Times New Roman" w:eastAsia="宋体" w:hAnsi="Times New Roman" w:cs="宋体" w:hint="eastAsia"/>
                <w:i w:val="0"/>
                <w:iCs w:val="0"/>
                <w:color w:val="000000"/>
                <w:kern w:val="0"/>
                <w:sz w:val="20"/>
                <w:szCs w:val="20"/>
                <w:u w:val="none"/>
                <w:lang w:eastAsia="zh-CN" w:bidi="ar"/>
              </w:rPr>
              <w:t xml:space="preserve">  </w:t>
            </w:r>
            <w:r>
              <w:rPr>
                <w:rFonts w:ascii="Times New Roman" w:eastAsia="宋体" w:hAnsi="Times New Roman" w:cs="宋体" w:hint="eastAsia"/>
                <w:i w:val="0"/>
                <w:iCs w:val="0"/>
                <w:color w:val="000000"/>
                <w:kern w:val="0"/>
                <w:sz w:val="20"/>
                <w:szCs w:val="20"/>
                <w:u w:val="none"/>
                <w:lang w:val="en-US" w:eastAsia="zh-CN" w:bidi="ar"/>
              </w:rPr>
              <w:t>计</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472.04</w:t>
            </w: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left"/>
              <w:textAlignment w:val="center"/>
              <w:rPr>
                <w:rFonts w:ascii="Times New Roman" w:eastAsia="宋体" w:hAnsi="Times New Roman" w:cs="宋体" w:hint="eastAsia"/>
                <w:i w:val="0"/>
                <w:iCs w:val="0"/>
                <w:color w:val="000000"/>
                <w:sz w:val="20"/>
                <w:szCs w:val="20"/>
                <w:u w:val="none"/>
                <w:lang w:val="en-US"/>
              </w:rPr>
            </w:pPr>
            <w:r>
              <w:rPr>
                <w:rFonts w:ascii="Times New Roman" w:eastAsia="宋体" w:hAnsi="Times New Roman" w:cs="宋体" w:hint="eastAsia"/>
                <w:i w:val="0"/>
                <w:iCs w:val="0"/>
                <w:color w:val="000000"/>
                <w:kern w:val="0"/>
                <w:sz w:val="20"/>
                <w:szCs w:val="20"/>
                <w:u w:val="none"/>
                <w:lang w:val="en-US" w:eastAsia="zh-CN" w:bidi="ar"/>
              </w:rPr>
              <w:t>上年结转</w:t>
            </w:r>
            <w:r>
              <w:rPr>
                <w:rFonts w:ascii="Times New Roman" w:eastAsia="宋体" w:hAnsi="Times New Roman" w:cs="宋体" w:hint="eastAsia"/>
                <w:i w:val="0"/>
                <w:iCs w:val="0"/>
                <w:color w:val="000000"/>
                <w:kern w:val="0"/>
                <w:sz w:val="20"/>
                <w:szCs w:val="20"/>
                <w:u w:val="none"/>
                <w:lang w:val="en-US" w:bidi="ar"/>
              </w:rPr>
              <w:t>数</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结转下年</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left"/>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 xml:space="preserve">    一般公共预算</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 xml:space="preserve">        一般公共预算</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left"/>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 xml:space="preserve">    政府性基金预算</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 xml:space="preserve">       政府性基金预算</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left"/>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 xml:space="preserve">    国有资本经营预算</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 xml:space="preserve">       国有资本经营预算</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left"/>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 xml:space="preserve">    财政专户管理资金</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 xml:space="preserve">       财政专户管理资金</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left"/>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 xml:space="preserve">    单位资金</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 xml:space="preserve">       单位资金</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收</w:t>
            </w:r>
            <w:r>
              <w:rPr>
                <w:rFonts w:ascii="Times New Roman" w:eastAsia="宋体" w:hAnsi="Times New Roman" w:cs="宋体" w:hint="eastAsia"/>
                <w:b/>
                <w:bCs/>
                <w:i w:val="0"/>
                <w:iCs w:val="0"/>
                <w:color w:val="000000"/>
                <w:kern w:val="0"/>
                <w:sz w:val="20"/>
                <w:szCs w:val="20"/>
                <w:u w:val="none"/>
                <w:lang w:eastAsia="zh-CN" w:bidi="ar"/>
              </w:rPr>
              <w:t xml:space="preserve">  </w:t>
            </w:r>
            <w:r>
              <w:rPr>
                <w:rFonts w:ascii="Times New Roman" w:eastAsia="宋体" w:hAnsi="Times New Roman" w:cs="宋体" w:hint="eastAsia"/>
                <w:b/>
                <w:bCs/>
                <w:i w:val="0"/>
                <w:iCs w:val="0"/>
                <w:color w:val="000000"/>
                <w:kern w:val="0"/>
                <w:sz w:val="20"/>
                <w:szCs w:val="20"/>
                <w:u w:val="none"/>
                <w:lang w:val="en-US" w:eastAsia="zh-CN" w:bidi="ar"/>
              </w:rPr>
              <w:t>入  总  计</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b/>
                <w:bCs/>
                <w:i w:val="0"/>
                <w:iCs w:val="0"/>
                <w:color w:val="000000"/>
                <w:sz w:val="20"/>
                <w:szCs w:val="20"/>
                <w:u w:val="none"/>
              </w:rPr>
            </w:pPr>
            <w:r>
              <w:rPr>
                <w:rFonts w:ascii="Times New Roman" w:eastAsia="宋体" w:hAnsi="Times New Roman"/>
                <w:b w:val="0"/>
                <w:sz w:val="20"/>
              </w:rPr>
              <w:t>472.04</w:t>
            </w: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支  出  总  计</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472.04</w:t>
            </w:r>
          </w:p>
        </w:tc>
      </w:tr>
    </w:tbl>
    <w:p>
      <w:pPr>
        <w:sectPr>
          <w:pgSz w:w="11906" w:h="16838"/>
          <w:pgMar w:top="1077" w:right="1077" w:bottom="1077" w:left="1077"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p>
    <w:tbl>
      <w:tblPr>
        <w:tblStyle w:val="TableGrid"/>
        <w:tblW w:w="4999"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2501"/>
        <w:gridCol w:w="724"/>
        <w:gridCol w:w="724"/>
        <w:gridCol w:w="724"/>
        <w:gridCol w:w="724"/>
        <w:gridCol w:w="724"/>
        <w:gridCol w:w="724"/>
        <w:gridCol w:w="724"/>
        <w:gridCol w:w="724"/>
        <w:gridCol w:w="724"/>
        <w:gridCol w:w="724"/>
        <w:gridCol w:w="724"/>
        <w:gridCol w:w="759"/>
        <w:gridCol w:w="728"/>
        <w:gridCol w:w="728"/>
        <w:gridCol w:w="728"/>
        <w:gridCol w:w="728"/>
        <w:gridCol w:w="728"/>
        <w:gridCol w:w="747"/>
      </w:tblGrid>
      <w:tr>
        <w:tblPrEx>
          <w:tblW w:w="4999"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0"/>
          <w:jc w:val="center"/>
        </w:trPr>
        <w:tc>
          <w:tcPr>
            <w:tcW w:w="801" w:type="pct"/>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32" w:type="pct"/>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563" w:type="pct"/>
            <w:gridSpan w:val="11"/>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402" w:type="pct"/>
            <w:gridSpan w:val="6"/>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eastAsia="zh-CN" w:bidi="ar"/>
              </w:rPr>
            </w:pPr>
            <w:r>
              <w:rPr>
                <w:rFonts w:ascii="Times New Roman" w:eastAsia="宋体" w:hAnsi="Times New Roman" w:cs="宋体" w:hint="eastAsia"/>
                <w:i w:val="0"/>
                <w:iCs w:val="0"/>
                <w:color w:val="000000"/>
                <w:kern w:val="0"/>
                <w:sz w:val="20"/>
                <w:szCs w:val="20"/>
                <w:u w:val="none"/>
                <w:lang w:val="en-US" w:eastAsia="zh-CN" w:bidi="ar"/>
              </w:rPr>
              <w:t>部门</w:t>
            </w:r>
            <w:r>
              <w:rPr>
                <w:rFonts w:ascii="Times New Roman" w:eastAsia="宋体" w:hAnsi="Times New Roman" w:cs="宋体" w:hint="eastAsia"/>
                <w:i w:val="0"/>
                <w:iCs w:val="0"/>
                <w:color w:val="000000"/>
                <w:kern w:val="0"/>
                <w:sz w:val="20"/>
                <w:szCs w:val="20"/>
                <w:u w:val="none"/>
                <w:lang w:val="en-US" w:bidi="ar"/>
              </w:rPr>
              <w:t>公开表2</w:t>
            </w:r>
          </w:p>
        </w:tc>
      </w:tr>
      <w:tr>
        <w:tblPrEx>
          <w:tblW w:w="4999" w:type="pct"/>
          <w:jc w:val="center"/>
          <w:tblInd w:w="0" w:type="dxa"/>
          <w:shd w:val="clear" w:color="auto" w:fill="auto"/>
          <w:tblCellMar>
            <w:top w:w="0" w:type="dxa"/>
            <w:left w:w="108" w:type="dxa"/>
            <w:bottom w:w="0" w:type="dxa"/>
            <w:right w:w="108" w:type="dxa"/>
          </w:tblCellMar>
        </w:tblPrEx>
        <w:trPr>
          <w:trHeight w:val="0"/>
          <w:jc w:val="center"/>
        </w:trPr>
        <w:tc>
          <w:tcPr>
            <w:tcW w:w="5000" w:type="pct"/>
            <w:gridSpan w:val="19"/>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bCs/>
                <w:kern w:val="0"/>
                <w:sz w:val="32"/>
                <w:szCs w:val="32"/>
                <w:lang w:eastAsia="zh-CN"/>
              </w:rPr>
              <w:t>铜陵市铜官区经济与信息化局2024</w:t>
            </w:r>
            <w:r>
              <w:rPr>
                <w:rFonts w:ascii="Times New Roman" w:eastAsia="宋体" w:hAnsi="Times New Roman" w:cs="宋体" w:hint="eastAsia"/>
                <w:b/>
                <w:bCs/>
                <w:kern w:val="0"/>
                <w:sz w:val="32"/>
                <w:szCs w:val="32"/>
                <w:lang w:val="en-US"/>
              </w:rPr>
              <w:t>年收入总</w:t>
            </w:r>
            <w:r>
              <w:rPr>
                <w:rFonts w:ascii="Times New Roman" w:eastAsia="宋体" w:hAnsi="Times New Roman" w:cs="宋体" w:hint="eastAsia"/>
                <w:b/>
                <w:bCs/>
                <w:kern w:val="0"/>
                <w:sz w:val="32"/>
                <w:szCs w:val="32"/>
              </w:rPr>
              <w:t>表</w:t>
            </w:r>
          </w:p>
        </w:tc>
      </w:tr>
      <w:tr>
        <w:tblPrEx>
          <w:tblW w:w="4999" w:type="pct"/>
          <w:jc w:val="center"/>
          <w:tblInd w:w="0" w:type="dxa"/>
          <w:shd w:val="clear" w:color="auto" w:fill="auto"/>
          <w:tblCellMar>
            <w:top w:w="0" w:type="dxa"/>
            <w:left w:w="108" w:type="dxa"/>
            <w:bottom w:w="0" w:type="dxa"/>
            <w:right w:w="108" w:type="dxa"/>
          </w:tblCellMar>
        </w:tblPrEx>
        <w:trPr>
          <w:trHeight w:val="0"/>
          <w:jc w:val="center"/>
        </w:trPr>
        <w:tc>
          <w:tcPr>
            <w:tcW w:w="801"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32"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563" w:type="pct"/>
            <w:gridSpan w:val="11"/>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402" w:type="pct"/>
            <w:gridSpan w:val="6"/>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i w:val="0"/>
                <w:iCs w:val="0"/>
                <w:color w:val="000000"/>
                <w:kern w:val="0"/>
                <w:sz w:val="20"/>
                <w:szCs w:val="20"/>
                <w:u w:val="none"/>
                <w:lang w:val="en-US" w:bidi="ar"/>
              </w:rPr>
              <w:t>单位：万元</w:t>
            </w:r>
          </w:p>
        </w:tc>
      </w:tr>
      <w:tr>
        <w:tblPrEx>
          <w:tblW w:w="4999" w:type="pct"/>
          <w:jc w:val="center"/>
          <w:tblInd w:w="0" w:type="dxa"/>
          <w:shd w:val="clear" w:color="auto" w:fill="auto"/>
          <w:tblCellMar>
            <w:top w:w="0" w:type="dxa"/>
            <w:left w:w="108" w:type="dxa"/>
            <w:bottom w:w="0" w:type="dxa"/>
            <w:right w:w="108" w:type="dxa"/>
          </w:tblCellMar>
        </w:tblPrEx>
        <w:trPr>
          <w:trHeight w:val="0"/>
          <w:jc w:val="center"/>
        </w:trPr>
        <w:tc>
          <w:tcPr>
            <w:tcW w:w="801" w:type="pct"/>
            <w:vMerge w:val="restar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部门（单位）名称</w:t>
            </w:r>
          </w:p>
        </w:tc>
        <w:tc>
          <w:tcPr>
            <w:tcW w:w="232" w:type="pct"/>
            <w:vMerge w:val="restar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合计</w:t>
            </w:r>
          </w:p>
        </w:tc>
        <w:tc>
          <w:tcPr>
            <w:tcW w:w="2563" w:type="pct"/>
            <w:gridSpan w:val="11"/>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本年收入</w:t>
            </w:r>
          </w:p>
        </w:tc>
        <w:tc>
          <w:tcPr>
            <w:tcW w:w="1402" w:type="pct"/>
            <w:gridSpan w:val="6"/>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上年结转结余</w:t>
            </w:r>
          </w:p>
        </w:tc>
      </w:tr>
      <w:tr>
        <w:tblPrEx>
          <w:tblW w:w="4999" w:type="pct"/>
          <w:jc w:val="center"/>
          <w:tblInd w:w="0" w:type="dxa"/>
          <w:shd w:val="clear" w:color="auto" w:fill="auto"/>
          <w:tblCellMar>
            <w:top w:w="0" w:type="dxa"/>
            <w:left w:w="108" w:type="dxa"/>
            <w:bottom w:w="0" w:type="dxa"/>
            <w:right w:w="108" w:type="dxa"/>
          </w:tblCellMar>
        </w:tblPrEx>
        <w:trPr>
          <w:trHeight w:val="0"/>
          <w:jc w:val="center"/>
        </w:trPr>
        <w:tc>
          <w:tcPr>
            <w:tcW w:w="801"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232"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232" w:type="pct"/>
            <w:vMerge w:val="restar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小计</w:t>
            </w:r>
          </w:p>
        </w:tc>
        <w:tc>
          <w:tcPr>
            <w:tcW w:w="232" w:type="pct"/>
            <w:vMerge w:val="restar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一般公共预算</w:t>
            </w:r>
          </w:p>
        </w:tc>
        <w:tc>
          <w:tcPr>
            <w:tcW w:w="232" w:type="pct"/>
            <w:vMerge w:val="restar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政府性基金预算</w:t>
            </w:r>
          </w:p>
        </w:tc>
        <w:tc>
          <w:tcPr>
            <w:tcW w:w="232" w:type="pct"/>
            <w:vMerge w:val="restar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国有资本经营预算</w:t>
            </w:r>
          </w:p>
        </w:tc>
        <w:tc>
          <w:tcPr>
            <w:tcW w:w="232" w:type="pct"/>
            <w:vMerge w:val="restar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财政专户管理资金</w:t>
            </w:r>
          </w:p>
        </w:tc>
        <w:tc>
          <w:tcPr>
            <w:tcW w:w="1399" w:type="pct"/>
            <w:gridSpan w:val="6"/>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单位资金</w:t>
            </w:r>
          </w:p>
        </w:tc>
        <w:tc>
          <w:tcPr>
            <w:tcW w:w="233" w:type="pct"/>
            <w:vMerge w:val="restar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小计</w:t>
            </w:r>
          </w:p>
        </w:tc>
        <w:tc>
          <w:tcPr>
            <w:tcW w:w="233" w:type="pct"/>
            <w:vMerge w:val="restar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一般公共预算</w:t>
            </w:r>
          </w:p>
        </w:tc>
        <w:tc>
          <w:tcPr>
            <w:tcW w:w="233" w:type="pct"/>
            <w:vMerge w:val="restar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政府性基金预算</w:t>
            </w:r>
          </w:p>
        </w:tc>
        <w:tc>
          <w:tcPr>
            <w:tcW w:w="233" w:type="pct"/>
            <w:vMerge w:val="restar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国有资本经营预算</w:t>
            </w:r>
          </w:p>
        </w:tc>
        <w:tc>
          <w:tcPr>
            <w:tcW w:w="233" w:type="pct"/>
            <w:vMerge w:val="restar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财政专户管理资金</w:t>
            </w:r>
          </w:p>
        </w:tc>
        <w:tc>
          <w:tcPr>
            <w:tcW w:w="236" w:type="pct"/>
            <w:vMerge w:val="restar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单位资金</w:t>
            </w:r>
          </w:p>
        </w:tc>
      </w:tr>
      <w:tr>
        <w:tblPrEx>
          <w:tblW w:w="4999" w:type="pct"/>
          <w:jc w:val="center"/>
          <w:tblInd w:w="0" w:type="dxa"/>
          <w:shd w:val="clear" w:color="auto" w:fill="auto"/>
          <w:tblCellMar>
            <w:top w:w="0" w:type="dxa"/>
            <w:left w:w="108" w:type="dxa"/>
            <w:bottom w:w="0" w:type="dxa"/>
            <w:right w:w="108" w:type="dxa"/>
          </w:tblCellMar>
        </w:tblPrEx>
        <w:trPr>
          <w:trHeight w:val="0"/>
          <w:jc w:val="center"/>
        </w:trPr>
        <w:tc>
          <w:tcPr>
            <w:tcW w:w="801"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232"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232"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232"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232"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232"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232"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232" w:type="pc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小计</w:t>
            </w:r>
          </w:p>
        </w:tc>
        <w:tc>
          <w:tcPr>
            <w:tcW w:w="232" w:type="pc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事业收入</w:t>
            </w:r>
          </w:p>
        </w:tc>
        <w:tc>
          <w:tcPr>
            <w:tcW w:w="232" w:type="pc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事业单位经营收入</w:t>
            </w:r>
          </w:p>
        </w:tc>
        <w:tc>
          <w:tcPr>
            <w:tcW w:w="232" w:type="pc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上级补助收入</w:t>
            </w:r>
          </w:p>
        </w:tc>
        <w:tc>
          <w:tcPr>
            <w:tcW w:w="232" w:type="pc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附属单位上缴收入</w:t>
            </w:r>
          </w:p>
        </w:tc>
        <w:tc>
          <w:tcPr>
            <w:tcW w:w="235" w:type="pc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其他收入</w:t>
            </w:r>
          </w:p>
        </w:tc>
        <w:tc>
          <w:tcPr>
            <w:tcW w:w="233"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233"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233"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233"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233"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236"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r>
      <w:tr>
        <w:tblPrEx>
          <w:tblW w:w="4999" w:type="pct"/>
          <w:jc w:val="center"/>
          <w:tblInd w:w="0" w:type="dxa"/>
          <w:shd w:val="clear" w:color="auto" w:fill="auto"/>
          <w:tblCellMar>
            <w:top w:w="0" w:type="dxa"/>
            <w:left w:w="108" w:type="dxa"/>
            <w:bottom w:w="0" w:type="dxa"/>
            <w:right w:w="108" w:type="dxa"/>
          </w:tblCellMar>
        </w:tblPrEx>
        <w:trPr>
          <w:trHeight w:val="0"/>
          <w:jc w:val="center"/>
        </w:trPr>
        <w:tc>
          <w:tcPr>
            <w:tcW w:w="801" w:type="pct"/>
            <w:tcBorders>
              <w:tl2br w:val="nil"/>
              <w:tr2bl w:val="nil"/>
            </w:tcBorders>
            <w:shd w:val="clear" w:color="auto" w:fill="auto"/>
            <w:noWrap/>
            <w:tcMar>
              <w:left w:w="20" w:type="dxa"/>
              <w:right w:w="20" w:type="dxa"/>
            </w:tcMar>
            <w:vAlign w:val="center"/>
          </w:tcPr>
          <w:p>
            <w:pPr>
              <w:spacing w:before="0" w:after="0" w:line="240" w:lineRule="auto"/>
              <w:jc w:val="both"/>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铜陵市铜官区经济与信息化局</w:t>
            </w:r>
          </w:p>
        </w:tc>
        <w:tc>
          <w:tcPr>
            <w:tcW w:w="232" w:type="pct"/>
            <w:tcBorders>
              <w:tl2br w:val="nil"/>
              <w:tr2bl w:val="nil"/>
            </w:tcBorders>
            <w:shd w:val="clear" w:color="auto" w:fill="auto"/>
            <w:noWrap/>
            <w:tcMar>
              <w:left w:w="20" w:type="dxa"/>
              <w:right w:w="20" w:type="dxa"/>
            </w:tcMar>
            <w:vAlign w:val="center"/>
          </w:tcPr>
          <w:p>
            <w:pPr>
              <w:keepNext w:val="0"/>
              <w:keepLines w:val="0"/>
              <w:widowControl/>
              <w:suppressLineNumbers w:val="0"/>
              <w:spacing w:before="0" w:after="0" w:line="240" w:lineRule="auto"/>
              <w:jc w:val="right"/>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b w:val="0"/>
                <w:sz w:val="20"/>
              </w:rPr>
              <w:t>472.04</w:t>
            </w:r>
          </w:p>
        </w:tc>
        <w:tc>
          <w:tcPr>
            <w:tcW w:w="232"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472.04</w:t>
            </w:r>
          </w:p>
        </w:tc>
        <w:tc>
          <w:tcPr>
            <w:tcW w:w="232"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472.04</w:t>
            </w:r>
          </w:p>
        </w:tc>
        <w:tc>
          <w:tcPr>
            <w:tcW w:w="232"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32"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32"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32"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32"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32"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32"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32"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35"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33"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33"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33"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33"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33"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3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4999" w:type="pct"/>
          <w:jc w:val="center"/>
          <w:tblInd w:w="0" w:type="dxa"/>
          <w:shd w:val="clear" w:color="auto" w:fill="auto"/>
          <w:tblCellMar>
            <w:top w:w="0" w:type="dxa"/>
            <w:left w:w="108" w:type="dxa"/>
            <w:bottom w:w="0" w:type="dxa"/>
            <w:right w:w="108" w:type="dxa"/>
          </w:tblCellMar>
        </w:tblPrEx>
        <w:trPr>
          <w:trHeight w:val="4"/>
          <w:jc w:val="center"/>
        </w:trPr>
        <w:tc>
          <w:tcPr>
            <w:tcW w:w="2501"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724" w:type="dxa"/>
            <w:tcMar>
              <w:left w:w="20" w:type="dxa"/>
              <w:right w:w="20" w:type="dxa"/>
            </w:tcMar>
            <w:vAlign w:val="center"/>
          </w:tcPr>
          <w:p>
            <w:pPr>
              <w:spacing w:before="0" w:after="0" w:line="240" w:lineRule="auto"/>
              <w:jc w:val="right"/>
            </w:pPr>
            <w:r>
              <w:rPr>
                <w:rFonts w:ascii="Times New Roman" w:eastAsia="宋体" w:hAnsi="Times New Roman"/>
                <w:b w:val="0"/>
                <w:sz w:val="20"/>
              </w:rPr>
              <w:t>472.04</w:t>
            </w:r>
          </w:p>
        </w:tc>
        <w:tc>
          <w:tcPr>
            <w:tcW w:w="724" w:type="dxa"/>
            <w:tcMar>
              <w:left w:w="20" w:type="dxa"/>
              <w:right w:w="20" w:type="dxa"/>
            </w:tcMar>
            <w:vAlign w:val="center"/>
          </w:tcPr>
          <w:p>
            <w:pPr>
              <w:spacing w:before="0" w:after="0" w:line="240" w:lineRule="auto"/>
              <w:jc w:val="right"/>
            </w:pPr>
            <w:r>
              <w:rPr>
                <w:rFonts w:ascii="Times New Roman" w:eastAsia="宋体" w:hAnsi="Times New Roman"/>
                <w:b w:val="0"/>
                <w:sz w:val="20"/>
              </w:rPr>
              <w:t>472.04</w:t>
            </w:r>
          </w:p>
        </w:tc>
        <w:tc>
          <w:tcPr>
            <w:tcW w:w="724" w:type="dxa"/>
            <w:tcMar>
              <w:left w:w="20" w:type="dxa"/>
              <w:right w:w="20" w:type="dxa"/>
            </w:tcMar>
            <w:vAlign w:val="center"/>
          </w:tcPr>
          <w:p>
            <w:pPr>
              <w:spacing w:before="0" w:after="0" w:line="240" w:lineRule="auto"/>
              <w:jc w:val="right"/>
            </w:pPr>
            <w:r>
              <w:rPr>
                <w:rFonts w:ascii="Times New Roman" w:eastAsia="宋体" w:hAnsi="Times New Roman"/>
                <w:b w:val="0"/>
                <w:sz w:val="20"/>
              </w:rPr>
              <w:t>472.04</w:t>
            </w:r>
          </w:p>
        </w:tc>
        <w:tc>
          <w:tcPr>
            <w:tcW w:w="724" w:type="dxa"/>
            <w:tcMar>
              <w:left w:w="20" w:type="dxa"/>
              <w:right w:w="20" w:type="dxa"/>
            </w:tcMar>
            <w:vAlign w:val="center"/>
          </w:tcPr>
          <w:p>
            <w:pPr>
              <w:spacing w:before="0" w:after="0" w:line="240" w:lineRule="auto"/>
              <w:jc w:val="right"/>
            </w:pPr>
          </w:p>
        </w:tc>
        <w:tc>
          <w:tcPr>
            <w:tcW w:w="724" w:type="dxa"/>
            <w:tcMar>
              <w:left w:w="20" w:type="dxa"/>
              <w:right w:w="20" w:type="dxa"/>
            </w:tcMar>
            <w:vAlign w:val="center"/>
          </w:tcPr>
          <w:p>
            <w:pPr>
              <w:spacing w:before="0" w:after="0" w:line="240" w:lineRule="auto"/>
              <w:jc w:val="right"/>
            </w:pPr>
          </w:p>
        </w:tc>
        <w:tc>
          <w:tcPr>
            <w:tcW w:w="724" w:type="dxa"/>
            <w:tcMar>
              <w:left w:w="20" w:type="dxa"/>
              <w:right w:w="20" w:type="dxa"/>
            </w:tcMar>
            <w:vAlign w:val="center"/>
          </w:tcPr>
          <w:p>
            <w:pPr>
              <w:spacing w:before="0" w:after="0" w:line="240" w:lineRule="auto"/>
              <w:jc w:val="right"/>
            </w:pPr>
          </w:p>
        </w:tc>
        <w:tc>
          <w:tcPr>
            <w:tcW w:w="724" w:type="dxa"/>
            <w:tcMar>
              <w:left w:w="20" w:type="dxa"/>
              <w:right w:w="20" w:type="dxa"/>
            </w:tcMar>
            <w:vAlign w:val="center"/>
          </w:tcPr>
          <w:p>
            <w:pPr>
              <w:spacing w:before="0" w:after="0" w:line="240" w:lineRule="auto"/>
              <w:jc w:val="right"/>
            </w:pPr>
          </w:p>
        </w:tc>
        <w:tc>
          <w:tcPr>
            <w:tcW w:w="724" w:type="dxa"/>
            <w:tcMar>
              <w:left w:w="20" w:type="dxa"/>
              <w:right w:w="20" w:type="dxa"/>
            </w:tcMar>
            <w:vAlign w:val="center"/>
          </w:tcPr>
          <w:p>
            <w:pPr>
              <w:spacing w:before="0" w:after="0" w:line="240" w:lineRule="auto"/>
              <w:jc w:val="right"/>
            </w:pPr>
          </w:p>
        </w:tc>
        <w:tc>
          <w:tcPr>
            <w:tcW w:w="724" w:type="dxa"/>
            <w:tcMar>
              <w:left w:w="20" w:type="dxa"/>
              <w:right w:w="20" w:type="dxa"/>
            </w:tcMar>
            <w:vAlign w:val="center"/>
          </w:tcPr>
          <w:p>
            <w:pPr>
              <w:spacing w:before="0" w:after="0" w:line="240" w:lineRule="auto"/>
              <w:jc w:val="right"/>
            </w:pPr>
          </w:p>
        </w:tc>
        <w:tc>
          <w:tcPr>
            <w:tcW w:w="724" w:type="dxa"/>
            <w:tcMar>
              <w:left w:w="20" w:type="dxa"/>
              <w:right w:w="20" w:type="dxa"/>
            </w:tcMar>
            <w:vAlign w:val="center"/>
          </w:tcPr>
          <w:p>
            <w:pPr>
              <w:spacing w:before="0" w:after="0" w:line="240" w:lineRule="auto"/>
              <w:jc w:val="right"/>
            </w:pPr>
          </w:p>
        </w:tc>
        <w:tc>
          <w:tcPr>
            <w:tcW w:w="724" w:type="dxa"/>
            <w:tcMar>
              <w:left w:w="20" w:type="dxa"/>
              <w:right w:w="20" w:type="dxa"/>
            </w:tcMar>
            <w:vAlign w:val="center"/>
          </w:tcPr>
          <w:p>
            <w:pPr>
              <w:spacing w:before="0" w:after="0" w:line="240" w:lineRule="auto"/>
              <w:jc w:val="right"/>
            </w:pPr>
          </w:p>
        </w:tc>
        <w:tc>
          <w:tcPr>
            <w:tcW w:w="759" w:type="dxa"/>
            <w:tcMar>
              <w:left w:w="20" w:type="dxa"/>
              <w:right w:w="20" w:type="dxa"/>
            </w:tcMar>
            <w:vAlign w:val="center"/>
          </w:tcPr>
          <w:p>
            <w:pPr>
              <w:spacing w:before="0" w:after="0" w:line="240" w:lineRule="auto"/>
              <w:jc w:val="right"/>
            </w:pPr>
          </w:p>
        </w:tc>
        <w:tc>
          <w:tcPr>
            <w:tcW w:w="728" w:type="dxa"/>
            <w:tcMar>
              <w:left w:w="20" w:type="dxa"/>
              <w:right w:w="20" w:type="dxa"/>
            </w:tcMar>
            <w:vAlign w:val="center"/>
          </w:tcPr>
          <w:p>
            <w:pPr>
              <w:spacing w:before="0" w:after="0" w:line="240" w:lineRule="auto"/>
              <w:jc w:val="right"/>
            </w:pPr>
          </w:p>
        </w:tc>
        <w:tc>
          <w:tcPr>
            <w:tcW w:w="728" w:type="dxa"/>
            <w:tcMar>
              <w:left w:w="20" w:type="dxa"/>
              <w:right w:w="20" w:type="dxa"/>
            </w:tcMar>
            <w:vAlign w:val="center"/>
          </w:tcPr>
          <w:p>
            <w:pPr>
              <w:spacing w:before="0" w:after="0" w:line="240" w:lineRule="auto"/>
              <w:jc w:val="right"/>
            </w:pPr>
          </w:p>
        </w:tc>
        <w:tc>
          <w:tcPr>
            <w:tcW w:w="728" w:type="dxa"/>
            <w:tcMar>
              <w:left w:w="20" w:type="dxa"/>
              <w:right w:w="20" w:type="dxa"/>
            </w:tcMar>
            <w:vAlign w:val="center"/>
          </w:tcPr>
          <w:p>
            <w:pPr>
              <w:spacing w:before="0" w:after="0" w:line="240" w:lineRule="auto"/>
              <w:jc w:val="right"/>
            </w:pPr>
          </w:p>
        </w:tc>
        <w:tc>
          <w:tcPr>
            <w:tcW w:w="728" w:type="dxa"/>
            <w:tcMar>
              <w:left w:w="20" w:type="dxa"/>
              <w:right w:w="20" w:type="dxa"/>
            </w:tcMar>
            <w:vAlign w:val="center"/>
          </w:tcPr>
          <w:p>
            <w:pPr>
              <w:spacing w:before="0" w:after="0" w:line="240" w:lineRule="auto"/>
              <w:jc w:val="right"/>
            </w:pPr>
          </w:p>
        </w:tc>
        <w:tc>
          <w:tcPr>
            <w:tcW w:w="728" w:type="dxa"/>
            <w:tcMar>
              <w:left w:w="20" w:type="dxa"/>
              <w:right w:w="20" w:type="dxa"/>
            </w:tcMar>
            <w:vAlign w:val="center"/>
          </w:tcPr>
          <w:p>
            <w:pPr>
              <w:spacing w:before="0" w:after="0" w:line="240" w:lineRule="auto"/>
              <w:jc w:val="right"/>
            </w:pPr>
          </w:p>
        </w:tc>
        <w:tc>
          <w:tcPr>
            <w:tcW w:w="747" w:type="dxa"/>
            <w:tcMar>
              <w:left w:w="20" w:type="dxa"/>
              <w:right w:w="20" w:type="dxa"/>
            </w:tcMar>
            <w:vAlign w:val="center"/>
          </w:tcPr>
          <w:p>
            <w:pPr>
              <w:spacing w:before="0" w:after="0" w:line="240" w:lineRule="auto"/>
              <w:jc w:val="right"/>
            </w:pPr>
          </w:p>
        </w:tc>
      </w:tr>
    </w:tbl>
    <w:p>
      <w:pPr>
        <w:sectPr>
          <w:pgSz w:w="16838" w:h="11906" w:orient="landscape"/>
          <w:pgMar w:top="720" w:right="720" w:bottom="720" w:left="72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p>
    <w:tbl>
      <w:tblPr>
        <w:tblStyle w:val="TableGrid"/>
        <w:tblW w:w="6453" w:type="pct"/>
        <w:jc w:val="center"/>
        <w:tblInd w:w="-1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ayout w:type="fixed"/>
        <w:tblCellMar>
          <w:top w:w="0" w:type="dxa"/>
          <w:left w:w="108" w:type="dxa"/>
          <w:bottom w:w="0" w:type="dxa"/>
          <w:right w:w="108" w:type="dxa"/>
        </w:tblCellMar>
      </w:tblPr>
      <w:tblGrid>
        <w:gridCol w:w="1413"/>
        <w:gridCol w:w="2774"/>
        <w:gridCol w:w="1135"/>
        <w:gridCol w:w="1135"/>
        <w:gridCol w:w="1135"/>
        <w:gridCol w:w="1135"/>
        <w:gridCol w:w="1135"/>
        <w:gridCol w:w="1136"/>
      </w:tblGrid>
      <w:tr>
        <w:tblPrEx>
          <w:tblW w:w="6453" w:type="pct"/>
          <w:jc w:val="center"/>
          <w:tblInd w:w="-1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ayout w:type="fixed"/>
          <w:tblCellMar>
            <w:top w:w="0" w:type="dxa"/>
            <w:left w:w="108" w:type="dxa"/>
            <w:bottom w:w="0" w:type="dxa"/>
            <w:right w:w="108" w:type="dxa"/>
          </w:tblCellMar>
        </w:tblPrEx>
        <w:trPr>
          <w:cantSplit/>
          <w:trHeight w:val="0"/>
          <w:jc w:val="center"/>
        </w:trPr>
        <w:tc>
          <w:tcPr>
            <w:tcW w:w="1414" w:type="dxa"/>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775" w:type="dxa"/>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135" w:type="dxa"/>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135" w:type="dxa"/>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135" w:type="dxa"/>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3406" w:type="dxa"/>
            <w:gridSpan w:val="3"/>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eastAsia="zh-CN" w:bidi="ar"/>
              </w:rPr>
            </w:pPr>
            <w:r>
              <w:rPr>
                <w:rFonts w:ascii="Times New Roman" w:eastAsia="宋体" w:hAnsi="Times New Roman" w:cs="宋体" w:hint="eastAsia"/>
                <w:i w:val="0"/>
                <w:iCs w:val="0"/>
                <w:color w:val="000000"/>
                <w:kern w:val="0"/>
                <w:sz w:val="20"/>
                <w:szCs w:val="20"/>
                <w:u w:val="none"/>
                <w:lang w:val="en-US" w:eastAsia="zh-CN" w:bidi="ar"/>
              </w:rPr>
              <w:t>部门</w:t>
            </w:r>
            <w:r>
              <w:rPr>
                <w:rFonts w:ascii="Times New Roman" w:eastAsia="宋体" w:hAnsi="Times New Roman" w:cs="宋体" w:hint="eastAsia"/>
                <w:i w:val="0"/>
                <w:iCs w:val="0"/>
                <w:color w:val="000000"/>
                <w:kern w:val="0"/>
                <w:sz w:val="20"/>
                <w:szCs w:val="20"/>
                <w:u w:val="none"/>
                <w:lang w:val="en-US" w:bidi="ar"/>
              </w:rPr>
              <w:t>公开表3</w:t>
            </w:r>
          </w:p>
        </w:tc>
      </w:tr>
      <w:tr>
        <w:tblPrEx>
          <w:tblW w:w="6453" w:type="pct"/>
          <w:jc w:val="center"/>
          <w:tblInd w:w="-1182" w:type="dxa"/>
          <w:shd w:val="clear" w:color="auto" w:fill="auto"/>
          <w:tblLayout w:type="fixed"/>
          <w:tblCellMar>
            <w:top w:w="0" w:type="dxa"/>
            <w:left w:w="108" w:type="dxa"/>
            <w:bottom w:w="0" w:type="dxa"/>
            <w:right w:w="108" w:type="dxa"/>
          </w:tblCellMar>
        </w:tblPrEx>
        <w:trPr>
          <w:cantSplit/>
          <w:trHeight w:val="0"/>
          <w:jc w:val="center"/>
        </w:trPr>
        <w:tc>
          <w:tcPr>
            <w:tcW w:w="11000" w:type="dxa"/>
            <w:gridSpan w:val="8"/>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bCs/>
                <w:kern w:val="0"/>
                <w:sz w:val="32"/>
                <w:szCs w:val="32"/>
                <w:lang w:val="en-US" w:eastAsia="zh-CN"/>
              </w:rPr>
              <w:t>铜陵市铜官区经济与信息化局2024</w:t>
            </w:r>
            <w:r>
              <w:rPr>
                <w:rFonts w:ascii="Times New Roman" w:eastAsia="宋体" w:hAnsi="Times New Roman" w:cs="宋体" w:hint="eastAsia"/>
                <w:b/>
                <w:bCs/>
                <w:kern w:val="0"/>
                <w:sz w:val="32"/>
                <w:szCs w:val="32"/>
                <w:lang w:val="en-US"/>
              </w:rPr>
              <w:t>年支出总表</w:t>
            </w:r>
          </w:p>
        </w:tc>
      </w:tr>
      <w:tr>
        <w:tblPrEx>
          <w:tblW w:w="6453" w:type="pct"/>
          <w:jc w:val="center"/>
          <w:tblInd w:w="-1182" w:type="dxa"/>
          <w:shd w:val="clear" w:color="auto" w:fill="auto"/>
          <w:tblLayout w:type="fixed"/>
          <w:tblCellMar>
            <w:top w:w="0" w:type="dxa"/>
            <w:left w:w="108" w:type="dxa"/>
            <w:bottom w:w="0" w:type="dxa"/>
            <w:right w:w="108" w:type="dxa"/>
          </w:tblCellMar>
        </w:tblPrEx>
        <w:trPr>
          <w:cantSplit/>
          <w:trHeight w:val="0"/>
          <w:jc w:val="center"/>
        </w:trPr>
        <w:tc>
          <w:tcPr>
            <w:tcW w:w="1414" w:type="dxa"/>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775" w:type="dxa"/>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135" w:type="dxa"/>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135" w:type="dxa"/>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135" w:type="dxa"/>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135" w:type="dxa"/>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271" w:type="dxa"/>
            <w:gridSpan w:val="2"/>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i w:val="0"/>
                <w:iCs w:val="0"/>
                <w:color w:val="000000"/>
                <w:kern w:val="0"/>
                <w:sz w:val="20"/>
                <w:szCs w:val="20"/>
                <w:u w:val="none"/>
                <w:lang w:val="en-US" w:bidi="ar"/>
              </w:rPr>
              <w:t>单位：万元</w:t>
            </w:r>
          </w:p>
        </w:tc>
      </w:tr>
      <w:tr>
        <w:tblPrEx>
          <w:tblW w:w="6453" w:type="pct"/>
          <w:jc w:val="center"/>
          <w:tblInd w:w="-1182" w:type="dxa"/>
          <w:shd w:val="clear" w:color="auto" w:fill="auto"/>
          <w:tblLayout w:type="fixed"/>
          <w:tblCellMar>
            <w:top w:w="0" w:type="dxa"/>
            <w:left w:w="108" w:type="dxa"/>
            <w:bottom w:w="0" w:type="dxa"/>
            <w:right w:w="108" w:type="dxa"/>
          </w:tblCellMar>
        </w:tblPrEx>
        <w:trPr>
          <w:cantSplit/>
          <w:trHeight w:val="0"/>
          <w:jc w:val="center"/>
        </w:trPr>
        <w:tc>
          <w:tcPr>
            <w:tcW w:w="1414" w:type="dxa"/>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科目编码</w:t>
            </w:r>
          </w:p>
        </w:tc>
        <w:tc>
          <w:tcPr>
            <w:tcW w:w="2775" w:type="dxa"/>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科目名称</w:t>
            </w:r>
          </w:p>
        </w:tc>
        <w:tc>
          <w:tcPr>
            <w:tcW w:w="1135" w:type="dxa"/>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合计</w:t>
            </w:r>
          </w:p>
        </w:tc>
        <w:tc>
          <w:tcPr>
            <w:tcW w:w="1135" w:type="dxa"/>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bCs/>
                <w:i w:val="0"/>
                <w:iCs w:val="0"/>
                <w:color w:val="000000"/>
                <w:kern w:val="0"/>
                <w:sz w:val="20"/>
                <w:szCs w:val="20"/>
                <w:u w:val="none"/>
                <w:lang w:val="en-US" w:eastAsia="zh-CN" w:bidi="ar"/>
              </w:rPr>
              <w:t>基本</w:t>
            </w:r>
          </w:p>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支出</w:t>
            </w:r>
          </w:p>
        </w:tc>
        <w:tc>
          <w:tcPr>
            <w:tcW w:w="1135" w:type="dxa"/>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bCs/>
                <w:i w:val="0"/>
                <w:iCs w:val="0"/>
                <w:color w:val="000000"/>
                <w:kern w:val="0"/>
                <w:sz w:val="20"/>
                <w:szCs w:val="20"/>
                <w:u w:val="none"/>
                <w:lang w:val="en-US" w:eastAsia="zh-CN" w:bidi="ar"/>
              </w:rPr>
              <w:t>项目</w:t>
            </w:r>
          </w:p>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支出</w:t>
            </w:r>
          </w:p>
        </w:tc>
        <w:tc>
          <w:tcPr>
            <w:tcW w:w="1135" w:type="dxa"/>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事业单位经营支出</w:t>
            </w:r>
          </w:p>
        </w:tc>
        <w:tc>
          <w:tcPr>
            <w:tcW w:w="1135" w:type="dxa"/>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上缴上级支出</w:t>
            </w:r>
          </w:p>
        </w:tc>
        <w:tc>
          <w:tcPr>
            <w:tcW w:w="1136" w:type="dxa"/>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对附属单位补助支出</w:t>
            </w:r>
          </w:p>
        </w:tc>
      </w:tr>
      <w:tr>
        <w:tblPrEx>
          <w:tblW w:w="6453" w:type="pct"/>
          <w:jc w:val="center"/>
          <w:tblInd w:w="-1182" w:type="dxa"/>
          <w:shd w:val="clear" w:color="auto" w:fill="auto"/>
          <w:tblLayout w:type="fixed"/>
          <w:tblCellMar>
            <w:top w:w="0" w:type="dxa"/>
            <w:left w:w="108" w:type="dxa"/>
            <w:bottom w:w="0" w:type="dxa"/>
            <w:right w:w="108" w:type="dxa"/>
          </w:tblCellMar>
        </w:tblPrEx>
        <w:trPr>
          <w:cantSplit/>
          <w:trHeight w:val="0"/>
          <w:jc w:val="center"/>
        </w:trPr>
        <w:tc>
          <w:tcPr>
            <w:tcW w:w="1414" w:type="dxa"/>
            <w:tcBorders>
              <w:tl2br w:val="nil"/>
              <w:tr2bl w:val="nil"/>
            </w:tcBorders>
            <w:shd w:val="clear" w:color="auto" w:fill="auto"/>
            <w:noWrap/>
            <w:tcMar>
              <w:left w:w="20" w:type="dxa"/>
              <w:right w:w="20" w:type="dxa"/>
            </w:tcMar>
            <w:vAlign w:val="center"/>
          </w:tcPr>
          <w:p>
            <w:pPr>
              <w:spacing w:before="0" w:after="0" w:line="240" w:lineRule="auto"/>
              <w:jc w:val="both"/>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201</w:t>
            </w:r>
          </w:p>
        </w:tc>
        <w:tc>
          <w:tcPr>
            <w:tcW w:w="2775" w:type="dxa"/>
            <w:tcBorders>
              <w:tl2br w:val="nil"/>
              <w:tr2bl w:val="nil"/>
            </w:tcBorders>
            <w:shd w:val="clear" w:color="auto" w:fill="auto"/>
            <w:noWrap/>
            <w:tcMar>
              <w:left w:w="20" w:type="dxa"/>
              <w:right w:w="20" w:type="dxa"/>
            </w:tcMar>
            <w:vAlign w:val="center"/>
          </w:tcPr>
          <w:p>
            <w:pPr>
              <w:keepNext w:val="0"/>
              <w:keepLines w:val="0"/>
              <w:widowControl/>
              <w:suppressLineNumbers w:val="0"/>
              <w:spacing w:before="0" w:after="0" w:line="240" w:lineRule="auto"/>
              <w:jc w:val="both"/>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b w:val="0"/>
                <w:sz w:val="20"/>
              </w:rPr>
              <w:t>一般公共服务支出</w:t>
            </w:r>
          </w:p>
        </w:tc>
        <w:tc>
          <w:tcPr>
            <w:tcW w:w="1135" w:type="dxa"/>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290.44</w:t>
            </w:r>
          </w:p>
        </w:tc>
        <w:tc>
          <w:tcPr>
            <w:tcW w:w="1135" w:type="dxa"/>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220.08</w:t>
            </w:r>
          </w:p>
        </w:tc>
        <w:tc>
          <w:tcPr>
            <w:tcW w:w="1135" w:type="dxa"/>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70.36</w:t>
            </w:r>
          </w:p>
        </w:tc>
        <w:tc>
          <w:tcPr>
            <w:tcW w:w="1135" w:type="dxa"/>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135" w:type="dxa"/>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1136" w:type="dxa"/>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6453" w:type="pct"/>
          <w:jc w:val="center"/>
          <w:tblInd w:w="-1182" w:type="dxa"/>
          <w:shd w:val="clear" w:color="auto" w:fill="auto"/>
          <w:tblLayout w:type="fixed"/>
          <w:tblCellMar>
            <w:top w:w="0" w:type="dxa"/>
            <w:left w:w="108" w:type="dxa"/>
            <w:bottom w:w="0" w:type="dxa"/>
            <w:right w:w="108" w:type="dxa"/>
          </w:tblCellMar>
        </w:tblPrEx>
        <w:trPr>
          <w:trHeight w:val="4"/>
          <w:jc w:val="center"/>
        </w:trPr>
        <w:tc>
          <w:tcPr>
            <w:tcW w:w="1414" w:type="dxa"/>
            <w:tcMar>
              <w:left w:w="20" w:type="dxa"/>
              <w:right w:w="20" w:type="dxa"/>
            </w:tcMar>
            <w:vAlign w:val="center"/>
          </w:tcPr>
          <w:p>
            <w:pPr>
              <w:spacing w:before="0" w:after="0" w:line="240" w:lineRule="auto"/>
            </w:pPr>
            <w:r>
              <w:rPr>
                <w:rFonts w:ascii="Times New Roman" w:eastAsia="宋体" w:hAnsi="Times New Roman"/>
                <w:b w:val="0"/>
                <w:sz w:val="20"/>
              </w:rPr>
              <w:t>　20104</w:t>
            </w:r>
          </w:p>
        </w:tc>
        <w:tc>
          <w:tcPr>
            <w:tcW w:w="2775" w:type="dxa"/>
            <w:tcMar>
              <w:left w:w="20" w:type="dxa"/>
              <w:right w:w="20" w:type="dxa"/>
            </w:tcMar>
            <w:vAlign w:val="center"/>
          </w:tcPr>
          <w:p>
            <w:pPr>
              <w:spacing w:before="0" w:after="0" w:line="240" w:lineRule="auto"/>
            </w:pPr>
            <w:r>
              <w:rPr>
                <w:rFonts w:ascii="Times New Roman" w:eastAsia="宋体" w:hAnsi="Times New Roman"/>
                <w:b w:val="0"/>
                <w:sz w:val="20"/>
              </w:rPr>
              <w:t>　发展与改革事务</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283.06</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212.69</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70.36</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6" w:type="dxa"/>
            <w:tcMar>
              <w:left w:w="20" w:type="dxa"/>
              <w:right w:w="20" w:type="dxa"/>
            </w:tcMar>
            <w:vAlign w:val="center"/>
          </w:tcPr>
          <w:p>
            <w:pPr>
              <w:spacing w:before="0" w:after="0" w:line="240" w:lineRule="auto"/>
              <w:jc w:val="right"/>
            </w:pPr>
          </w:p>
        </w:tc>
      </w:tr>
      <w:tr>
        <w:tblPrEx>
          <w:tblW w:w="6453" w:type="pct"/>
          <w:jc w:val="center"/>
          <w:tblInd w:w="-1182" w:type="dxa"/>
          <w:shd w:val="clear" w:color="auto" w:fill="auto"/>
          <w:tblLayout w:type="fixed"/>
          <w:tblCellMar>
            <w:top w:w="0" w:type="dxa"/>
            <w:left w:w="108" w:type="dxa"/>
            <w:bottom w:w="0" w:type="dxa"/>
            <w:right w:w="108" w:type="dxa"/>
          </w:tblCellMar>
        </w:tblPrEx>
        <w:trPr>
          <w:trHeight w:val="4"/>
          <w:jc w:val="center"/>
        </w:trPr>
        <w:tc>
          <w:tcPr>
            <w:tcW w:w="1414" w:type="dxa"/>
            <w:tcMar>
              <w:left w:w="20" w:type="dxa"/>
              <w:right w:w="20" w:type="dxa"/>
            </w:tcMar>
            <w:vAlign w:val="center"/>
          </w:tcPr>
          <w:p>
            <w:pPr>
              <w:spacing w:before="0" w:after="0" w:line="240" w:lineRule="auto"/>
            </w:pPr>
            <w:r>
              <w:rPr>
                <w:rFonts w:ascii="Times New Roman" w:eastAsia="宋体" w:hAnsi="Times New Roman"/>
                <w:b w:val="0"/>
                <w:sz w:val="20"/>
              </w:rPr>
              <w:t>　　2010401</w:t>
            </w:r>
          </w:p>
        </w:tc>
        <w:tc>
          <w:tcPr>
            <w:tcW w:w="2775" w:type="dxa"/>
            <w:tcMar>
              <w:left w:w="20" w:type="dxa"/>
              <w:right w:w="20" w:type="dxa"/>
            </w:tcMar>
            <w:vAlign w:val="center"/>
          </w:tcPr>
          <w:p>
            <w:pPr>
              <w:spacing w:before="0" w:after="0" w:line="240" w:lineRule="auto"/>
            </w:pPr>
            <w:r>
              <w:rPr>
                <w:rFonts w:ascii="Times New Roman" w:eastAsia="宋体" w:hAnsi="Times New Roman"/>
                <w:b w:val="0"/>
                <w:sz w:val="20"/>
              </w:rPr>
              <w:t>　　行政运行</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217.69</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212.69</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5.00</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6" w:type="dxa"/>
            <w:tcMar>
              <w:left w:w="20" w:type="dxa"/>
              <w:right w:w="20" w:type="dxa"/>
            </w:tcMar>
            <w:vAlign w:val="center"/>
          </w:tcPr>
          <w:p>
            <w:pPr>
              <w:spacing w:before="0" w:after="0" w:line="240" w:lineRule="auto"/>
              <w:jc w:val="right"/>
            </w:pPr>
          </w:p>
        </w:tc>
      </w:tr>
      <w:tr>
        <w:tblPrEx>
          <w:tblW w:w="6453" w:type="pct"/>
          <w:jc w:val="center"/>
          <w:tblInd w:w="-1182" w:type="dxa"/>
          <w:shd w:val="clear" w:color="auto" w:fill="auto"/>
          <w:tblLayout w:type="fixed"/>
          <w:tblCellMar>
            <w:top w:w="0" w:type="dxa"/>
            <w:left w:w="108" w:type="dxa"/>
            <w:bottom w:w="0" w:type="dxa"/>
            <w:right w:w="108" w:type="dxa"/>
          </w:tblCellMar>
        </w:tblPrEx>
        <w:trPr>
          <w:trHeight w:val="4"/>
          <w:jc w:val="center"/>
        </w:trPr>
        <w:tc>
          <w:tcPr>
            <w:tcW w:w="1414" w:type="dxa"/>
            <w:tcMar>
              <w:left w:w="20" w:type="dxa"/>
              <w:right w:w="20" w:type="dxa"/>
            </w:tcMar>
            <w:vAlign w:val="center"/>
          </w:tcPr>
          <w:p>
            <w:pPr>
              <w:spacing w:before="0" w:after="0" w:line="240" w:lineRule="auto"/>
            </w:pPr>
            <w:r>
              <w:rPr>
                <w:rFonts w:ascii="Times New Roman" w:eastAsia="宋体" w:hAnsi="Times New Roman"/>
                <w:b w:val="0"/>
                <w:sz w:val="20"/>
              </w:rPr>
              <w:t>　　2010402</w:t>
            </w:r>
          </w:p>
        </w:tc>
        <w:tc>
          <w:tcPr>
            <w:tcW w:w="2775" w:type="dxa"/>
            <w:tcMar>
              <w:left w:w="20" w:type="dxa"/>
              <w:right w:w="20" w:type="dxa"/>
            </w:tcMar>
            <w:vAlign w:val="center"/>
          </w:tcPr>
          <w:p>
            <w:pPr>
              <w:spacing w:before="0" w:after="0" w:line="240" w:lineRule="auto"/>
            </w:pPr>
            <w:r>
              <w:rPr>
                <w:rFonts w:ascii="Times New Roman" w:eastAsia="宋体" w:hAnsi="Times New Roman"/>
                <w:b w:val="0"/>
                <w:sz w:val="20"/>
              </w:rPr>
              <w:t>　　一般行政管理事务</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65.36</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65.36</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6" w:type="dxa"/>
            <w:tcMar>
              <w:left w:w="20" w:type="dxa"/>
              <w:right w:w="20" w:type="dxa"/>
            </w:tcMar>
            <w:vAlign w:val="center"/>
          </w:tcPr>
          <w:p>
            <w:pPr>
              <w:spacing w:before="0" w:after="0" w:line="240" w:lineRule="auto"/>
              <w:jc w:val="right"/>
            </w:pPr>
          </w:p>
        </w:tc>
      </w:tr>
      <w:tr>
        <w:tblPrEx>
          <w:tblW w:w="6453" w:type="pct"/>
          <w:jc w:val="center"/>
          <w:tblInd w:w="-1182" w:type="dxa"/>
          <w:shd w:val="clear" w:color="auto" w:fill="auto"/>
          <w:tblLayout w:type="fixed"/>
          <w:tblCellMar>
            <w:top w:w="0" w:type="dxa"/>
            <w:left w:w="108" w:type="dxa"/>
            <w:bottom w:w="0" w:type="dxa"/>
            <w:right w:w="108" w:type="dxa"/>
          </w:tblCellMar>
        </w:tblPrEx>
        <w:trPr>
          <w:trHeight w:val="4"/>
          <w:jc w:val="center"/>
        </w:trPr>
        <w:tc>
          <w:tcPr>
            <w:tcW w:w="1414" w:type="dxa"/>
            <w:tcMar>
              <w:left w:w="20" w:type="dxa"/>
              <w:right w:w="20" w:type="dxa"/>
            </w:tcMar>
            <w:vAlign w:val="center"/>
          </w:tcPr>
          <w:p>
            <w:pPr>
              <w:spacing w:before="0" w:after="0" w:line="240" w:lineRule="auto"/>
            </w:pPr>
            <w:r>
              <w:rPr>
                <w:rFonts w:ascii="Times New Roman" w:eastAsia="宋体" w:hAnsi="Times New Roman"/>
                <w:b w:val="0"/>
                <w:sz w:val="20"/>
              </w:rPr>
              <w:t>　20129</w:t>
            </w:r>
          </w:p>
        </w:tc>
        <w:tc>
          <w:tcPr>
            <w:tcW w:w="2775" w:type="dxa"/>
            <w:tcMar>
              <w:left w:w="20" w:type="dxa"/>
              <w:right w:w="20" w:type="dxa"/>
            </w:tcMar>
            <w:vAlign w:val="center"/>
          </w:tcPr>
          <w:p>
            <w:pPr>
              <w:spacing w:before="0" w:after="0" w:line="240" w:lineRule="auto"/>
            </w:pPr>
            <w:r>
              <w:rPr>
                <w:rFonts w:ascii="Times New Roman" w:eastAsia="宋体" w:hAnsi="Times New Roman"/>
                <w:b w:val="0"/>
                <w:sz w:val="20"/>
              </w:rPr>
              <w:t>　群众团体事务</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5.95</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5.95</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6" w:type="dxa"/>
            <w:tcMar>
              <w:left w:w="20" w:type="dxa"/>
              <w:right w:w="20" w:type="dxa"/>
            </w:tcMar>
            <w:vAlign w:val="center"/>
          </w:tcPr>
          <w:p>
            <w:pPr>
              <w:spacing w:before="0" w:after="0" w:line="240" w:lineRule="auto"/>
              <w:jc w:val="right"/>
            </w:pPr>
          </w:p>
        </w:tc>
      </w:tr>
      <w:tr>
        <w:tblPrEx>
          <w:tblW w:w="6453" w:type="pct"/>
          <w:jc w:val="center"/>
          <w:tblInd w:w="-1182" w:type="dxa"/>
          <w:shd w:val="clear" w:color="auto" w:fill="auto"/>
          <w:tblLayout w:type="fixed"/>
          <w:tblCellMar>
            <w:top w:w="0" w:type="dxa"/>
            <w:left w:w="108" w:type="dxa"/>
            <w:bottom w:w="0" w:type="dxa"/>
            <w:right w:w="108" w:type="dxa"/>
          </w:tblCellMar>
        </w:tblPrEx>
        <w:trPr>
          <w:trHeight w:val="4"/>
          <w:jc w:val="center"/>
        </w:trPr>
        <w:tc>
          <w:tcPr>
            <w:tcW w:w="1414" w:type="dxa"/>
            <w:tcMar>
              <w:left w:w="20" w:type="dxa"/>
              <w:right w:w="20" w:type="dxa"/>
            </w:tcMar>
            <w:vAlign w:val="center"/>
          </w:tcPr>
          <w:p>
            <w:pPr>
              <w:spacing w:before="0" w:after="0" w:line="240" w:lineRule="auto"/>
            </w:pPr>
            <w:r>
              <w:rPr>
                <w:rFonts w:ascii="Times New Roman" w:eastAsia="宋体" w:hAnsi="Times New Roman"/>
                <w:b w:val="0"/>
                <w:sz w:val="20"/>
              </w:rPr>
              <w:t>　　2012999</w:t>
            </w:r>
          </w:p>
        </w:tc>
        <w:tc>
          <w:tcPr>
            <w:tcW w:w="2775" w:type="dxa"/>
            <w:tcMar>
              <w:left w:w="20" w:type="dxa"/>
              <w:right w:w="20" w:type="dxa"/>
            </w:tcMar>
            <w:vAlign w:val="center"/>
          </w:tcPr>
          <w:p>
            <w:pPr>
              <w:spacing w:before="0" w:after="0" w:line="240" w:lineRule="auto"/>
            </w:pPr>
            <w:r>
              <w:rPr>
                <w:rFonts w:ascii="Times New Roman" w:eastAsia="宋体" w:hAnsi="Times New Roman"/>
                <w:b w:val="0"/>
                <w:sz w:val="20"/>
              </w:rPr>
              <w:t>　　其他群众团体事务支出</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5.95</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5.95</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6" w:type="dxa"/>
            <w:tcMar>
              <w:left w:w="20" w:type="dxa"/>
              <w:right w:w="20" w:type="dxa"/>
            </w:tcMar>
            <w:vAlign w:val="center"/>
          </w:tcPr>
          <w:p>
            <w:pPr>
              <w:spacing w:before="0" w:after="0" w:line="240" w:lineRule="auto"/>
              <w:jc w:val="right"/>
            </w:pPr>
          </w:p>
        </w:tc>
      </w:tr>
      <w:tr>
        <w:tblPrEx>
          <w:tblW w:w="6453" w:type="pct"/>
          <w:jc w:val="center"/>
          <w:tblInd w:w="-1182" w:type="dxa"/>
          <w:shd w:val="clear" w:color="auto" w:fill="auto"/>
          <w:tblLayout w:type="fixed"/>
          <w:tblCellMar>
            <w:top w:w="0" w:type="dxa"/>
            <w:left w:w="108" w:type="dxa"/>
            <w:bottom w:w="0" w:type="dxa"/>
            <w:right w:w="108" w:type="dxa"/>
          </w:tblCellMar>
        </w:tblPrEx>
        <w:trPr>
          <w:trHeight w:val="4"/>
          <w:jc w:val="center"/>
        </w:trPr>
        <w:tc>
          <w:tcPr>
            <w:tcW w:w="1414" w:type="dxa"/>
            <w:tcMar>
              <w:left w:w="20" w:type="dxa"/>
              <w:right w:w="20" w:type="dxa"/>
            </w:tcMar>
            <w:vAlign w:val="center"/>
          </w:tcPr>
          <w:p>
            <w:pPr>
              <w:spacing w:before="0" w:after="0" w:line="240" w:lineRule="auto"/>
            </w:pPr>
            <w:r>
              <w:rPr>
                <w:rFonts w:ascii="Times New Roman" w:eastAsia="宋体" w:hAnsi="Times New Roman"/>
                <w:b w:val="0"/>
                <w:sz w:val="20"/>
              </w:rPr>
              <w:t>　20132</w:t>
            </w:r>
          </w:p>
        </w:tc>
        <w:tc>
          <w:tcPr>
            <w:tcW w:w="2775" w:type="dxa"/>
            <w:tcMar>
              <w:left w:w="20" w:type="dxa"/>
              <w:right w:w="20" w:type="dxa"/>
            </w:tcMar>
            <w:vAlign w:val="center"/>
          </w:tcPr>
          <w:p>
            <w:pPr>
              <w:spacing w:before="0" w:after="0" w:line="240" w:lineRule="auto"/>
            </w:pPr>
            <w:r>
              <w:rPr>
                <w:rFonts w:ascii="Times New Roman" w:eastAsia="宋体" w:hAnsi="Times New Roman"/>
                <w:b w:val="0"/>
                <w:sz w:val="20"/>
              </w:rPr>
              <w:t>　组织事务</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1.43</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1.43</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6" w:type="dxa"/>
            <w:tcMar>
              <w:left w:w="20" w:type="dxa"/>
              <w:right w:w="20" w:type="dxa"/>
            </w:tcMar>
            <w:vAlign w:val="center"/>
          </w:tcPr>
          <w:p>
            <w:pPr>
              <w:spacing w:before="0" w:after="0" w:line="240" w:lineRule="auto"/>
              <w:jc w:val="right"/>
            </w:pPr>
          </w:p>
        </w:tc>
      </w:tr>
      <w:tr>
        <w:tblPrEx>
          <w:tblW w:w="6453" w:type="pct"/>
          <w:jc w:val="center"/>
          <w:tblInd w:w="-1182" w:type="dxa"/>
          <w:shd w:val="clear" w:color="auto" w:fill="auto"/>
          <w:tblLayout w:type="fixed"/>
          <w:tblCellMar>
            <w:top w:w="0" w:type="dxa"/>
            <w:left w:w="108" w:type="dxa"/>
            <w:bottom w:w="0" w:type="dxa"/>
            <w:right w:w="108" w:type="dxa"/>
          </w:tblCellMar>
        </w:tblPrEx>
        <w:trPr>
          <w:trHeight w:val="4"/>
          <w:jc w:val="center"/>
        </w:trPr>
        <w:tc>
          <w:tcPr>
            <w:tcW w:w="1414" w:type="dxa"/>
            <w:tcMar>
              <w:left w:w="20" w:type="dxa"/>
              <w:right w:w="20" w:type="dxa"/>
            </w:tcMar>
            <w:vAlign w:val="center"/>
          </w:tcPr>
          <w:p>
            <w:pPr>
              <w:spacing w:before="0" w:after="0" w:line="240" w:lineRule="auto"/>
            </w:pPr>
            <w:r>
              <w:rPr>
                <w:rFonts w:ascii="Times New Roman" w:eastAsia="宋体" w:hAnsi="Times New Roman"/>
                <w:b w:val="0"/>
                <w:sz w:val="20"/>
              </w:rPr>
              <w:t>　　2013299</w:t>
            </w:r>
          </w:p>
        </w:tc>
        <w:tc>
          <w:tcPr>
            <w:tcW w:w="2775" w:type="dxa"/>
            <w:tcMar>
              <w:left w:w="20" w:type="dxa"/>
              <w:right w:w="20" w:type="dxa"/>
            </w:tcMar>
            <w:vAlign w:val="center"/>
          </w:tcPr>
          <w:p>
            <w:pPr>
              <w:spacing w:before="0" w:after="0" w:line="240" w:lineRule="auto"/>
            </w:pPr>
            <w:r>
              <w:rPr>
                <w:rFonts w:ascii="Times New Roman" w:eastAsia="宋体" w:hAnsi="Times New Roman"/>
                <w:b w:val="0"/>
                <w:sz w:val="20"/>
              </w:rPr>
              <w:t>　　其他组织事务支出</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1.43</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1.43</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6" w:type="dxa"/>
            <w:tcMar>
              <w:left w:w="20" w:type="dxa"/>
              <w:right w:w="20" w:type="dxa"/>
            </w:tcMar>
            <w:vAlign w:val="center"/>
          </w:tcPr>
          <w:p>
            <w:pPr>
              <w:spacing w:before="0" w:after="0" w:line="240" w:lineRule="auto"/>
              <w:jc w:val="right"/>
            </w:pPr>
          </w:p>
        </w:tc>
      </w:tr>
      <w:tr>
        <w:tblPrEx>
          <w:tblW w:w="6453" w:type="pct"/>
          <w:jc w:val="center"/>
          <w:tblInd w:w="-1182" w:type="dxa"/>
          <w:shd w:val="clear" w:color="auto" w:fill="auto"/>
          <w:tblLayout w:type="fixed"/>
          <w:tblCellMar>
            <w:top w:w="0" w:type="dxa"/>
            <w:left w:w="108" w:type="dxa"/>
            <w:bottom w:w="0" w:type="dxa"/>
            <w:right w:w="108" w:type="dxa"/>
          </w:tblCellMar>
        </w:tblPrEx>
        <w:trPr>
          <w:trHeight w:val="4"/>
          <w:jc w:val="center"/>
        </w:trPr>
        <w:tc>
          <w:tcPr>
            <w:tcW w:w="1414" w:type="dxa"/>
            <w:tcMar>
              <w:left w:w="20" w:type="dxa"/>
              <w:right w:w="20" w:type="dxa"/>
            </w:tcMar>
            <w:vAlign w:val="center"/>
          </w:tcPr>
          <w:p>
            <w:pPr>
              <w:spacing w:before="0" w:after="0" w:line="240" w:lineRule="auto"/>
            </w:pPr>
            <w:r>
              <w:rPr>
                <w:rFonts w:ascii="Times New Roman" w:eastAsia="宋体" w:hAnsi="Times New Roman"/>
                <w:b w:val="0"/>
                <w:sz w:val="20"/>
              </w:rPr>
              <w:t>208</w:t>
            </w:r>
          </w:p>
        </w:tc>
        <w:tc>
          <w:tcPr>
            <w:tcW w:w="2775" w:type="dxa"/>
            <w:tcMar>
              <w:left w:w="20" w:type="dxa"/>
              <w:right w:w="20" w:type="dxa"/>
            </w:tcMar>
            <w:vAlign w:val="center"/>
          </w:tcPr>
          <w:p>
            <w:pPr>
              <w:spacing w:before="0" w:after="0" w:line="240" w:lineRule="auto"/>
            </w:pPr>
            <w:r>
              <w:rPr>
                <w:rFonts w:ascii="Times New Roman" w:eastAsia="宋体" w:hAnsi="Times New Roman"/>
                <w:b w:val="0"/>
                <w:sz w:val="20"/>
              </w:rPr>
              <w:t>社会保障和就业支出</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181.60</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170.94</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6" w:type="dxa"/>
            <w:tcMar>
              <w:left w:w="20" w:type="dxa"/>
              <w:right w:w="20" w:type="dxa"/>
            </w:tcMar>
            <w:vAlign w:val="center"/>
          </w:tcPr>
          <w:p>
            <w:pPr>
              <w:spacing w:before="0" w:after="0" w:line="240" w:lineRule="auto"/>
              <w:jc w:val="right"/>
            </w:pPr>
          </w:p>
        </w:tc>
      </w:tr>
      <w:tr>
        <w:tblPrEx>
          <w:tblW w:w="6453" w:type="pct"/>
          <w:jc w:val="center"/>
          <w:tblInd w:w="-1182" w:type="dxa"/>
          <w:shd w:val="clear" w:color="auto" w:fill="auto"/>
          <w:tblLayout w:type="fixed"/>
          <w:tblCellMar>
            <w:top w:w="0" w:type="dxa"/>
            <w:left w:w="108" w:type="dxa"/>
            <w:bottom w:w="0" w:type="dxa"/>
            <w:right w:w="108" w:type="dxa"/>
          </w:tblCellMar>
        </w:tblPrEx>
        <w:trPr>
          <w:trHeight w:val="4"/>
          <w:jc w:val="center"/>
        </w:trPr>
        <w:tc>
          <w:tcPr>
            <w:tcW w:w="1414" w:type="dxa"/>
            <w:tcMar>
              <w:left w:w="20" w:type="dxa"/>
              <w:right w:w="20" w:type="dxa"/>
            </w:tcMar>
            <w:vAlign w:val="center"/>
          </w:tcPr>
          <w:p>
            <w:pPr>
              <w:spacing w:before="0" w:after="0" w:line="240" w:lineRule="auto"/>
            </w:pPr>
            <w:r>
              <w:rPr>
                <w:rFonts w:ascii="Times New Roman" w:eastAsia="宋体" w:hAnsi="Times New Roman"/>
                <w:b w:val="0"/>
                <w:sz w:val="20"/>
              </w:rPr>
              <w:t>　20805</w:t>
            </w:r>
          </w:p>
        </w:tc>
        <w:tc>
          <w:tcPr>
            <w:tcW w:w="2775" w:type="dxa"/>
            <w:tcMar>
              <w:left w:w="20" w:type="dxa"/>
              <w:right w:w="20" w:type="dxa"/>
            </w:tcMar>
            <w:vAlign w:val="center"/>
          </w:tcPr>
          <w:p>
            <w:pPr>
              <w:spacing w:before="0" w:after="0" w:line="240" w:lineRule="auto"/>
            </w:pPr>
            <w:r>
              <w:rPr>
                <w:rFonts w:ascii="Times New Roman" w:eastAsia="宋体" w:hAnsi="Times New Roman"/>
                <w:b w:val="0"/>
                <w:sz w:val="20"/>
              </w:rPr>
              <w:t>　行政事业单位养老支出</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6" w:type="dxa"/>
            <w:tcMar>
              <w:left w:w="20" w:type="dxa"/>
              <w:right w:w="20" w:type="dxa"/>
            </w:tcMar>
            <w:vAlign w:val="center"/>
          </w:tcPr>
          <w:p>
            <w:pPr>
              <w:spacing w:before="0" w:after="0" w:line="240" w:lineRule="auto"/>
              <w:jc w:val="right"/>
            </w:pPr>
          </w:p>
        </w:tc>
      </w:tr>
      <w:tr>
        <w:tblPrEx>
          <w:tblW w:w="6453" w:type="pct"/>
          <w:jc w:val="center"/>
          <w:tblInd w:w="-1182" w:type="dxa"/>
          <w:shd w:val="clear" w:color="auto" w:fill="auto"/>
          <w:tblLayout w:type="fixed"/>
          <w:tblCellMar>
            <w:top w:w="0" w:type="dxa"/>
            <w:left w:w="108" w:type="dxa"/>
            <w:bottom w:w="0" w:type="dxa"/>
            <w:right w:w="108" w:type="dxa"/>
          </w:tblCellMar>
        </w:tblPrEx>
        <w:trPr>
          <w:trHeight w:val="4"/>
          <w:jc w:val="center"/>
        </w:trPr>
        <w:tc>
          <w:tcPr>
            <w:tcW w:w="1414" w:type="dxa"/>
            <w:tcMar>
              <w:left w:w="20" w:type="dxa"/>
              <w:right w:w="20" w:type="dxa"/>
            </w:tcMar>
            <w:vAlign w:val="center"/>
          </w:tcPr>
          <w:p>
            <w:pPr>
              <w:spacing w:before="0" w:after="0" w:line="240" w:lineRule="auto"/>
            </w:pPr>
            <w:r>
              <w:rPr>
                <w:rFonts w:ascii="Times New Roman" w:eastAsia="宋体" w:hAnsi="Times New Roman"/>
                <w:b w:val="0"/>
                <w:sz w:val="20"/>
              </w:rPr>
              <w:t>　　2080506</w:t>
            </w:r>
          </w:p>
        </w:tc>
        <w:tc>
          <w:tcPr>
            <w:tcW w:w="2775" w:type="dxa"/>
            <w:tcMar>
              <w:left w:w="20" w:type="dxa"/>
              <w:right w:w="20" w:type="dxa"/>
            </w:tcMar>
            <w:vAlign w:val="center"/>
          </w:tcPr>
          <w:p>
            <w:pPr>
              <w:spacing w:before="0" w:after="0" w:line="240" w:lineRule="auto"/>
            </w:pPr>
            <w:r>
              <w:rPr>
                <w:rFonts w:ascii="Times New Roman" w:eastAsia="宋体" w:hAnsi="Times New Roman"/>
                <w:b w:val="0"/>
                <w:sz w:val="20"/>
              </w:rPr>
              <w:t>　　机关事业单位职业年金缴费支出</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6" w:type="dxa"/>
            <w:tcMar>
              <w:left w:w="20" w:type="dxa"/>
              <w:right w:w="20" w:type="dxa"/>
            </w:tcMar>
            <w:vAlign w:val="center"/>
          </w:tcPr>
          <w:p>
            <w:pPr>
              <w:spacing w:before="0" w:after="0" w:line="240" w:lineRule="auto"/>
              <w:jc w:val="right"/>
            </w:pPr>
          </w:p>
        </w:tc>
      </w:tr>
      <w:tr>
        <w:tblPrEx>
          <w:tblW w:w="6453" w:type="pct"/>
          <w:jc w:val="center"/>
          <w:tblInd w:w="-1182" w:type="dxa"/>
          <w:shd w:val="clear" w:color="auto" w:fill="auto"/>
          <w:tblLayout w:type="fixed"/>
          <w:tblCellMar>
            <w:top w:w="0" w:type="dxa"/>
            <w:left w:w="108" w:type="dxa"/>
            <w:bottom w:w="0" w:type="dxa"/>
            <w:right w:w="108" w:type="dxa"/>
          </w:tblCellMar>
        </w:tblPrEx>
        <w:trPr>
          <w:trHeight w:val="4"/>
          <w:jc w:val="center"/>
        </w:trPr>
        <w:tc>
          <w:tcPr>
            <w:tcW w:w="1414" w:type="dxa"/>
            <w:tcMar>
              <w:left w:w="20" w:type="dxa"/>
              <w:right w:w="20" w:type="dxa"/>
            </w:tcMar>
            <w:vAlign w:val="center"/>
          </w:tcPr>
          <w:p>
            <w:pPr>
              <w:spacing w:before="0" w:after="0" w:line="240" w:lineRule="auto"/>
            </w:pPr>
            <w:r>
              <w:rPr>
                <w:rFonts w:ascii="Times New Roman" w:eastAsia="宋体" w:hAnsi="Times New Roman"/>
                <w:b w:val="0"/>
                <w:sz w:val="20"/>
              </w:rPr>
              <w:t>　20807</w:t>
            </w:r>
          </w:p>
        </w:tc>
        <w:tc>
          <w:tcPr>
            <w:tcW w:w="2775" w:type="dxa"/>
            <w:tcMar>
              <w:left w:w="20" w:type="dxa"/>
              <w:right w:w="20" w:type="dxa"/>
            </w:tcMar>
            <w:vAlign w:val="center"/>
          </w:tcPr>
          <w:p>
            <w:pPr>
              <w:spacing w:before="0" w:after="0" w:line="240" w:lineRule="auto"/>
            </w:pPr>
            <w:r>
              <w:rPr>
                <w:rFonts w:ascii="Times New Roman" w:eastAsia="宋体" w:hAnsi="Times New Roman"/>
                <w:b w:val="0"/>
                <w:sz w:val="20"/>
              </w:rPr>
              <w:t>　就业补助</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170.94</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170.94</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6" w:type="dxa"/>
            <w:tcMar>
              <w:left w:w="20" w:type="dxa"/>
              <w:right w:w="20" w:type="dxa"/>
            </w:tcMar>
            <w:vAlign w:val="center"/>
          </w:tcPr>
          <w:p>
            <w:pPr>
              <w:spacing w:before="0" w:after="0" w:line="240" w:lineRule="auto"/>
              <w:jc w:val="right"/>
            </w:pPr>
          </w:p>
        </w:tc>
      </w:tr>
      <w:tr>
        <w:tblPrEx>
          <w:tblW w:w="6453" w:type="pct"/>
          <w:jc w:val="center"/>
          <w:tblInd w:w="-1182" w:type="dxa"/>
          <w:shd w:val="clear" w:color="auto" w:fill="auto"/>
          <w:tblLayout w:type="fixed"/>
          <w:tblCellMar>
            <w:top w:w="0" w:type="dxa"/>
            <w:left w:w="108" w:type="dxa"/>
            <w:bottom w:w="0" w:type="dxa"/>
            <w:right w:w="108" w:type="dxa"/>
          </w:tblCellMar>
        </w:tblPrEx>
        <w:trPr>
          <w:trHeight w:val="4"/>
          <w:jc w:val="center"/>
        </w:trPr>
        <w:tc>
          <w:tcPr>
            <w:tcW w:w="1414" w:type="dxa"/>
            <w:tcMar>
              <w:left w:w="20" w:type="dxa"/>
              <w:right w:w="20" w:type="dxa"/>
            </w:tcMar>
            <w:vAlign w:val="center"/>
          </w:tcPr>
          <w:p>
            <w:pPr>
              <w:spacing w:before="0" w:after="0" w:line="240" w:lineRule="auto"/>
            </w:pPr>
            <w:r>
              <w:rPr>
                <w:rFonts w:ascii="Times New Roman" w:eastAsia="宋体" w:hAnsi="Times New Roman"/>
                <w:b w:val="0"/>
                <w:sz w:val="20"/>
              </w:rPr>
              <w:t>　　2080704</w:t>
            </w:r>
          </w:p>
        </w:tc>
        <w:tc>
          <w:tcPr>
            <w:tcW w:w="2775" w:type="dxa"/>
            <w:tcMar>
              <w:left w:w="20" w:type="dxa"/>
              <w:right w:w="20" w:type="dxa"/>
            </w:tcMar>
            <w:vAlign w:val="center"/>
          </w:tcPr>
          <w:p>
            <w:pPr>
              <w:spacing w:before="0" w:after="0" w:line="240" w:lineRule="auto"/>
            </w:pPr>
            <w:r>
              <w:rPr>
                <w:rFonts w:ascii="Times New Roman" w:eastAsia="宋体" w:hAnsi="Times New Roman"/>
                <w:b w:val="0"/>
                <w:sz w:val="20"/>
              </w:rPr>
              <w:t>　　社会保险补贴</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170.94</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170.94</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6" w:type="dxa"/>
            <w:tcMar>
              <w:left w:w="20" w:type="dxa"/>
              <w:right w:w="20" w:type="dxa"/>
            </w:tcMar>
            <w:vAlign w:val="center"/>
          </w:tcPr>
          <w:p>
            <w:pPr>
              <w:spacing w:before="0" w:after="0" w:line="240" w:lineRule="auto"/>
              <w:jc w:val="right"/>
            </w:pPr>
          </w:p>
        </w:tc>
      </w:tr>
      <w:tr>
        <w:tblPrEx>
          <w:tblW w:w="6453" w:type="pct"/>
          <w:jc w:val="center"/>
          <w:tblInd w:w="-1182" w:type="dxa"/>
          <w:shd w:val="clear" w:color="auto" w:fill="auto"/>
          <w:tblLayout w:type="fixed"/>
          <w:tblCellMar>
            <w:top w:w="0" w:type="dxa"/>
            <w:left w:w="108" w:type="dxa"/>
            <w:bottom w:w="0" w:type="dxa"/>
            <w:right w:w="108" w:type="dxa"/>
          </w:tblCellMar>
        </w:tblPrEx>
        <w:trPr>
          <w:trHeight w:val="4"/>
          <w:jc w:val="center"/>
        </w:trPr>
        <w:tc>
          <w:tcPr>
            <w:tcW w:w="4189" w:type="dxa"/>
            <w:gridSpan w:val="2"/>
            <w:tcMar>
              <w:left w:w="20" w:type="dxa"/>
              <w:right w:w="20" w:type="dxa"/>
            </w:tcMar>
            <w:vAlign w:val="center"/>
          </w:tcPr>
          <w:p>
            <w:pPr>
              <w:spacing w:before="0" w:after="0" w:line="240" w:lineRule="auto"/>
              <w:jc w:val="center"/>
            </w:pPr>
            <w:r>
              <w:rPr>
                <w:rFonts w:ascii="Times New Roman" w:eastAsia="宋体" w:hAnsi="Times New Roman"/>
                <w:b/>
                <w:sz w:val="20"/>
              </w:rPr>
              <w:t>合计</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472.04</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230.74</w:t>
            </w:r>
          </w:p>
        </w:tc>
        <w:tc>
          <w:tcPr>
            <w:tcW w:w="1135" w:type="dxa"/>
            <w:tcMar>
              <w:left w:w="20" w:type="dxa"/>
              <w:right w:w="20" w:type="dxa"/>
            </w:tcMar>
            <w:vAlign w:val="center"/>
          </w:tcPr>
          <w:p>
            <w:pPr>
              <w:spacing w:before="0" w:after="0" w:line="240" w:lineRule="auto"/>
              <w:jc w:val="right"/>
            </w:pPr>
            <w:r>
              <w:rPr>
                <w:rFonts w:ascii="Times New Roman" w:eastAsia="宋体" w:hAnsi="Times New Roman"/>
                <w:b w:val="0"/>
                <w:sz w:val="20"/>
              </w:rPr>
              <w:t>241.30</w:t>
            </w:r>
          </w:p>
        </w:tc>
        <w:tc>
          <w:tcPr>
            <w:tcW w:w="1135" w:type="dxa"/>
            <w:tcMar>
              <w:left w:w="20" w:type="dxa"/>
              <w:right w:w="20" w:type="dxa"/>
            </w:tcMar>
            <w:vAlign w:val="center"/>
          </w:tcPr>
          <w:p>
            <w:pPr>
              <w:spacing w:before="0" w:after="0" w:line="240" w:lineRule="auto"/>
              <w:jc w:val="right"/>
            </w:pPr>
          </w:p>
        </w:tc>
        <w:tc>
          <w:tcPr>
            <w:tcW w:w="1135" w:type="dxa"/>
            <w:tcMar>
              <w:left w:w="20" w:type="dxa"/>
              <w:right w:w="20" w:type="dxa"/>
            </w:tcMar>
            <w:vAlign w:val="center"/>
          </w:tcPr>
          <w:p>
            <w:pPr>
              <w:spacing w:before="0" w:after="0" w:line="240" w:lineRule="auto"/>
              <w:jc w:val="right"/>
            </w:pPr>
          </w:p>
        </w:tc>
        <w:tc>
          <w:tcPr>
            <w:tcW w:w="1136" w:type="dxa"/>
            <w:tcMar>
              <w:left w:w="20" w:type="dxa"/>
              <w:right w:w="20" w:type="dxa"/>
            </w:tcMar>
            <w:vAlign w:val="center"/>
          </w:tcPr>
          <w:p>
            <w:pPr>
              <w:spacing w:before="0" w:after="0" w:line="240" w:lineRule="auto"/>
              <w:jc w:val="right"/>
            </w:pPr>
          </w:p>
        </w:tc>
      </w:tr>
    </w:tbl>
    <w:p>
      <w:pPr>
        <w:sectPr>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p>
    <w:tbl>
      <w:tblPr>
        <w:tblStyle w:val="TableNormal"/>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2891"/>
        <w:gridCol w:w="1038"/>
        <w:gridCol w:w="3584"/>
        <w:gridCol w:w="1009"/>
      </w:tblGrid>
      <w:tr>
        <w:tblPrEx>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6"/>
          <w:jc w:val="center"/>
        </w:trPr>
        <w:tc>
          <w:tcPr>
            <w:tcW w:w="2305" w:type="pct"/>
            <w:gridSpan w:val="2"/>
            <w:tcBorders>
              <w:top w:val="nil"/>
              <w:left w:val="nil"/>
              <w:bottom w:val="nil"/>
              <w:right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694" w:type="pct"/>
            <w:gridSpan w:val="2"/>
            <w:tcBorders>
              <w:top w:val="nil"/>
              <w:left w:val="nil"/>
              <w:bottom w:val="nil"/>
              <w:right w:val="nil"/>
            </w:tcBorders>
            <w:shd w:val="clear" w:color="auto" w:fill="auto"/>
            <w:noWrap/>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eastAsia="zh-CN" w:bidi="ar"/>
              </w:rPr>
            </w:pPr>
            <w:r>
              <w:rPr>
                <w:rFonts w:ascii="Times New Roman" w:eastAsia="宋体" w:hAnsi="Times New Roman" w:cs="宋体" w:hint="eastAsia"/>
                <w:i w:val="0"/>
                <w:iCs w:val="0"/>
                <w:color w:val="000000"/>
                <w:kern w:val="0"/>
                <w:sz w:val="20"/>
                <w:szCs w:val="20"/>
                <w:u w:val="none"/>
                <w:lang w:val="en-US" w:eastAsia="zh-CN" w:bidi="ar"/>
              </w:rPr>
              <w:t>部门</w:t>
            </w:r>
            <w:r>
              <w:rPr>
                <w:rFonts w:ascii="Times New Roman" w:eastAsia="宋体" w:hAnsi="Times New Roman" w:cs="宋体" w:hint="eastAsia"/>
                <w:i w:val="0"/>
                <w:iCs w:val="0"/>
                <w:color w:val="000000"/>
                <w:kern w:val="0"/>
                <w:sz w:val="20"/>
                <w:szCs w:val="20"/>
                <w:u w:val="none"/>
                <w:lang w:val="en-US" w:bidi="ar"/>
              </w:rPr>
              <w:t>公开表4</w:t>
            </w: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5000" w:type="pct"/>
            <w:gridSpan w:val="4"/>
            <w:tcBorders>
              <w:top w:val="nil"/>
              <w:left w:val="nil"/>
              <w:bottom w:val="nil"/>
              <w:right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bCs/>
                <w:kern w:val="0"/>
                <w:sz w:val="32"/>
                <w:szCs w:val="32"/>
                <w:lang w:val="en-US" w:eastAsia="zh-CN"/>
              </w:rPr>
              <w:t>铜陵市铜官区经济与信息化局2024</w:t>
            </w:r>
            <w:r>
              <w:rPr>
                <w:rFonts w:ascii="Times New Roman" w:eastAsia="宋体" w:hAnsi="Times New Roman" w:cs="宋体" w:hint="eastAsia"/>
                <w:b/>
                <w:bCs/>
                <w:kern w:val="0"/>
                <w:sz w:val="32"/>
                <w:szCs w:val="32"/>
                <w:lang w:val="en-US"/>
              </w:rPr>
              <w:t>年财政拨款</w:t>
            </w:r>
            <w:r>
              <w:rPr>
                <w:rFonts w:ascii="Times New Roman" w:eastAsia="宋体" w:hAnsi="Times New Roman" w:cs="宋体" w:hint="eastAsia"/>
                <w:b/>
                <w:bCs/>
                <w:kern w:val="0"/>
                <w:sz w:val="32"/>
                <w:szCs w:val="32"/>
                <w:lang w:val="en-US" w:eastAsia="zh-CN"/>
              </w:rPr>
              <w:t>收</w:t>
            </w:r>
            <w:r>
              <w:rPr>
                <w:rFonts w:ascii="Times New Roman" w:eastAsia="宋体" w:hAnsi="Times New Roman" w:cs="宋体" w:hint="eastAsia"/>
                <w:b/>
                <w:bCs/>
                <w:kern w:val="0"/>
                <w:sz w:val="32"/>
                <w:szCs w:val="32"/>
                <w:lang w:val="en-US"/>
              </w:rPr>
              <w:t>支总表</w:t>
            </w: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2305" w:type="pct"/>
            <w:gridSpan w:val="2"/>
            <w:tcBorders>
              <w:top w:val="nil"/>
              <w:left w:val="nil"/>
              <w:bottom w:val="single" w:sz="4" w:space="0" w:color="auto"/>
              <w:right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694" w:type="pct"/>
            <w:gridSpan w:val="2"/>
            <w:tcBorders>
              <w:top w:val="nil"/>
              <w:left w:val="nil"/>
              <w:bottom w:val="single" w:sz="4" w:space="0" w:color="auto"/>
              <w:right w:val="nil"/>
            </w:tcBorders>
            <w:shd w:val="clear" w:color="auto" w:fill="auto"/>
            <w:noWrap/>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val="0"/>
                <w:bCs w:val="0"/>
                <w:i w:val="0"/>
                <w:iCs w:val="0"/>
                <w:color w:val="000000"/>
                <w:kern w:val="0"/>
                <w:sz w:val="20"/>
                <w:szCs w:val="20"/>
                <w:u w:val="none"/>
                <w:lang w:val="en-US" w:bidi="ar"/>
              </w:rPr>
              <w:t>单位</w:t>
            </w:r>
            <w:r>
              <w:rPr>
                <w:rFonts w:ascii="Times New Roman" w:eastAsia="宋体" w:hAnsi="Times New Roman" w:cs="宋体" w:hint="eastAsia"/>
                <w:b w:val="0"/>
                <w:bCs w:val="0"/>
                <w:i w:val="0"/>
                <w:iCs w:val="0"/>
                <w:color w:val="000000"/>
                <w:kern w:val="0"/>
                <w:sz w:val="20"/>
                <w:szCs w:val="20"/>
                <w:u w:val="none"/>
                <w:lang w:bidi="ar"/>
              </w:rPr>
              <w:t>：</w:t>
            </w:r>
            <w:r>
              <w:rPr>
                <w:rFonts w:ascii="Times New Roman" w:eastAsia="宋体" w:hAnsi="Times New Roman" w:cs="宋体" w:hint="eastAsia"/>
                <w:b w:val="0"/>
                <w:bCs w:val="0"/>
                <w:i w:val="0"/>
                <w:iCs w:val="0"/>
                <w:color w:val="000000"/>
                <w:kern w:val="0"/>
                <w:sz w:val="20"/>
                <w:szCs w:val="20"/>
                <w:u w:val="none"/>
                <w:lang w:val="en-US" w:bidi="ar"/>
              </w:rPr>
              <w:t>万元</w:t>
            </w: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230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收</w:t>
            </w:r>
            <w:r>
              <w:rPr>
                <w:rFonts w:ascii="Times New Roman" w:eastAsia="宋体" w:hAnsi="Times New Roman" w:cs="宋体" w:hint="eastAsia"/>
                <w:b/>
                <w:bCs/>
                <w:i w:val="0"/>
                <w:iCs w:val="0"/>
                <w:color w:val="000000"/>
                <w:kern w:val="0"/>
                <w:sz w:val="20"/>
                <w:szCs w:val="20"/>
                <w:u w:val="none"/>
                <w:lang w:eastAsia="zh-CN" w:bidi="ar"/>
              </w:rPr>
              <w:t xml:space="preserve">    </w:t>
            </w:r>
            <w:r>
              <w:rPr>
                <w:rFonts w:ascii="Times New Roman" w:eastAsia="宋体" w:hAnsi="Times New Roman" w:cs="宋体" w:hint="eastAsia"/>
                <w:b/>
                <w:bCs/>
                <w:i w:val="0"/>
                <w:iCs w:val="0"/>
                <w:color w:val="000000"/>
                <w:kern w:val="0"/>
                <w:sz w:val="20"/>
                <w:szCs w:val="20"/>
                <w:u w:val="none"/>
                <w:lang w:val="en-US" w:eastAsia="zh-CN" w:bidi="ar"/>
              </w:rPr>
              <w:t>入</w:t>
            </w:r>
          </w:p>
        </w:tc>
        <w:tc>
          <w:tcPr>
            <w:tcW w:w="269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支</w:t>
            </w:r>
            <w:r>
              <w:rPr>
                <w:rFonts w:ascii="Times New Roman" w:eastAsia="宋体" w:hAnsi="Times New Roman" w:cs="宋体" w:hint="eastAsia"/>
                <w:b/>
                <w:bCs/>
                <w:i w:val="0"/>
                <w:iCs w:val="0"/>
                <w:color w:val="000000"/>
                <w:kern w:val="0"/>
                <w:sz w:val="20"/>
                <w:szCs w:val="20"/>
                <w:u w:val="none"/>
                <w:lang w:eastAsia="zh-CN" w:bidi="ar"/>
              </w:rPr>
              <w:t xml:space="preserve">    </w:t>
            </w:r>
            <w:r>
              <w:rPr>
                <w:rFonts w:ascii="Times New Roman" w:eastAsia="宋体" w:hAnsi="Times New Roman" w:cs="宋体" w:hint="eastAsia"/>
                <w:b/>
                <w:bCs/>
                <w:i w:val="0"/>
                <w:iCs w:val="0"/>
                <w:color w:val="000000"/>
                <w:kern w:val="0"/>
                <w:sz w:val="20"/>
                <w:szCs w:val="20"/>
                <w:u w:val="none"/>
                <w:lang w:val="en-US" w:eastAsia="zh-CN" w:bidi="ar"/>
              </w:rPr>
              <w:t>出</w:t>
            </w: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项目</w:t>
            </w:r>
          </w:p>
        </w:tc>
        <w:tc>
          <w:tcPr>
            <w:tcW w:w="609"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预算数</w:t>
            </w:r>
          </w:p>
        </w:tc>
        <w:tc>
          <w:tcPr>
            <w:tcW w:w="2103"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项目</w:t>
            </w:r>
          </w:p>
        </w:tc>
        <w:tc>
          <w:tcPr>
            <w:tcW w:w="590"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预算数</w:t>
            </w: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一、本年收入</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472.04</w:t>
            </w: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一、本年支出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472.04</w:t>
            </w: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（一）一般公共预算拨款</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472.04</w:t>
            </w: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（一）一般公共服务支出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290.44</w:t>
            </w: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（二）政府性基金预算拨款</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（二）外交支出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（三）国有资本经营预算拨款</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（三）国防支出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both"/>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（四）公共安全支出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二、上年结转</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（五）教育支出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（一）一般公共预算拨款</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（六）科学技术支出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（二）政府性基金预算拨款</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（七）文化旅游体育与传媒支出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（三）国有资本经营预算拨款</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（八）社会保障和就业支出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181.60</w:t>
            </w: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（九）卫生健康支出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（十）节能环保支出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（十一）城乡社区支出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（十二）农林水支出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（十三）交通运输支出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（十四）资源勘探工业信息等支出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（十五）商业服务等支出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（十六）金融支出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（十七）援助其他地区支出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（十八）自然资源海洋气象等支出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（十九）住房保障支出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（二十）粮油物资储备支出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（二十一）灾害防治及应急管理支出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（二十二）预备费</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（二十三）其他支出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（二十四）转移性支出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（二十五）债务还本支出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（二十六）债务付息支出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（二十七）债务发行费用支出</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二、年终结转结余</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（一）一般公共预算结转结余</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（二）政府性基金预算结转结余</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i w:val="0"/>
                <w:iCs w:val="0"/>
                <w:color w:val="000000"/>
                <w:sz w:val="20"/>
                <w:szCs w:val="20"/>
                <w:u w:val="none"/>
              </w:rPr>
            </w:pPr>
            <w:r>
              <w:rPr>
                <w:rFonts w:ascii="Times New Roman" w:eastAsia="宋体" w:hAnsi="Times New Roman" w:cs="宋体" w:hint="eastAsia"/>
                <w:i w:val="0"/>
                <w:iCs w:val="0"/>
                <w:color w:val="000000"/>
                <w:kern w:val="0"/>
                <w:sz w:val="20"/>
                <w:szCs w:val="20"/>
                <w:u w:val="none"/>
                <w:lang w:val="en-US" w:eastAsia="zh-CN" w:bidi="ar"/>
              </w:rPr>
              <w:t>（三）国有资本经营预算结转结余</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Times New Roman" w:eastAsia="宋体" w:hAnsi="Times New Roman"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left"/>
              <w:textAlignment w:val="center"/>
              <w:rPr>
                <w:rFonts w:ascii="Times New Roman" w:eastAsia="宋体" w:hAnsi="Times New Roman" w:cs="宋体" w:hint="eastAsia"/>
                <w:i w:val="0"/>
                <w:iCs w:val="0"/>
                <w:color w:val="000000"/>
                <w:kern w:val="0"/>
                <w:sz w:val="20"/>
                <w:szCs w:val="20"/>
                <w:u w:val="none"/>
                <w:lang w:val="en-US" w:eastAsia="zh-CN" w:bidi="ar"/>
              </w:rPr>
            </w:pP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16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center"/>
              <w:rPr>
                <w:rFonts w:ascii="Times New Roman" w:eastAsia="宋体" w:hAnsi="Times New Roman" w:cs="宋体" w:hint="eastAsia"/>
                <w:i w:val="0"/>
                <w:iCs w:val="0"/>
                <w:color w:val="000000"/>
                <w:sz w:val="20"/>
                <w:szCs w:val="20"/>
                <w:u w:val="none"/>
                <w:lang w:val="en-US"/>
              </w:rPr>
            </w:pPr>
            <w:r>
              <w:rPr>
                <w:rFonts w:ascii="Times New Roman" w:eastAsia="宋体" w:hAnsi="Times New Roman" w:cs="宋体" w:hint="eastAsia"/>
                <w:b/>
                <w:bCs/>
                <w:i w:val="0"/>
                <w:iCs w:val="0"/>
                <w:color w:val="000000"/>
                <w:sz w:val="20"/>
                <w:szCs w:val="20"/>
                <w:u w:val="none"/>
                <w:lang w:val="en-US"/>
              </w:rPr>
              <w:t>收</w:t>
            </w:r>
            <w:r>
              <w:rPr>
                <w:rFonts w:ascii="Times New Roman" w:eastAsia="宋体" w:hAnsi="Times New Roman" w:cs="宋体" w:hint="eastAsia"/>
                <w:b/>
                <w:bCs/>
                <w:i w:val="0"/>
                <w:iCs w:val="0"/>
                <w:color w:val="000000"/>
                <w:sz w:val="20"/>
                <w:szCs w:val="20"/>
                <w:u w:val="none"/>
              </w:rPr>
              <w:t xml:space="preserve">  </w:t>
            </w:r>
            <w:r>
              <w:rPr>
                <w:rFonts w:ascii="Times New Roman" w:eastAsia="宋体" w:hAnsi="Times New Roman" w:cs="宋体" w:hint="eastAsia"/>
                <w:b/>
                <w:bCs/>
                <w:i w:val="0"/>
                <w:iCs w:val="0"/>
                <w:color w:val="000000"/>
                <w:sz w:val="20"/>
                <w:szCs w:val="20"/>
                <w:u w:val="none"/>
                <w:lang w:val="en-US"/>
              </w:rPr>
              <w:t>入</w:t>
            </w:r>
            <w:r>
              <w:rPr>
                <w:rFonts w:ascii="Times New Roman" w:eastAsia="宋体" w:hAnsi="Times New Roman" w:cs="宋体" w:hint="eastAsia"/>
                <w:b/>
                <w:bCs/>
                <w:i w:val="0"/>
                <w:iCs w:val="0"/>
                <w:color w:val="000000"/>
                <w:sz w:val="20"/>
                <w:szCs w:val="20"/>
                <w:u w:val="none"/>
              </w:rPr>
              <w:t xml:space="preserve">  </w:t>
            </w:r>
            <w:r>
              <w:rPr>
                <w:rFonts w:ascii="Times New Roman" w:eastAsia="宋体" w:hAnsi="Times New Roman" w:cs="宋体" w:hint="eastAsia"/>
                <w:b/>
                <w:bCs/>
                <w:i w:val="0"/>
                <w:iCs w:val="0"/>
                <w:color w:val="000000"/>
                <w:sz w:val="20"/>
                <w:szCs w:val="20"/>
                <w:u w:val="none"/>
                <w:lang w:val="en-US"/>
              </w:rPr>
              <w:t>总</w:t>
            </w:r>
            <w:r>
              <w:rPr>
                <w:rFonts w:ascii="Times New Roman" w:eastAsia="宋体" w:hAnsi="Times New Roman" w:cs="宋体" w:hint="eastAsia"/>
                <w:b/>
                <w:bCs/>
                <w:i w:val="0"/>
                <w:iCs w:val="0"/>
                <w:color w:val="000000"/>
                <w:sz w:val="20"/>
                <w:szCs w:val="20"/>
                <w:u w:val="none"/>
              </w:rPr>
              <w:t xml:space="preserve">  </w:t>
            </w:r>
            <w:r>
              <w:rPr>
                <w:rFonts w:ascii="Times New Roman" w:eastAsia="宋体" w:hAnsi="Times New Roman" w:cs="宋体" w:hint="eastAsia"/>
                <w:b/>
                <w:bCs/>
                <w:i w:val="0"/>
                <w:iCs w:val="0"/>
                <w:color w:val="000000"/>
                <w:sz w:val="20"/>
                <w:szCs w:val="20"/>
                <w:u w:val="none"/>
                <w:lang w:val="en-US"/>
              </w:rPr>
              <w:t>计</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472.04</w:t>
            </w: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bidi="ar"/>
              </w:rPr>
            </w:pPr>
            <w:r>
              <w:rPr>
                <w:rFonts w:ascii="Times New Roman" w:eastAsia="宋体" w:hAnsi="Times New Roman" w:cs="宋体" w:hint="eastAsia"/>
                <w:b/>
                <w:bCs/>
                <w:i w:val="0"/>
                <w:iCs w:val="0"/>
                <w:color w:val="000000"/>
                <w:kern w:val="0"/>
                <w:sz w:val="20"/>
                <w:szCs w:val="20"/>
                <w:u w:val="none"/>
                <w:lang w:val="en-US" w:bidi="ar"/>
              </w:rPr>
              <w:t>支</w:t>
            </w:r>
            <w:r>
              <w:rPr>
                <w:rFonts w:ascii="Times New Roman" w:eastAsia="宋体" w:hAnsi="Times New Roman" w:cs="宋体" w:hint="eastAsia"/>
                <w:b/>
                <w:bCs/>
                <w:i w:val="0"/>
                <w:iCs w:val="0"/>
                <w:color w:val="000000"/>
                <w:kern w:val="0"/>
                <w:sz w:val="20"/>
                <w:szCs w:val="20"/>
                <w:u w:val="none"/>
                <w:lang w:bidi="ar"/>
              </w:rPr>
              <w:t xml:space="preserve">  </w:t>
            </w:r>
            <w:r>
              <w:rPr>
                <w:rFonts w:ascii="Times New Roman" w:eastAsia="宋体" w:hAnsi="Times New Roman" w:cs="宋体" w:hint="eastAsia"/>
                <w:b/>
                <w:bCs/>
                <w:i w:val="0"/>
                <w:iCs w:val="0"/>
                <w:color w:val="000000"/>
                <w:kern w:val="0"/>
                <w:sz w:val="20"/>
                <w:szCs w:val="20"/>
                <w:u w:val="none"/>
                <w:lang w:val="en-US" w:bidi="ar"/>
              </w:rPr>
              <w:t>出</w:t>
            </w:r>
            <w:r>
              <w:rPr>
                <w:rFonts w:ascii="Times New Roman" w:eastAsia="宋体" w:hAnsi="Times New Roman" w:cs="宋体" w:hint="eastAsia"/>
                <w:b/>
                <w:bCs/>
                <w:i w:val="0"/>
                <w:iCs w:val="0"/>
                <w:color w:val="000000"/>
                <w:kern w:val="0"/>
                <w:sz w:val="20"/>
                <w:szCs w:val="20"/>
                <w:u w:val="none"/>
                <w:lang w:bidi="ar"/>
              </w:rPr>
              <w:t xml:space="preserve">  </w:t>
            </w:r>
            <w:r>
              <w:rPr>
                <w:rFonts w:ascii="Times New Roman" w:eastAsia="宋体" w:hAnsi="Times New Roman" w:cs="宋体" w:hint="eastAsia"/>
                <w:b/>
                <w:bCs/>
                <w:i w:val="0"/>
                <w:iCs w:val="0"/>
                <w:color w:val="000000"/>
                <w:kern w:val="0"/>
                <w:sz w:val="20"/>
                <w:szCs w:val="20"/>
                <w:u w:val="none"/>
                <w:lang w:val="en-US" w:bidi="ar"/>
              </w:rPr>
              <w:t>总</w:t>
            </w:r>
            <w:r>
              <w:rPr>
                <w:rFonts w:ascii="Times New Roman" w:eastAsia="宋体" w:hAnsi="Times New Roman" w:cs="宋体" w:hint="eastAsia"/>
                <w:b/>
                <w:bCs/>
                <w:i w:val="0"/>
                <w:iCs w:val="0"/>
                <w:color w:val="000000"/>
                <w:kern w:val="0"/>
                <w:sz w:val="20"/>
                <w:szCs w:val="20"/>
                <w:u w:val="none"/>
                <w:lang w:bidi="ar"/>
              </w:rPr>
              <w:t xml:space="preserve">  </w:t>
            </w:r>
            <w:r>
              <w:rPr>
                <w:rFonts w:ascii="Times New Roman" w:eastAsia="宋体" w:hAnsi="Times New Roman" w:cs="宋体" w:hint="eastAsia"/>
                <w:b/>
                <w:bCs/>
                <w:i w:val="0"/>
                <w:iCs w:val="0"/>
                <w:color w:val="000000"/>
                <w:kern w:val="0"/>
                <w:sz w:val="20"/>
                <w:szCs w:val="20"/>
                <w:u w:val="none"/>
                <w:lang w:val="en-US" w:bidi="ar"/>
              </w:rPr>
              <w:t>计</w:t>
            </w:r>
          </w:p>
        </w:tc>
        <w:tc>
          <w:tcPr>
            <w:tcW w:w="590"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472.04</w:t>
            </w:r>
          </w:p>
        </w:tc>
      </w:tr>
    </w:tbl>
    <w:p>
      <w:pPr>
        <w:sectPr>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p>
    <w:tbl>
      <w:tblPr>
        <w:tblStyle w:val="TableGrid"/>
        <w:tblW w:w="6453" w:type="pct"/>
        <w:jc w:val="center"/>
        <w:tblInd w:w="-1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ayout w:type="fixed"/>
        <w:tblCellMar>
          <w:top w:w="0" w:type="dxa"/>
          <w:left w:w="108" w:type="dxa"/>
          <w:bottom w:w="0" w:type="dxa"/>
          <w:right w:w="108" w:type="dxa"/>
        </w:tblCellMar>
      </w:tblPr>
      <w:tblGrid>
        <w:gridCol w:w="1500"/>
        <w:gridCol w:w="2820"/>
        <w:gridCol w:w="1335"/>
        <w:gridCol w:w="1335"/>
        <w:gridCol w:w="1335"/>
        <w:gridCol w:w="1335"/>
        <w:gridCol w:w="1339"/>
      </w:tblGrid>
      <w:tr>
        <w:tblPrEx>
          <w:tblW w:w="6453" w:type="pct"/>
          <w:jc w:val="center"/>
          <w:tblInd w:w="-1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ayout w:type="fixed"/>
          <w:tblCellMar>
            <w:top w:w="0" w:type="dxa"/>
            <w:left w:w="108" w:type="dxa"/>
            <w:bottom w:w="0" w:type="dxa"/>
            <w:right w:w="108" w:type="dxa"/>
          </w:tblCellMar>
        </w:tblPrEx>
        <w:trPr>
          <w:trHeight w:val="336"/>
          <w:jc w:val="center"/>
        </w:trPr>
        <w:tc>
          <w:tcPr>
            <w:tcW w:w="681" w:type="pct"/>
            <w:tcBorders>
              <w:top w:val="nil"/>
              <w:left w:val="nil"/>
              <w:bottom w:val="nil"/>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281" w:type="pct"/>
            <w:tcBorders>
              <w:top w:val="nil"/>
              <w:left w:val="nil"/>
              <w:bottom w:val="nil"/>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606" w:type="pct"/>
            <w:tcBorders>
              <w:top w:val="nil"/>
              <w:left w:val="nil"/>
              <w:bottom w:val="nil"/>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429" w:type="pct"/>
            <w:gridSpan w:val="4"/>
            <w:tcBorders>
              <w:top w:val="nil"/>
              <w:left w:val="nil"/>
              <w:bottom w:val="nil"/>
              <w:right w:val="nil"/>
              <w:tl2br w:val="nil"/>
              <w:tr2bl w:val="nil"/>
            </w:tcBorders>
            <w:shd w:val="clear" w:color="auto" w:fill="auto"/>
            <w:noWrap/>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eastAsia="zh-CN" w:bidi="ar"/>
              </w:rPr>
            </w:pPr>
            <w:r>
              <w:rPr>
                <w:rFonts w:ascii="Times New Roman" w:eastAsia="宋体" w:hAnsi="Times New Roman" w:cs="宋体" w:hint="eastAsia"/>
                <w:i w:val="0"/>
                <w:iCs w:val="0"/>
                <w:color w:val="000000"/>
                <w:kern w:val="0"/>
                <w:sz w:val="20"/>
                <w:szCs w:val="20"/>
                <w:u w:val="none"/>
                <w:lang w:val="en-US" w:eastAsia="zh-CN" w:bidi="ar"/>
              </w:rPr>
              <w:t>部门</w:t>
            </w:r>
            <w:r>
              <w:rPr>
                <w:rFonts w:ascii="Times New Roman" w:eastAsia="宋体" w:hAnsi="Times New Roman" w:cs="宋体" w:hint="eastAsia"/>
                <w:i w:val="0"/>
                <w:iCs w:val="0"/>
                <w:color w:val="000000"/>
                <w:kern w:val="0"/>
                <w:sz w:val="20"/>
                <w:szCs w:val="20"/>
                <w:u w:val="none"/>
                <w:lang w:val="en-US" w:bidi="ar"/>
              </w:rPr>
              <w:t>公开表5</w:t>
            </w: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336"/>
          <w:jc w:val="center"/>
        </w:trPr>
        <w:tc>
          <w:tcPr>
            <w:tcW w:w="5000" w:type="pct"/>
            <w:gridSpan w:val="7"/>
            <w:tcBorders>
              <w:top w:val="nil"/>
              <w:left w:val="nil"/>
              <w:bottom w:val="nil"/>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bCs/>
                <w:kern w:val="0"/>
                <w:sz w:val="32"/>
                <w:szCs w:val="32"/>
                <w:lang w:val="en-US" w:eastAsia="zh-CN"/>
              </w:rPr>
              <w:t>铜陵市铜官区经济与信息化局2024</w:t>
            </w:r>
            <w:r>
              <w:rPr>
                <w:rFonts w:ascii="Times New Roman" w:eastAsia="宋体" w:hAnsi="Times New Roman" w:cs="宋体" w:hint="eastAsia"/>
                <w:b/>
                <w:bCs/>
                <w:kern w:val="0"/>
                <w:sz w:val="32"/>
                <w:szCs w:val="32"/>
                <w:lang w:val="en-US"/>
              </w:rPr>
              <w:t>年一般公共预算支出表</w:t>
            </w: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336"/>
          <w:jc w:val="center"/>
        </w:trPr>
        <w:tc>
          <w:tcPr>
            <w:tcW w:w="681" w:type="pct"/>
            <w:tcBorders>
              <w:top w:val="nil"/>
              <w:left w:val="nil"/>
              <w:bottom w:val="single" w:sz="4" w:space="0" w:color="auto"/>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281" w:type="pct"/>
            <w:tcBorders>
              <w:top w:val="nil"/>
              <w:left w:val="nil"/>
              <w:bottom w:val="single" w:sz="4" w:space="0" w:color="auto"/>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606" w:type="pct"/>
            <w:tcBorders>
              <w:top w:val="nil"/>
              <w:left w:val="nil"/>
              <w:bottom w:val="single" w:sz="4" w:space="0" w:color="auto"/>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429" w:type="pct"/>
            <w:gridSpan w:val="4"/>
            <w:tcBorders>
              <w:top w:val="nil"/>
              <w:left w:val="nil"/>
              <w:bottom w:val="single" w:sz="4" w:space="0" w:color="auto"/>
              <w:right w:val="nil"/>
              <w:tl2br w:val="nil"/>
              <w:tr2bl w:val="nil"/>
            </w:tcBorders>
            <w:shd w:val="clear" w:color="auto" w:fill="auto"/>
            <w:noWrap/>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i w:val="0"/>
                <w:iCs w:val="0"/>
                <w:color w:val="000000"/>
                <w:kern w:val="0"/>
                <w:sz w:val="20"/>
                <w:szCs w:val="20"/>
                <w:u w:val="none"/>
                <w:lang w:val="en-US" w:bidi="ar"/>
              </w:rPr>
              <w:t>单位：万元</w:t>
            </w: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336"/>
          <w:jc w:val="center"/>
        </w:trPr>
        <w:tc>
          <w:tcPr>
            <w:tcW w:w="681" w:type="pct"/>
            <w:vMerge w:val="restart"/>
            <w:tcBorders>
              <w:top w:val="single" w:sz="4" w:space="0" w:color="auto"/>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科目编码</w:t>
            </w:r>
          </w:p>
        </w:tc>
        <w:tc>
          <w:tcPr>
            <w:tcW w:w="1281" w:type="pct"/>
            <w:vMerge w:val="restart"/>
            <w:tcBorders>
              <w:top w:val="single" w:sz="4" w:space="0" w:color="auto"/>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科目名称</w:t>
            </w:r>
          </w:p>
        </w:tc>
        <w:tc>
          <w:tcPr>
            <w:tcW w:w="606" w:type="pct"/>
            <w:vMerge w:val="restart"/>
            <w:tcBorders>
              <w:top w:val="single" w:sz="4" w:space="0" w:color="auto"/>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合计</w:t>
            </w:r>
          </w:p>
        </w:tc>
        <w:tc>
          <w:tcPr>
            <w:tcW w:w="1820" w:type="pct"/>
            <w:gridSpan w:val="3"/>
            <w:tcBorders>
              <w:top w:val="single" w:sz="4" w:space="0" w:color="auto"/>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基本支出</w:t>
            </w:r>
          </w:p>
        </w:tc>
        <w:tc>
          <w:tcPr>
            <w:tcW w:w="608" w:type="pct"/>
            <w:vMerge w:val="restart"/>
            <w:tcBorders>
              <w:top w:val="single" w:sz="4" w:space="0" w:color="auto"/>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项目支出</w:t>
            </w: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336"/>
          <w:jc w:val="center"/>
        </w:trPr>
        <w:tc>
          <w:tcPr>
            <w:tcW w:w="681" w:type="pct"/>
            <w:vMerge/>
            <w:tcBorders>
              <w:tl2br w:val="nil"/>
              <w:tr2bl w:val="nil"/>
            </w:tcBorders>
            <w:shd w:val="clear" w:color="auto" w:fill="auto"/>
            <w:noWrap/>
            <w:vAlign w:val="center"/>
          </w:tcPr>
          <w:p>
            <w:pPr>
              <w:jc w:val="center"/>
              <w:rPr>
                <w:rFonts w:ascii="Times New Roman" w:eastAsia="宋体" w:hAnsi="Times New Roman" w:cs="宋体" w:hint="eastAsia"/>
                <w:b/>
                <w:bCs/>
                <w:i w:val="0"/>
                <w:iCs w:val="0"/>
                <w:color w:val="000000"/>
                <w:sz w:val="20"/>
                <w:szCs w:val="20"/>
                <w:u w:val="none"/>
              </w:rPr>
            </w:pPr>
          </w:p>
        </w:tc>
        <w:tc>
          <w:tcPr>
            <w:tcW w:w="1281" w:type="pct"/>
            <w:vMerge/>
            <w:tcBorders>
              <w:tl2br w:val="nil"/>
              <w:tr2bl w:val="nil"/>
            </w:tcBorders>
            <w:shd w:val="clear" w:color="auto" w:fill="auto"/>
            <w:noWrap/>
            <w:vAlign w:val="center"/>
          </w:tcPr>
          <w:p>
            <w:pPr>
              <w:jc w:val="center"/>
              <w:rPr>
                <w:rFonts w:ascii="Times New Roman" w:eastAsia="宋体" w:hAnsi="Times New Roman" w:cs="宋体" w:hint="eastAsia"/>
                <w:b/>
                <w:bCs/>
                <w:i w:val="0"/>
                <w:iCs w:val="0"/>
                <w:color w:val="000000"/>
                <w:sz w:val="20"/>
                <w:szCs w:val="20"/>
                <w:u w:val="none"/>
              </w:rPr>
            </w:pPr>
          </w:p>
        </w:tc>
        <w:tc>
          <w:tcPr>
            <w:tcW w:w="606" w:type="pct"/>
            <w:vMerge/>
            <w:tcBorders>
              <w:tl2br w:val="nil"/>
              <w:tr2bl w:val="nil"/>
            </w:tcBorders>
            <w:shd w:val="clear" w:color="auto" w:fill="auto"/>
            <w:noWrap/>
            <w:vAlign w:val="center"/>
          </w:tcPr>
          <w:p>
            <w:pPr>
              <w:jc w:val="center"/>
              <w:rPr>
                <w:rFonts w:ascii="Times New Roman" w:eastAsia="宋体" w:hAnsi="Times New Roman" w:cs="宋体" w:hint="eastAsia"/>
                <w:b/>
                <w:bCs/>
                <w:i w:val="0"/>
                <w:iCs w:val="0"/>
                <w:color w:val="000000"/>
                <w:sz w:val="20"/>
                <w:szCs w:val="20"/>
                <w:u w:val="none"/>
              </w:rPr>
            </w:pPr>
          </w:p>
        </w:tc>
        <w:tc>
          <w:tcPr>
            <w:tcW w:w="606"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小计</w:t>
            </w:r>
          </w:p>
        </w:tc>
        <w:tc>
          <w:tcPr>
            <w:tcW w:w="606"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人员经费</w:t>
            </w:r>
          </w:p>
        </w:tc>
        <w:tc>
          <w:tcPr>
            <w:tcW w:w="606"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公用经费</w:t>
            </w:r>
          </w:p>
        </w:tc>
        <w:tc>
          <w:tcPr>
            <w:tcW w:w="608" w:type="pct"/>
            <w:vMerge/>
            <w:tcBorders>
              <w:tl2br w:val="nil"/>
              <w:tr2bl w:val="nil"/>
            </w:tcBorders>
            <w:shd w:val="clear" w:color="auto" w:fill="auto"/>
            <w:noWrap/>
            <w:vAlign w:val="center"/>
          </w:tcPr>
          <w:p>
            <w:pPr>
              <w:jc w:val="center"/>
              <w:rPr>
                <w:rFonts w:ascii="Times New Roman" w:eastAsia="宋体" w:hAnsi="Times New Roman" w:cs="宋体" w:hint="eastAsia"/>
                <w:b/>
                <w:bCs/>
                <w:i w:val="0"/>
                <w:iCs w:val="0"/>
                <w:color w:val="000000"/>
                <w:sz w:val="20"/>
                <w:szCs w:val="20"/>
                <w:u w:val="none"/>
              </w:rPr>
            </w:pP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336"/>
          <w:jc w:val="center"/>
        </w:trPr>
        <w:tc>
          <w:tcPr>
            <w:tcW w:w="681" w:type="pct"/>
            <w:tcBorders>
              <w:tl2br w:val="nil"/>
              <w:tr2bl w:val="nil"/>
            </w:tcBorders>
            <w:shd w:val="clear" w:color="auto" w:fill="auto"/>
            <w:noWrap/>
            <w:tcMar>
              <w:left w:w="20" w:type="dxa"/>
              <w:right w:w="20" w:type="dxa"/>
            </w:tcMar>
            <w:vAlign w:val="center"/>
          </w:tcPr>
          <w:p>
            <w:pPr>
              <w:spacing w:before="0" w:after="0" w:line="240" w:lineRule="auto"/>
              <w:jc w:val="both"/>
              <w:rPr>
                <w:rFonts w:ascii="Times New Roman" w:eastAsia="宋体" w:hAnsi="Times New Roman" w:cs="宋体" w:hint="eastAsia"/>
                <w:b/>
                <w:bCs/>
                <w:i w:val="0"/>
                <w:iCs w:val="0"/>
                <w:color w:val="000000"/>
                <w:sz w:val="20"/>
                <w:szCs w:val="20"/>
                <w:u w:val="none"/>
              </w:rPr>
            </w:pPr>
            <w:r>
              <w:rPr>
                <w:rFonts w:ascii="Times New Roman" w:eastAsia="宋体" w:hAnsi="Times New Roman"/>
                <w:b w:val="0"/>
                <w:sz w:val="20"/>
              </w:rPr>
              <w:t>201</w:t>
            </w:r>
          </w:p>
        </w:tc>
        <w:tc>
          <w:tcPr>
            <w:tcW w:w="1281" w:type="pct"/>
            <w:tcBorders>
              <w:tl2br w:val="nil"/>
              <w:tr2bl w:val="nil"/>
            </w:tcBorders>
            <w:shd w:val="clear" w:color="auto" w:fill="auto"/>
            <w:noWrap/>
            <w:tcMar>
              <w:left w:w="20" w:type="dxa"/>
              <w:right w:w="20" w:type="dxa"/>
            </w:tcMar>
            <w:vAlign w:val="center"/>
          </w:tcPr>
          <w:p>
            <w:pPr>
              <w:keepNext w:val="0"/>
              <w:keepLines w:val="0"/>
              <w:widowControl/>
              <w:suppressLineNumbers w:val="0"/>
              <w:spacing w:before="0" w:after="0" w:line="240" w:lineRule="auto"/>
              <w:jc w:val="both"/>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b w:val="0"/>
                <w:sz w:val="20"/>
              </w:rPr>
              <w:t>一般公共服务支出</w:t>
            </w: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290.44</w:t>
            </w: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220.08</w:t>
            </w: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197.72</w:t>
            </w: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22.36</w:t>
            </w:r>
          </w:p>
        </w:tc>
        <w:tc>
          <w:tcPr>
            <w:tcW w:w="608"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70.36</w:t>
            </w: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336"/>
          <w:jc w:val="center"/>
        </w:trPr>
        <w:tc>
          <w:tcPr>
            <w:tcW w:w="681" w:type="pct"/>
            <w:tcBorders>
              <w:tl2br w:val="nil"/>
              <w:tr2bl w:val="nil"/>
            </w:tcBorders>
            <w:shd w:val="clear" w:color="auto" w:fill="auto"/>
            <w:noWrap/>
            <w:tcMar>
              <w:left w:w="20" w:type="dxa"/>
              <w:right w:w="20" w:type="dxa"/>
            </w:tcMar>
            <w:vAlign w:val="center"/>
          </w:tcPr>
          <w:p>
            <w:pPr>
              <w:spacing w:before="0" w:after="0" w:line="240" w:lineRule="auto"/>
              <w:jc w:val="both"/>
              <w:rPr>
                <w:rFonts w:ascii="Times New Roman" w:eastAsia="宋体" w:hAnsi="Times New Roman" w:cs="宋体" w:hint="eastAsia"/>
                <w:b/>
                <w:bCs/>
                <w:i w:val="0"/>
                <w:iCs w:val="0"/>
                <w:color w:val="000000"/>
                <w:sz w:val="20"/>
                <w:szCs w:val="20"/>
                <w:u w:val="none"/>
              </w:rPr>
            </w:pPr>
            <w:r>
              <w:rPr>
                <w:rFonts w:ascii="Times New Roman" w:eastAsia="宋体" w:hAnsi="Times New Roman"/>
                <w:b w:val="0"/>
                <w:sz w:val="20"/>
              </w:rPr>
              <w:t>　20104</w:t>
            </w:r>
          </w:p>
        </w:tc>
        <w:tc>
          <w:tcPr>
            <w:tcW w:w="1281" w:type="pct"/>
            <w:tcBorders>
              <w:tl2br w:val="nil"/>
              <w:tr2bl w:val="nil"/>
            </w:tcBorders>
            <w:shd w:val="clear" w:color="auto" w:fill="auto"/>
            <w:noWrap/>
            <w:tcMar>
              <w:left w:w="20" w:type="dxa"/>
              <w:right w:w="20" w:type="dxa"/>
            </w:tcMar>
            <w:vAlign w:val="center"/>
          </w:tcPr>
          <w:p>
            <w:pPr>
              <w:keepNext w:val="0"/>
              <w:keepLines w:val="0"/>
              <w:widowControl/>
              <w:suppressLineNumbers w:val="0"/>
              <w:spacing w:before="0" w:after="0" w:line="240" w:lineRule="auto"/>
              <w:jc w:val="both"/>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b w:val="0"/>
                <w:sz w:val="20"/>
              </w:rPr>
              <w:t>　发展与改革事务</w:t>
            </w: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283.06</w:t>
            </w: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212.69</w:t>
            </w: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190.33</w:t>
            </w: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22.36</w:t>
            </w:r>
          </w:p>
        </w:tc>
        <w:tc>
          <w:tcPr>
            <w:tcW w:w="608"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70.36</w:t>
            </w: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336"/>
          <w:jc w:val="center"/>
        </w:trPr>
        <w:tc>
          <w:tcPr>
            <w:tcW w:w="681" w:type="pct"/>
            <w:tcBorders>
              <w:tl2br w:val="nil"/>
              <w:tr2bl w:val="nil"/>
            </w:tcBorders>
            <w:shd w:val="clear" w:color="auto" w:fill="auto"/>
            <w:noWrap/>
            <w:tcMar>
              <w:left w:w="20" w:type="dxa"/>
              <w:right w:w="20" w:type="dxa"/>
            </w:tcMar>
            <w:vAlign w:val="center"/>
          </w:tcPr>
          <w:p>
            <w:pPr>
              <w:spacing w:before="0" w:after="0" w:line="240" w:lineRule="auto"/>
              <w:jc w:val="both"/>
              <w:rPr>
                <w:rFonts w:ascii="Times New Roman" w:eastAsia="宋体" w:hAnsi="Times New Roman" w:cs="宋体" w:hint="eastAsia"/>
                <w:b/>
                <w:bCs/>
                <w:i w:val="0"/>
                <w:iCs w:val="0"/>
                <w:color w:val="000000"/>
                <w:sz w:val="20"/>
                <w:szCs w:val="20"/>
                <w:u w:val="none"/>
              </w:rPr>
            </w:pPr>
            <w:r>
              <w:rPr>
                <w:rFonts w:ascii="Times New Roman" w:eastAsia="宋体" w:hAnsi="Times New Roman"/>
                <w:b w:val="0"/>
                <w:sz w:val="20"/>
              </w:rPr>
              <w:t>　　2010401</w:t>
            </w:r>
          </w:p>
        </w:tc>
        <w:tc>
          <w:tcPr>
            <w:tcW w:w="1281" w:type="pct"/>
            <w:tcBorders>
              <w:tl2br w:val="nil"/>
              <w:tr2bl w:val="nil"/>
            </w:tcBorders>
            <w:shd w:val="clear" w:color="auto" w:fill="auto"/>
            <w:noWrap/>
            <w:tcMar>
              <w:left w:w="20" w:type="dxa"/>
              <w:right w:w="20" w:type="dxa"/>
            </w:tcMar>
            <w:vAlign w:val="center"/>
          </w:tcPr>
          <w:p>
            <w:pPr>
              <w:keepNext w:val="0"/>
              <w:keepLines w:val="0"/>
              <w:widowControl/>
              <w:suppressLineNumbers w:val="0"/>
              <w:spacing w:before="0" w:after="0" w:line="240" w:lineRule="auto"/>
              <w:jc w:val="both"/>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b w:val="0"/>
                <w:sz w:val="20"/>
              </w:rPr>
              <w:t>　　行政运行</w:t>
            </w: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217.69</w:t>
            </w: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212.69</w:t>
            </w: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190.33</w:t>
            </w: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22.36</w:t>
            </w:r>
          </w:p>
        </w:tc>
        <w:tc>
          <w:tcPr>
            <w:tcW w:w="608"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5.00</w:t>
            </w: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336"/>
          <w:jc w:val="center"/>
        </w:trPr>
        <w:tc>
          <w:tcPr>
            <w:tcW w:w="681" w:type="pct"/>
            <w:tcBorders>
              <w:tl2br w:val="nil"/>
              <w:tr2bl w:val="nil"/>
            </w:tcBorders>
            <w:shd w:val="clear" w:color="auto" w:fill="auto"/>
            <w:noWrap/>
            <w:tcMar>
              <w:left w:w="20" w:type="dxa"/>
              <w:right w:w="20" w:type="dxa"/>
            </w:tcMar>
            <w:vAlign w:val="center"/>
          </w:tcPr>
          <w:p>
            <w:pPr>
              <w:spacing w:before="0" w:after="0" w:line="240" w:lineRule="auto"/>
              <w:jc w:val="both"/>
              <w:rPr>
                <w:rFonts w:ascii="Times New Roman" w:eastAsia="宋体" w:hAnsi="Times New Roman" w:cs="宋体" w:hint="eastAsia"/>
                <w:b/>
                <w:bCs/>
                <w:i w:val="0"/>
                <w:iCs w:val="0"/>
                <w:color w:val="000000"/>
                <w:sz w:val="20"/>
                <w:szCs w:val="20"/>
                <w:u w:val="none"/>
              </w:rPr>
            </w:pPr>
            <w:r>
              <w:rPr>
                <w:rFonts w:ascii="Times New Roman" w:eastAsia="宋体" w:hAnsi="Times New Roman"/>
                <w:b w:val="0"/>
                <w:sz w:val="20"/>
              </w:rPr>
              <w:t>　　2010402</w:t>
            </w:r>
          </w:p>
        </w:tc>
        <w:tc>
          <w:tcPr>
            <w:tcW w:w="1281" w:type="pct"/>
            <w:tcBorders>
              <w:tl2br w:val="nil"/>
              <w:tr2bl w:val="nil"/>
            </w:tcBorders>
            <w:shd w:val="clear" w:color="auto" w:fill="auto"/>
            <w:noWrap/>
            <w:tcMar>
              <w:left w:w="20" w:type="dxa"/>
              <w:right w:w="20" w:type="dxa"/>
            </w:tcMar>
            <w:vAlign w:val="center"/>
          </w:tcPr>
          <w:p>
            <w:pPr>
              <w:keepNext w:val="0"/>
              <w:keepLines w:val="0"/>
              <w:widowControl/>
              <w:suppressLineNumbers w:val="0"/>
              <w:spacing w:before="0" w:after="0" w:line="240" w:lineRule="auto"/>
              <w:jc w:val="both"/>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b w:val="0"/>
                <w:sz w:val="20"/>
              </w:rPr>
              <w:t>　　一般行政管理事务</w:t>
            </w: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65.36</w:t>
            </w: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60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608"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65.36</w:t>
            </w: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4"/>
          <w:jc w:val="center"/>
        </w:trPr>
        <w:tc>
          <w:tcPr>
            <w:tcW w:w="1500" w:type="dxa"/>
            <w:tcMar>
              <w:left w:w="20" w:type="dxa"/>
              <w:right w:w="20" w:type="dxa"/>
            </w:tcMar>
            <w:vAlign w:val="center"/>
          </w:tcPr>
          <w:p>
            <w:pPr>
              <w:spacing w:before="0" w:after="0" w:line="240" w:lineRule="auto"/>
            </w:pPr>
            <w:r>
              <w:rPr>
                <w:rFonts w:ascii="Times New Roman" w:eastAsia="宋体" w:hAnsi="Times New Roman"/>
                <w:b w:val="0"/>
                <w:sz w:val="20"/>
              </w:rPr>
              <w:t>　20129</w:t>
            </w:r>
          </w:p>
        </w:tc>
        <w:tc>
          <w:tcPr>
            <w:tcW w:w="2820" w:type="dxa"/>
            <w:tcMar>
              <w:left w:w="20" w:type="dxa"/>
              <w:right w:w="20" w:type="dxa"/>
            </w:tcMar>
            <w:vAlign w:val="center"/>
          </w:tcPr>
          <w:p>
            <w:pPr>
              <w:spacing w:before="0" w:after="0" w:line="240" w:lineRule="auto"/>
            </w:pPr>
            <w:r>
              <w:rPr>
                <w:rFonts w:ascii="Times New Roman" w:eastAsia="宋体" w:hAnsi="Times New Roman"/>
                <w:b w:val="0"/>
                <w:sz w:val="20"/>
              </w:rPr>
              <w:t>　群众团体事务</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5.95</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5.95</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5.95</w:t>
            </w:r>
          </w:p>
        </w:tc>
        <w:tc>
          <w:tcPr>
            <w:tcW w:w="1335" w:type="dxa"/>
            <w:tcMar>
              <w:left w:w="20" w:type="dxa"/>
              <w:right w:w="20" w:type="dxa"/>
            </w:tcMar>
            <w:vAlign w:val="center"/>
          </w:tcPr>
          <w:p>
            <w:pPr>
              <w:spacing w:before="0" w:after="0" w:line="240" w:lineRule="auto"/>
              <w:jc w:val="right"/>
            </w:pPr>
          </w:p>
        </w:tc>
        <w:tc>
          <w:tcPr>
            <w:tcW w:w="1339" w:type="dxa"/>
            <w:tcMar>
              <w:left w:w="20" w:type="dxa"/>
              <w:right w:w="20" w:type="dxa"/>
            </w:tcMar>
            <w:vAlign w:val="center"/>
          </w:tcPr>
          <w:p>
            <w:pPr>
              <w:spacing w:before="0" w:after="0" w:line="240" w:lineRule="auto"/>
              <w:jc w:val="right"/>
            </w:pP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4"/>
          <w:jc w:val="center"/>
        </w:trPr>
        <w:tc>
          <w:tcPr>
            <w:tcW w:w="1500" w:type="dxa"/>
            <w:tcMar>
              <w:left w:w="20" w:type="dxa"/>
              <w:right w:w="20" w:type="dxa"/>
            </w:tcMar>
            <w:vAlign w:val="center"/>
          </w:tcPr>
          <w:p>
            <w:pPr>
              <w:spacing w:before="0" w:after="0" w:line="240" w:lineRule="auto"/>
            </w:pPr>
            <w:r>
              <w:rPr>
                <w:rFonts w:ascii="Times New Roman" w:eastAsia="宋体" w:hAnsi="Times New Roman"/>
                <w:b w:val="0"/>
                <w:sz w:val="20"/>
              </w:rPr>
              <w:t>　　2012999</w:t>
            </w:r>
          </w:p>
        </w:tc>
        <w:tc>
          <w:tcPr>
            <w:tcW w:w="2820" w:type="dxa"/>
            <w:tcMar>
              <w:left w:w="20" w:type="dxa"/>
              <w:right w:w="20" w:type="dxa"/>
            </w:tcMar>
            <w:vAlign w:val="center"/>
          </w:tcPr>
          <w:p>
            <w:pPr>
              <w:spacing w:before="0" w:after="0" w:line="240" w:lineRule="auto"/>
            </w:pPr>
            <w:r>
              <w:rPr>
                <w:rFonts w:ascii="Times New Roman" w:eastAsia="宋体" w:hAnsi="Times New Roman"/>
                <w:b w:val="0"/>
                <w:sz w:val="20"/>
              </w:rPr>
              <w:t>　　其他群众团体事务支出</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5.95</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5.95</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5.95</w:t>
            </w:r>
          </w:p>
        </w:tc>
        <w:tc>
          <w:tcPr>
            <w:tcW w:w="1335" w:type="dxa"/>
            <w:tcMar>
              <w:left w:w="20" w:type="dxa"/>
              <w:right w:w="20" w:type="dxa"/>
            </w:tcMar>
            <w:vAlign w:val="center"/>
          </w:tcPr>
          <w:p>
            <w:pPr>
              <w:spacing w:before="0" w:after="0" w:line="240" w:lineRule="auto"/>
              <w:jc w:val="right"/>
            </w:pPr>
          </w:p>
        </w:tc>
        <w:tc>
          <w:tcPr>
            <w:tcW w:w="1339" w:type="dxa"/>
            <w:tcMar>
              <w:left w:w="20" w:type="dxa"/>
              <w:right w:w="20" w:type="dxa"/>
            </w:tcMar>
            <w:vAlign w:val="center"/>
          </w:tcPr>
          <w:p>
            <w:pPr>
              <w:spacing w:before="0" w:after="0" w:line="240" w:lineRule="auto"/>
              <w:jc w:val="right"/>
            </w:pP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4"/>
          <w:jc w:val="center"/>
        </w:trPr>
        <w:tc>
          <w:tcPr>
            <w:tcW w:w="1500" w:type="dxa"/>
            <w:tcMar>
              <w:left w:w="20" w:type="dxa"/>
              <w:right w:w="20" w:type="dxa"/>
            </w:tcMar>
            <w:vAlign w:val="center"/>
          </w:tcPr>
          <w:p>
            <w:pPr>
              <w:spacing w:before="0" w:after="0" w:line="240" w:lineRule="auto"/>
            </w:pPr>
            <w:r>
              <w:rPr>
                <w:rFonts w:ascii="Times New Roman" w:eastAsia="宋体" w:hAnsi="Times New Roman"/>
                <w:b w:val="0"/>
                <w:sz w:val="20"/>
              </w:rPr>
              <w:t>　20132</w:t>
            </w:r>
          </w:p>
        </w:tc>
        <w:tc>
          <w:tcPr>
            <w:tcW w:w="2820" w:type="dxa"/>
            <w:tcMar>
              <w:left w:w="20" w:type="dxa"/>
              <w:right w:w="20" w:type="dxa"/>
            </w:tcMar>
            <w:vAlign w:val="center"/>
          </w:tcPr>
          <w:p>
            <w:pPr>
              <w:spacing w:before="0" w:after="0" w:line="240" w:lineRule="auto"/>
            </w:pPr>
            <w:r>
              <w:rPr>
                <w:rFonts w:ascii="Times New Roman" w:eastAsia="宋体" w:hAnsi="Times New Roman"/>
                <w:b w:val="0"/>
                <w:sz w:val="20"/>
              </w:rPr>
              <w:t>　组织事务</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1.43</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1.43</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1.43</w:t>
            </w:r>
          </w:p>
        </w:tc>
        <w:tc>
          <w:tcPr>
            <w:tcW w:w="1335" w:type="dxa"/>
            <w:tcMar>
              <w:left w:w="20" w:type="dxa"/>
              <w:right w:w="20" w:type="dxa"/>
            </w:tcMar>
            <w:vAlign w:val="center"/>
          </w:tcPr>
          <w:p>
            <w:pPr>
              <w:spacing w:before="0" w:after="0" w:line="240" w:lineRule="auto"/>
              <w:jc w:val="right"/>
            </w:pPr>
          </w:p>
        </w:tc>
        <w:tc>
          <w:tcPr>
            <w:tcW w:w="1339" w:type="dxa"/>
            <w:tcMar>
              <w:left w:w="20" w:type="dxa"/>
              <w:right w:w="20" w:type="dxa"/>
            </w:tcMar>
            <w:vAlign w:val="center"/>
          </w:tcPr>
          <w:p>
            <w:pPr>
              <w:spacing w:before="0" w:after="0" w:line="240" w:lineRule="auto"/>
              <w:jc w:val="right"/>
            </w:pP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4"/>
          <w:jc w:val="center"/>
        </w:trPr>
        <w:tc>
          <w:tcPr>
            <w:tcW w:w="1500" w:type="dxa"/>
            <w:tcMar>
              <w:left w:w="20" w:type="dxa"/>
              <w:right w:w="20" w:type="dxa"/>
            </w:tcMar>
            <w:vAlign w:val="center"/>
          </w:tcPr>
          <w:p>
            <w:pPr>
              <w:spacing w:before="0" w:after="0" w:line="240" w:lineRule="auto"/>
            </w:pPr>
            <w:r>
              <w:rPr>
                <w:rFonts w:ascii="Times New Roman" w:eastAsia="宋体" w:hAnsi="Times New Roman"/>
                <w:b w:val="0"/>
                <w:sz w:val="20"/>
              </w:rPr>
              <w:t>　　2013299</w:t>
            </w:r>
          </w:p>
        </w:tc>
        <w:tc>
          <w:tcPr>
            <w:tcW w:w="2820" w:type="dxa"/>
            <w:tcMar>
              <w:left w:w="20" w:type="dxa"/>
              <w:right w:w="20" w:type="dxa"/>
            </w:tcMar>
            <w:vAlign w:val="center"/>
          </w:tcPr>
          <w:p>
            <w:pPr>
              <w:spacing w:before="0" w:after="0" w:line="240" w:lineRule="auto"/>
            </w:pPr>
            <w:r>
              <w:rPr>
                <w:rFonts w:ascii="Times New Roman" w:eastAsia="宋体" w:hAnsi="Times New Roman"/>
                <w:b w:val="0"/>
                <w:sz w:val="20"/>
              </w:rPr>
              <w:t>　　其他组织事务支出</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1.43</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1.43</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1.43</w:t>
            </w:r>
          </w:p>
        </w:tc>
        <w:tc>
          <w:tcPr>
            <w:tcW w:w="1335" w:type="dxa"/>
            <w:tcMar>
              <w:left w:w="20" w:type="dxa"/>
              <w:right w:w="20" w:type="dxa"/>
            </w:tcMar>
            <w:vAlign w:val="center"/>
          </w:tcPr>
          <w:p>
            <w:pPr>
              <w:spacing w:before="0" w:after="0" w:line="240" w:lineRule="auto"/>
              <w:jc w:val="right"/>
            </w:pPr>
          </w:p>
        </w:tc>
        <w:tc>
          <w:tcPr>
            <w:tcW w:w="1339" w:type="dxa"/>
            <w:tcMar>
              <w:left w:w="20" w:type="dxa"/>
              <w:right w:w="20" w:type="dxa"/>
            </w:tcMar>
            <w:vAlign w:val="center"/>
          </w:tcPr>
          <w:p>
            <w:pPr>
              <w:spacing w:before="0" w:after="0" w:line="240" w:lineRule="auto"/>
              <w:jc w:val="right"/>
            </w:pP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4"/>
          <w:jc w:val="center"/>
        </w:trPr>
        <w:tc>
          <w:tcPr>
            <w:tcW w:w="1500" w:type="dxa"/>
            <w:tcMar>
              <w:left w:w="20" w:type="dxa"/>
              <w:right w:w="20" w:type="dxa"/>
            </w:tcMar>
            <w:vAlign w:val="center"/>
          </w:tcPr>
          <w:p>
            <w:pPr>
              <w:spacing w:before="0" w:after="0" w:line="240" w:lineRule="auto"/>
            </w:pPr>
            <w:r>
              <w:rPr>
                <w:rFonts w:ascii="Times New Roman" w:eastAsia="宋体" w:hAnsi="Times New Roman"/>
                <w:b w:val="0"/>
                <w:sz w:val="20"/>
              </w:rPr>
              <w:t>208</w:t>
            </w:r>
          </w:p>
        </w:tc>
        <w:tc>
          <w:tcPr>
            <w:tcW w:w="2820" w:type="dxa"/>
            <w:tcMar>
              <w:left w:w="20" w:type="dxa"/>
              <w:right w:w="20" w:type="dxa"/>
            </w:tcMar>
            <w:vAlign w:val="center"/>
          </w:tcPr>
          <w:p>
            <w:pPr>
              <w:spacing w:before="0" w:after="0" w:line="240" w:lineRule="auto"/>
            </w:pPr>
            <w:r>
              <w:rPr>
                <w:rFonts w:ascii="Times New Roman" w:eastAsia="宋体" w:hAnsi="Times New Roman"/>
                <w:b w:val="0"/>
                <w:sz w:val="20"/>
              </w:rPr>
              <w:t>社会保障和就业支出</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181.60</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335" w:type="dxa"/>
            <w:tcMar>
              <w:left w:w="20" w:type="dxa"/>
              <w:right w:w="20" w:type="dxa"/>
            </w:tcMar>
            <w:vAlign w:val="center"/>
          </w:tcPr>
          <w:p>
            <w:pPr>
              <w:spacing w:before="0" w:after="0" w:line="240" w:lineRule="auto"/>
              <w:jc w:val="right"/>
            </w:pPr>
          </w:p>
        </w:tc>
        <w:tc>
          <w:tcPr>
            <w:tcW w:w="1339" w:type="dxa"/>
            <w:tcMar>
              <w:left w:w="20" w:type="dxa"/>
              <w:right w:w="20" w:type="dxa"/>
            </w:tcMar>
            <w:vAlign w:val="center"/>
          </w:tcPr>
          <w:p>
            <w:pPr>
              <w:spacing w:before="0" w:after="0" w:line="240" w:lineRule="auto"/>
              <w:jc w:val="right"/>
            </w:pPr>
            <w:r>
              <w:rPr>
                <w:rFonts w:ascii="Times New Roman" w:eastAsia="宋体" w:hAnsi="Times New Roman"/>
                <w:b w:val="0"/>
                <w:sz w:val="20"/>
              </w:rPr>
              <w:t>170.94</w:t>
            </w: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4"/>
          <w:jc w:val="center"/>
        </w:trPr>
        <w:tc>
          <w:tcPr>
            <w:tcW w:w="1500" w:type="dxa"/>
            <w:tcMar>
              <w:left w:w="20" w:type="dxa"/>
              <w:right w:w="20" w:type="dxa"/>
            </w:tcMar>
            <w:vAlign w:val="center"/>
          </w:tcPr>
          <w:p>
            <w:pPr>
              <w:spacing w:before="0" w:after="0" w:line="240" w:lineRule="auto"/>
            </w:pPr>
            <w:r>
              <w:rPr>
                <w:rFonts w:ascii="Times New Roman" w:eastAsia="宋体" w:hAnsi="Times New Roman"/>
                <w:b w:val="0"/>
                <w:sz w:val="20"/>
              </w:rPr>
              <w:t>　20805</w:t>
            </w:r>
          </w:p>
        </w:tc>
        <w:tc>
          <w:tcPr>
            <w:tcW w:w="2820" w:type="dxa"/>
            <w:tcMar>
              <w:left w:w="20" w:type="dxa"/>
              <w:right w:w="20" w:type="dxa"/>
            </w:tcMar>
            <w:vAlign w:val="center"/>
          </w:tcPr>
          <w:p>
            <w:pPr>
              <w:spacing w:before="0" w:after="0" w:line="240" w:lineRule="auto"/>
            </w:pPr>
            <w:r>
              <w:rPr>
                <w:rFonts w:ascii="Times New Roman" w:eastAsia="宋体" w:hAnsi="Times New Roman"/>
                <w:b w:val="0"/>
                <w:sz w:val="20"/>
              </w:rPr>
              <w:t>　行政事业单位养老支出</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335" w:type="dxa"/>
            <w:tcMar>
              <w:left w:w="20" w:type="dxa"/>
              <w:right w:w="20" w:type="dxa"/>
            </w:tcMar>
            <w:vAlign w:val="center"/>
          </w:tcPr>
          <w:p>
            <w:pPr>
              <w:spacing w:before="0" w:after="0" w:line="240" w:lineRule="auto"/>
              <w:jc w:val="right"/>
            </w:pPr>
          </w:p>
        </w:tc>
        <w:tc>
          <w:tcPr>
            <w:tcW w:w="1339" w:type="dxa"/>
            <w:tcMar>
              <w:left w:w="20" w:type="dxa"/>
              <w:right w:w="20" w:type="dxa"/>
            </w:tcMar>
            <w:vAlign w:val="center"/>
          </w:tcPr>
          <w:p>
            <w:pPr>
              <w:spacing w:before="0" w:after="0" w:line="240" w:lineRule="auto"/>
              <w:jc w:val="right"/>
            </w:pP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4"/>
          <w:jc w:val="center"/>
        </w:trPr>
        <w:tc>
          <w:tcPr>
            <w:tcW w:w="1500" w:type="dxa"/>
            <w:tcMar>
              <w:left w:w="20" w:type="dxa"/>
              <w:right w:w="20" w:type="dxa"/>
            </w:tcMar>
            <w:vAlign w:val="center"/>
          </w:tcPr>
          <w:p>
            <w:pPr>
              <w:spacing w:before="0" w:after="0" w:line="240" w:lineRule="auto"/>
            </w:pPr>
            <w:r>
              <w:rPr>
                <w:rFonts w:ascii="Times New Roman" w:eastAsia="宋体" w:hAnsi="Times New Roman"/>
                <w:b w:val="0"/>
                <w:sz w:val="20"/>
              </w:rPr>
              <w:t>　　2080506</w:t>
            </w:r>
          </w:p>
        </w:tc>
        <w:tc>
          <w:tcPr>
            <w:tcW w:w="2820" w:type="dxa"/>
            <w:tcMar>
              <w:left w:w="20" w:type="dxa"/>
              <w:right w:w="20" w:type="dxa"/>
            </w:tcMar>
            <w:vAlign w:val="center"/>
          </w:tcPr>
          <w:p>
            <w:pPr>
              <w:spacing w:before="0" w:after="0" w:line="240" w:lineRule="auto"/>
            </w:pPr>
            <w:r>
              <w:rPr>
                <w:rFonts w:ascii="Times New Roman" w:eastAsia="宋体" w:hAnsi="Times New Roman"/>
                <w:b w:val="0"/>
                <w:sz w:val="20"/>
              </w:rPr>
              <w:t>　　机关事业单位职业年金缴费支出</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335" w:type="dxa"/>
            <w:tcMar>
              <w:left w:w="20" w:type="dxa"/>
              <w:right w:w="20" w:type="dxa"/>
            </w:tcMar>
            <w:vAlign w:val="center"/>
          </w:tcPr>
          <w:p>
            <w:pPr>
              <w:spacing w:before="0" w:after="0" w:line="240" w:lineRule="auto"/>
              <w:jc w:val="right"/>
            </w:pPr>
          </w:p>
        </w:tc>
        <w:tc>
          <w:tcPr>
            <w:tcW w:w="1339" w:type="dxa"/>
            <w:tcMar>
              <w:left w:w="20" w:type="dxa"/>
              <w:right w:w="20" w:type="dxa"/>
            </w:tcMar>
            <w:vAlign w:val="center"/>
          </w:tcPr>
          <w:p>
            <w:pPr>
              <w:spacing w:before="0" w:after="0" w:line="240" w:lineRule="auto"/>
              <w:jc w:val="right"/>
            </w:pP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4"/>
          <w:jc w:val="center"/>
        </w:trPr>
        <w:tc>
          <w:tcPr>
            <w:tcW w:w="1500" w:type="dxa"/>
            <w:tcMar>
              <w:left w:w="20" w:type="dxa"/>
              <w:right w:w="20" w:type="dxa"/>
            </w:tcMar>
            <w:vAlign w:val="center"/>
          </w:tcPr>
          <w:p>
            <w:pPr>
              <w:spacing w:before="0" w:after="0" w:line="240" w:lineRule="auto"/>
            </w:pPr>
            <w:r>
              <w:rPr>
                <w:rFonts w:ascii="Times New Roman" w:eastAsia="宋体" w:hAnsi="Times New Roman"/>
                <w:b w:val="0"/>
                <w:sz w:val="20"/>
              </w:rPr>
              <w:t>　20807</w:t>
            </w:r>
          </w:p>
        </w:tc>
        <w:tc>
          <w:tcPr>
            <w:tcW w:w="2820" w:type="dxa"/>
            <w:tcMar>
              <w:left w:w="20" w:type="dxa"/>
              <w:right w:w="20" w:type="dxa"/>
            </w:tcMar>
            <w:vAlign w:val="center"/>
          </w:tcPr>
          <w:p>
            <w:pPr>
              <w:spacing w:before="0" w:after="0" w:line="240" w:lineRule="auto"/>
            </w:pPr>
            <w:r>
              <w:rPr>
                <w:rFonts w:ascii="Times New Roman" w:eastAsia="宋体" w:hAnsi="Times New Roman"/>
                <w:b w:val="0"/>
                <w:sz w:val="20"/>
              </w:rPr>
              <w:t>　就业补助</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170.94</w:t>
            </w:r>
          </w:p>
        </w:tc>
        <w:tc>
          <w:tcPr>
            <w:tcW w:w="1335" w:type="dxa"/>
            <w:tcMar>
              <w:left w:w="20" w:type="dxa"/>
              <w:right w:w="20" w:type="dxa"/>
            </w:tcMar>
            <w:vAlign w:val="center"/>
          </w:tcPr>
          <w:p>
            <w:pPr>
              <w:spacing w:before="0" w:after="0" w:line="240" w:lineRule="auto"/>
              <w:jc w:val="right"/>
            </w:pPr>
          </w:p>
        </w:tc>
        <w:tc>
          <w:tcPr>
            <w:tcW w:w="1335" w:type="dxa"/>
            <w:tcMar>
              <w:left w:w="20" w:type="dxa"/>
              <w:right w:w="20" w:type="dxa"/>
            </w:tcMar>
            <w:vAlign w:val="center"/>
          </w:tcPr>
          <w:p>
            <w:pPr>
              <w:spacing w:before="0" w:after="0" w:line="240" w:lineRule="auto"/>
              <w:jc w:val="right"/>
            </w:pPr>
          </w:p>
        </w:tc>
        <w:tc>
          <w:tcPr>
            <w:tcW w:w="1335" w:type="dxa"/>
            <w:tcMar>
              <w:left w:w="20" w:type="dxa"/>
              <w:right w:w="20" w:type="dxa"/>
            </w:tcMar>
            <w:vAlign w:val="center"/>
          </w:tcPr>
          <w:p>
            <w:pPr>
              <w:spacing w:before="0" w:after="0" w:line="240" w:lineRule="auto"/>
              <w:jc w:val="right"/>
            </w:pPr>
          </w:p>
        </w:tc>
        <w:tc>
          <w:tcPr>
            <w:tcW w:w="1339" w:type="dxa"/>
            <w:tcMar>
              <w:left w:w="20" w:type="dxa"/>
              <w:right w:w="20" w:type="dxa"/>
            </w:tcMar>
            <w:vAlign w:val="center"/>
          </w:tcPr>
          <w:p>
            <w:pPr>
              <w:spacing w:before="0" w:after="0" w:line="240" w:lineRule="auto"/>
              <w:jc w:val="right"/>
            </w:pPr>
            <w:r>
              <w:rPr>
                <w:rFonts w:ascii="Times New Roman" w:eastAsia="宋体" w:hAnsi="Times New Roman"/>
                <w:b w:val="0"/>
                <w:sz w:val="20"/>
              </w:rPr>
              <w:t>170.94</w:t>
            </w: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4"/>
          <w:jc w:val="center"/>
        </w:trPr>
        <w:tc>
          <w:tcPr>
            <w:tcW w:w="1500" w:type="dxa"/>
            <w:tcMar>
              <w:left w:w="20" w:type="dxa"/>
              <w:right w:w="20" w:type="dxa"/>
            </w:tcMar>
            <w:vAlign w:val="center"/>
          </w:tcPr>
          <w:p>
            <w:pPr>
              <w:spacing w:before="0" w:after="0" w:line="240" w:lineRule="auto"/>
            </w:pPr>
            <w:r>
              <w:rPr>
                <w:rFonts w:ascii="Times New Roman" w:eastAsia="宋体" w:hAnsi="Times New Roman"/>
                <w:b w:val="0"/>
                <w:sz w:val="20"/>
              </w:rPr>
              <w:t>　　2080704</w:t>
            </w:r>
          </w:p>
        </w:tc>
        <w:tc>
          <w:tcPr>
            <w:tcW w:w="2820" w:type="dxa"/>
            <w:tcMar>
              <w:left w:w="20" w:type="dxa"/>
              <w:right w:w="20" w:type="dxa"/>
            </w:tcMar>
            <w:vAlign w:val="center"/>
          </w:tcPr>
          <w:p>
            <w:pPr>
              <w:spacing w:before="0" w:after="0" w:line="240" w:lineRule="auto"/>
            </w:pPr>
            <w:r>
              <w:rPr>
                <w:rFonts w:ascii="Times New Roman" w:eastAsia="宋体" w:hAnsi="Times New Roman"/>
                <w:b w:val="0"/>
                <w:sz w:val="20"/>
              </w:rPr>
              <w:t>　　社会保险补贴</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170.94</w:t>
            </w:r>
          </w:p>
        </w:tc>
        <w:tc>
          <w:tcPr>
            <w:tcW w:w="1335" w:type="dxa"/>
            <w:tcMar>
              <w:left w:w="20" w:type="dxa"/>
              <w:right w:w="20" w:type="dxa"/>
            </w:tcMar>
            <w:vAlign w:val="center"/>
          </w:tcPr>
          <w:p>
            <w:pPr>
              <w:spacing w:before="0" w:after="0" w:line="240" w:lineRule="auto"/>
              <w:jc w:val="right"/>
            </w:pPr>
          </w:p>
        </w:tc>
        <w:tc>
          <w:tcPr>
            <w:tcW w:w="1335" w:type="dxa"/>
            <w:tcMar>
              <w:left w:w="20" w:type="dxa"/>
              <w:right w:w="20" w:type="dxa"/>
            </w:tcMar>
            <w:vAlign w:val="center"/>
          </w:tcPr>
          <w:p>
            <w:pPr>
              <w:spacing w:before="0" w:after="0" w:line="240" w:lineRule="auto"/>
              <w:jc w:val="right"/>
            </w:pPr>
          </w:p>
        </w:tc>
        <w:tc>
          <w:tcPr>
            <w:tcW w:w="1335" w:type="dxa"/>
            <w:tcMar>
              <w:left w:w="20" w:type="dxa"/>
              <w:right w:w="20" w:type="dxa"/>
            </w:tcMar>
            <w:vAlign w:val="center"/>
          </w:tcPr>
          <w:p>
            <w:pPr>
              <w:spacing w:before="0" w:after="0" w:line="240" w:lineRule="auto"/>
              <w:jc w:val="right"/>
            </w:pPr>
          </w:p>
        </w:tc>
        <w:tc>
          <w:tcPr>
            <w:tcW w:w="1339" w:type="dxa"/>
            <w:tcMar>
              <w:left w:w="20" w:type="dxa"/>
              <w:right w:w="20" w:type="dxa"/>
            </w:tcMar>
            <w:vAlign w:val="center"/>
          </w:tcPr>
          <w:p>
            <w:pPr>
              <w:spacing w:before="0" w:after="0" w:line="240" w:lineRule="auto"/>
              <w:jc w:val="right"/>
            </w:pPr>
            <w:r>
              <w:rPr>
                <w:rFonts w:ascii="Times New Roman" w:eastAsia="宋体" w:hAnsi="Times New Roman"/>
                <w:b w:val="0"/>
                <w:sz w:val="20"/>
              </w:rPr>
              <w:t>170.94</w:t>
            </w:r>
          </w:p>
        </w:tc>
      </w:tr>
      <w:tr>
        <w:tblPrEx>
          <w:tblW w:w="6453" w:type="pct"/>
          <w:jc w:val="center"/>
          <w:tblInd w:w="-1239" w:type="dxa"/>
          <w:shd w:val="clear" w:color="auto" w:fill="auto"/>
          <w:tblLayout w:type="fixed"/>
          <w:tblCellMar>
            <w:top w:w="0" w:type="dxa"/>
            <w:left w:w="108" w:type="dxa"/>
            <w:bottom w:w="0" w:type="dxa"/>
            <w:right w:w="108" w:type="dxa"/>
          </w:tblCellMar>
        </w:tblPrEx>
        <w:trPr>
          <w:trHeight w:val="4"/>
          <w:jc w:val="center"/>
        </w:trPr>
        <w:tc>
          <w:tcPr>
            <w:tcW w:w="4320" w:type="dxa"/>
            <w:gridSpan w:val="2"/>
            <w:tcMar>
              <w:left w:w="20" w:type="dxa"/>
              <w:right w:w="20" w:type="dxa"/>
            </w:tcMar>
            <w:vAlign w:val="center"/>
          </w:tcPr>
          <w:p>
            <w:pPr>
              <w:spacing w:before="0" w:after="0" w:line="240" w:lineRule="auto"/>
              <w:jc w:val="center"/>
            </w:pPr>
            <w:r>
              <w:rPr>
                <w:rFonts w:ascii="Times New Roman" w:eastAsia="宋体" w:hAnsi="Times New Roman"/>
                <w:b/>
                <w:sz w:val="20"/>
              </w:rPr>
              <w:t>合计</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472.04</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230.74</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208.38</w:t>
            </w:r>
          </w:p>
        </w:tc>
        <w:tc>
          <w:tcPr>
            <w:tcW w:w="1335" w:type="dxa"/>
            <w:tcMar>
              <w:left w:w="20" w:type="dxa"/>
              <w:right w:w="20" w:type="dxa"/>
            </w:tcMar>
            <w:vAlign w:val="center"/>
          </w:tcPr>
          <w:p>
            <w:pPr>
              <w:spacing w:before="0" w:after="0" w:line="240" w:lineRule="auto"/>
              <w:jc w:val="right"/>
            </w:pPr>
            <w:r>
              <w:rPr>
                <w:rFonts w:ascii="Times New Roman" w:eastAsia="宋体" w:hAnsi="Times New Roman"/>
                <w:b w:val="0"/>
                <w:sz w:val="20"/>
              </w:rPr>
              <w:t>22.36</w:t>
            </w:r>
          </w:p>
        </w:tc>
        <w:tc>
          <w:tcPr>
            <w:tcW w:w="1339" w:type="dxa"/>
            <w:tcMar>
              <w:left w:w="20" w:type="dxa"/>
              <w:right w:w="20" w:type="dxa"/>
            </w:tcMar>
            <w:vAlign w:val="center"/>
          </w:tcPr>
          <w:p>
            <w:pPr>
              <w:spacing w:before="0" w:after="0" w:line="240" w:lineRule="auto"/>
              <w:jc w:val="right"/>
            </w:pPr>
            <w:r>
              <w:rPr>
                <w:rFonts w:ascii="Times New Roman" w:eastAsia="宋体" w:hAnsi="Times New Roman"/>
                <w:b w:val="0"/>
                <w:sz w:val="20"/>
              </w:rPr>
              <w:t>241.30</w:t>
            </w:r>
          </w:p>
        </w:tc>
      </w:tr>
    </w:tbl>
    <w:p>
      <w:pPr>
        <w:sectPr>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p>
    <w:tbl>
      <w:tblPr>
        <w:tblStyle w:val="TableGrid"/>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1277"/>
        <w:gridCol w:w="3270"/>
        <w:gridCol w:w="1360"/>
        <w:gridCol w:w="1319"/>
        <w:gridCol w:w="1293"/>
      </w:tblGrid>
      <w:tr>
        <w:tblPrEx>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336"/>
          <w:jc w:val="center"/>
        </w:trPr>
        <w:tc>
          <w:tcPr>
            <w:tcW w:w="2669" w:type="pct"/>
            <w:gridSpan w:val="2"/>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330" w:type="pct"/>
            <w:gridSpan w:val="3"/>
            <w:tcBorders>
              <w:top w:val="nil"/>
              <w:left w:val="nil"/>
              <w:bottom w:val="nil"/>
              <w:right w:val="nil"/>
              <w:tl2br w:val="nil"/>
              <w:tr2bl w:val="nil"/>
            </w:tcBorders>
            <w:shd w:val="clear" w:color="auto" w:fill="auto"/>
            <w:noWrap/>
            <w:vAlign w:val="center"/>
          </w:tcPr>
          <w:p>
            <w:pPr>
              <w:keepNext w:val="0"/>
              <w:keepLines w:val="0"/>
              <w:widowControl/>
              <w:suppressLineNumbers w:val="0"/>
              <w:spacing w:before="0" w:after="0"/>
              <w:jc w:val="right"/>
              <w:textAlignment w:val="center"/>
              <w:rPr>
                <w:rFonts w:ascii="Times New Roman" w:eastAsia="宋体" w:hAnsi="Times New Roman" w:cs="宋体" w:hint="eastAsia"/>
                <w:i w:val="0"/>
                <w:iCs w:val="0"/>
                <w:color w:val="000000"/>
                <w:kern w:val="0"/>
                <w:sz w:val="20"/>
                <w:szCs w:val="20"/>
                <w:u w:val="none"/>
                <w:lang w:val="en-US" w:eastAsia="zh-CN" w:bidi="ar"/>
              </w:rPr>
            </w:pPr>
            <w:r>
              <w:rPr>
                <w:rFonts w:ascii="Times New Roman" w:eastAsia="宋体" w:hAnsi="Times New Roman" w:cs="宋体" w:hint="eastAsia"/>
                <w:i w:val="0"/>
                <w:iCs w:val="0"/>
                <w:color w:val="000000"/>
                <w:kern w:val="0"/>
                <w:sz w:val="20"/>
                <w:szCs w:val="20"/>
                <w:u w:val="none"/>
                <w:lang w:val="en-US" w:eastAsia="zh-CN" w:bidi="ar"/>
              </w:rPr>
              <w:t>部门</w:t>
            </w:r>
            <w:r>
              <w:rPr>
                <w:rFonts w:ascii="Times New Roman" w:eastAsia="宋体" w:hAnsi="Times New Roman" w:cs="宋体" w:hint="eastAsia"/>
                <w:i w:val="0"/>
                <w:iCs w:val="0"/>
                <w:color w:val="000000"/>
                <w:kern w:val="0"/>
                <w:sz w:val="20"/>
                <w:szCs w:val="20"/>
                <w:u w:val="none"/>
                <w:lang w:val="en-US" w:bidi="ar"/>
              </w:rPr>
              <w:t>公开表6</w:t>
            </w:r>
          </w:p>
        </w:tc>
      </w:tr>
      <w:tr>
        <w:tblPrEx>
          <w:tblW w:w="4998" w:type="pct"/>
          <w:jc w:val="center"/>
          <w:tblInd w:w="0" w:type="dxa"/>
          <w:shd w:val="clear" w:color="auto" w:fill="auto"/>
          <w:tblCellMar>
            <w:top w:w="0" w:type="dxa"/>
            <w:left w:w="108" w:type="dxa"/>
            <w:bottom w:w="0" w:type="dxa"/>
            <w:right w:w="108" w:type="dxa"/>
          </w:tblCellMar>
        </w:tblPrEx>
        <w:trPr>
          <w:trHeight w:val="336"/>
          <w:jc w:val="center"/>
        </w:trPr>
        <w:tc>
          <w:tcPr>
            <w:tcW w:w="5000" w:type="pct"/>
            <w:gridSpan w:val="5"/>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bCs/>
                <w:kern w:val="0"/>
                <w:sz w:val="32"/>
                <w:szCs w:val="32"/>
                <w:lang w:val="en-US" w:eastAsia="zh-CN"/>
              </w:rPr>
              <w:t>铜陵市铜官区经济与信息化局2024</w:t>
            </w:r>
            <w:r>
              <w:rPr>
                <w:rFonts w:ascii="Times New Roman" w:eastAsia="宋体" w:hAnsi="Times New Roman" w:cs="宋体" w:hint="eastAsia"/>
                <w:b/>
                <w:bCs/>
                <w:kern w:val="0"/>
                <w:sz w:val="32"/>
                <w:szCs w:val="32"/>
                <w:lang w:val="en-US"/>
              </w:rPr>
              <w:t>年一般公共预算基本支出表</w:t>
            </w:r>
          </w:p>
        </w:tc>
      </w:tr>
      <w:tr>
        <w:tblPrEx>
          <w:tblW w:w="4998" w:type="pct"/>
          <w:jc w:val="center"/>
          <w:tblInd w:w="0" w:type="dxa"/>
          <w:shd w:val="clear" w:color="auto" w:fill="auto"/>
          <w:tblCellMar>
            <w:top w:w="0" w:type="dxa"/>
            <w:left w:w="108" w:type="dxa"/>
            <w:bottom w:w="0" w:type="dxa"/>
            <w:right w:w="108" w:type="dxa"/>
          </w:tblCellMar>
        </w:tblPrEx>
        <w:trPr>
          <w:trHeight w:val="336"/>
          <w:jc w:val="center"/>
        </w:trPr>
        <w:tc>
          <w:tcPr>
            <w:tcW w:w="2669" w:type="pct"/>
            <w:gridSpan w:val="2"/>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330" w:type="pct"/>
            <w:gridSpan w:val="3"/>
            <w:tcBorders>
              <w:top w:val="nil"/>
              <w:left w:val="nil"/>
              <w:bottom w:val="single" w:sz="4" w:space="0" w:color="auto"/>
              <w:right w:val="nil"/>
              <w:tl2br w:val="nil"/>
              <w:tr2bl w:val="nil"/>
            </w:tcBorders>
            <w:shd w:val="clear" w:color="auto" w:fill="auto"/>
            <w:noWrap/>
            <w:vAlign w:val="center"/>
          </w:tcPr>
          <w:p>
            <w:pPr>
              <w:keepNext w:val="0"/>
              <w:keepLines w:val="0"/>
              <w:widowControl/>
              <w:suppressLineNumbers w:val="0"/>
              <w:spacing w:before="0" w:after="0"/>
              <w:jc w:val="right"/>
              <w:textAlignment w:val="center"/>
              <w:rPr>
                <w:rFonts w:ascii="Times New Roman" w:eastAsia="宋体" w:hAnsi="Times New Roman" w:cs="宋体" w:hint="eastAsia"/>
                <w:i w:val="0"/>
                <w:iCs w:val="0"/>
                <w:color w:val="000000"/>
                <w:kern w:val="0"/>
                <w:sz w:val="20"/>
                <w:szCs w:val="20"/>
                <w:u w:val="none"/>
                <w:lang w:val="en-US" w:eastAsia="zh-CN" w:bidi="ar"/>
              </w:rPr>
            </w:pPr>
            <w:r>
              <w:rPr>
                <w:rFonts w:ascii="Times New Roman" w:eastAsia="宋体" w:hAnsi="Times New Roman" w:cs="宋体" w:hint="eastAsia"/>
                <w:i w:val="0"/>
                <w:iCs w:val="0"/>
                <w:color w:val="000000"/>
                <w:kern w:val="0"/>
                <w:sz w:val="20"/>
                <w:szCs w:val="20"/>
                <w:u w:val="none"/>
                <w:lang w:val="en-US" w:bidi="ar"/>
              </w:rPr>
              <w:t>单位：万元</w:t>
            </w:r>
          </w:p>
        </w:tc>
      </w:tr>
      <w:tr>
        <w:tblPrEx>
          <w:tblW w:w="4998" w:type="pct"/>
          <w:jc w:val="center"/>
          <w:tblInd w:w="0" w:type="dxa"/>
          <w:shd w:val="clear" w:color="auto" w:fill="auto"/>
          <w:tblCellMar>
            <w:top w:w="0" w:type="dxa"/>
            <w:left w:w="108" w:type="dxa"/>
            <w:bottom w:w="0" w:type="dxa"/>
            <w:right w:w="108" w:type="dxa"/>
          </w:tblCellMar>
        </w:tblPrEx>
        <w:trPr>
          <w:trHeight w:val="336"/>
          <w:jc w:val="center"/>
        </w:trPr>
        <w:tc>
          <w:tcPr>
            <w:tcW w:w="2669" w:type="pct"/>
            <w:gridSpan w:val="2"/>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部门预算支出经济分类科目</w:t>
            </w:r>
          </w:p>
        </w:tc>
        <w:tc>
          <w:tcPr>
            <w:tcW w:w="2330" w:type="pct"/>
            <w:gridSpan w:val="3"/>
            <w:tcBorders>
              <w:top w:val="single" w:sz="4" w:space="0" w:color="auto"/>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本年一般公共预算基本支出</w:t>
            </w:r>
          </w:p>
        </w:tc>
      </w:tr>
      <w:tr>
        <w:tblPrEx>
          <w:tblW w:w="4998" w:type="pct"/>
          <w:jc w:val="center"/>
          <w:tblInd w:w="0" w:type="dxa"/>
          <w:shd w:val="clear" w:color="auto" w:fill="auto"/>
          <w:tblCellMar>
            <w:top w:w="0" w:type="dxa"/>
            <w:left w:w="108" w:type="dxa"/>
            <w:bottom w:w="0" w:type="dxa"/>
            <w:right w:w="108" w:type="dxa"/>
          </w:tblCellMar>
        </w:tblPrEx>
        <w:trPr>
          <w:trHeight w:val="336"/>
          <w:jc w:val="center"/>
        </w:trPr>
        <w:tc>
          <w:tcPr>
            <w:tcW w:w="750"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科目编码</w:t>
            </w:r>
          </w:p>
        </w:tc>
        <w:tc>
          <w:tcPr>
            <w:tcW w:w="1919"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科目名称</w:t>
            </w:r>
          </w:p>
        </w:tc>
        <w:tc>
          <w:tcPr>
            <w:tcW w:w="798"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合计</w:t>
            </w:r>
          </w:p>
        </w:tc>
        <w:tc>
          <w:tcPr>
            <w:tcW w:w="774"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人员经费</w:t>
            </w:r>
          </w:p>
        </w:tc>
        <w:tc>
          <w:tcPr>
            <w:tcW w:w="757"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公用经费</w:t>
            </w:r>
          </w:p>
        </w:tc>
      </w:tr>
      <w:tr>
        <w:tblPrEx>
          <w:tblW w:w="4998" w:type="pct"/>
          <w:jc w:val="center"/>
          <w:tblInd w:w="0" w:type="dxa"/>
          <w:shd w:val="clear" w:color="auto" w:fill="auto"/>
          <w:tblCellMar>
            <w:top w:w="0" w:type="dxa"/>
            <w:left w:w="108" w:type="dxa"/>
            <w:bottom w:w="0" w:type="dxa"/>
            <w:right w:w="108" w:type="dxa"/>
          </w:tblCellMar>
        </w:tblPrEx>
        <w:trPr>
          <w:trHeight w:val="336"/>
          <w:jc w:val="center"/>
        </w:trPr>
        <w:tc>
          <w:tcPr>
            <w:tcW w:w="750" w:type="pct"/>
            <w:tcBorders>
              <w:tl2br w:val="nil"/>
              <w:tr2bl w:val="nil"/>
            </w:tcBorders>
            <w:shd w:val="clear" w:color="auto" w:fill="auto"/>
            <w:noWrap/>
            <w:tcMar>
              <w:left w:w="20" w:type="dxa"/>
              <w:right w:w="20" w:type="dxa"/>
            </w:tcMar>
            <w:vAlign w:val="center"/>
          </w:tcPr>
          <w:p>
            <w:pPr>
              <w:spacing w:before="0" w:after="0" w:line="240" w:lineRule="auto"/>
              <w:jc w:val="both"/>
              <w:rPr>
                <w:rFonts w:ascii="Times New Roman" w:eastAsia="宋体" w:hAnsi="Times New Roman" w:cs="宋体" w:hint="eastAsia"/>
                <w:b/>
                <w:bCs/>
                <w:i w:val="0"/>
                <w:iCs w:val="0"/>
                <w:color w:val="000000"/>
                <w:sz w:val="20"/>
                <w:szCs w:val="20"/>
                <w:u w:val="none"/>
              </w:rPr>
            </w:pPr>
            <w:r>
              <w:rPr>
                <w:rFonts w:ascii="Times New Roman" w:eastAsia="宋体" w:hAnsi="Times New Roman"/>
                <w:b w:val="0"/>
                <w:sz w:val="20"/>
              </w:rPr>
              <w:t>301</w:t>
            </w:r>
          </w:p>
        </w:tc>
        <w:tc>
          <w:tcPr>
            <w:tcW w:w="1919" w:type="pct"/>
            <w:tcBorders>
              <w:tl2br w:val="nil"/>
              <w:tr2bl w:val="nil"/>
            </w:tcBorders>
            <w:shd w:val="clear" w:color="auto" w:fill="auto"/>
            <w:noWrap/>
            <w:tcMar>
              <w:left w:w="20" w:type="dxa"/>
              <w:right w:w="20" w:type="dxa"/>
            </w:tcMar>
            <w:vAlign w:val="center"/>
          </w:tcPr>
          <w:p>
            <w:pPr>
              <w:keepNext w:val="0"/>
              <w:keepLines w:val="0"/>
              <w:widowControl/>
              <w:suppressLineNumbers w:val="0"/>
              <w:spacing w:before="0" w:after="0" w:line="240" w:lineRule="auto"/>
              <w:jc w:val="both"/>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b w:val="0"/>
                <w:sz w:val="20"/>
              </w:rPr>
              <w:t>工资福利支出</w:t>
            </w:r>
          </w:p>
        </w:tc>
        <w:tc>
          <w:tcPr>
            <w:tcW w:w="798"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205.31</w:t>
            </w:r>
          </w:p>
        </w:tc>
        <w:tc>
          <w:tcPr>
            <w:tcW w:w="774"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205.21</w:t>
            </w:r>
          </w:p>
        </w:tc>
        <w:tc>
          <w:tcPr>
            <w:tcW w:w="757"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0.10</w:t>
            </w:r>
          </w:p>
        </w:tc>
      </w:tr>
      <w:tr>
        <w:tblPrEx>
          <w:tblW w:w="4998" w:type="pct"/>
          <w:jc w:val="center"/>
          <w:tblInd w:w="0" w:type="dxa"/>
          <w:shd w:val="clear" w:color="auto" w:fill="auto"/>
          <w:tblCellMar>
            <w:top w:w="0" w:type="dxa"/>
            <w:left w:w="108" w:type="dxa"/>
            <w:bottom w:w="0" w:type="dxa"/>
            <w:right w:w="108" w:type="dxa"/>
          </w:tblCellMar>
        </w:tblPrEx>
        <w:trPr>
          <w:trHeight w:val="336"/>
          <w:jc w:val="center"/>
        </w:trPr>
        <w:tc>
          <w:tcPr>
            <w:tcW w:w="750" w:type="pct"/>
            <w:tcBorders>
              <w:tl2br w:val="nil"/>
              <w:tr2bl w:val="nil"/>
            </w:tcBorders>
            <w:shd w:val="clear" w:color="auto" w:fill="auto"/>
            <w:noWrap/>
            <w:tcMar>
              <w:left w:w="20" w:type="dxa"/>
              <w:right w:w="20" w:type="dxa"/>
            </w:tcMar>
            <w:vAlign w:val="center"/>
          </w:tcPr>
          <w:p>
            <w:pPr>
              <w:spacing w:before="0" w:after="0" w:line="240" w:lineRule="auto"/>
              <w:jc w:val="both"/>
              <w:rPr>
                <w:rFonts w:ascii="Times New Roman" w:eastAsia="宋体" w:hAnsi="Times New Roman" w:cs="宋体" w:hint="eastAsia"/>
                <w:b/>
                <w:bCs/>
                <w:i w:val="0"/>
                <w:iCs w:val="0"/>
                <w:color w:val="000000"/>
                <w:sz w:val="20"/>
                <w:szCs w:val="20"/>
                <w:u w:val="none"/>
              </w:rPr>
            </w:pPr>
            <w:r>
              <w:rPr>
                <w:rFonts w:ascii="Times New Roman" w:eastAsia="宋体" w:hAnsi="Times New Roman"/>
                <w:b w:val="0"/>
                <w:sz w:val="20"/>
              </w:rPr>
              <w:t>　30101</w:t>
            </w:r>
          </w:p>
        </w:tc>
        <w:tc>
          <w:tcPr>
            <w:tcW w:w="1919" w:type="pct"/>
            <w:tcBorders>
              <w:tl2br w:val="nil"/>
              <w:tr2bl w:val="nil"/>
            </w:tcBorders>
            <w:shd w:val="clear" w:color="auto" w:fill="auto"/>
            <w:noWrap/>
            <w:tcMar>
              <w:left w:w="20" w:type="dxa"/>
              <w:right w:w="20" w:type="dxa"/>
            </w:tcMar>
            <w:vAlign w:val="center"/>
          </w:tcPr>
          <w:p>
            <w:pPr>
              <w:keepNext w:val="0"/>
              <w:keepLines w:val="0"/>
              <w:widowControl/>
              <w:suppressLineNumbers w:val="0"/>
              <w:spacing w:before="0" w:after="0" w:line="240" w:lineRule="auto"/>
              <w:jc w:val="both"/>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b w:val="0"/>
                <w:sz w:val="20"/>
              </w:rPr>
              <w:t>　基本工资</w:t>
            </w:r>
          </w:p>
        </w:tc>
        <w:tc>
          <w:tcPr>
            <w:tcW w:w="798"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52.17</w:t>
            </w:r>
          </w:p>
        </w:tc>
        <w:tc>
          <w:tcPr>
            <w:tcW w:w="774"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52.17</w:t>
            </w:r>
          </w:p>
        </w:tc>
        <w:tc>
          <w:tcPr>
            <w:tcW w:w="757"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4998" w:type="pct"/>
          <w:jc w:val="center"/>
          <w:tblInd w:w="0" w:type="dxa"/>
          <w:shd w:val="clear" w:color="auto" w:fill="auto"/>
          <w:tblCellMar>
            <w:top w:w="0" w:type="dxa"/>
            <w:left w:w="108" w:type="dxa"/>
            <w:bottom w:w="0" w:type="dxa"/>
            <w:right w:w="108" w:type="dxa"/>
          </w:tblCellMar>
        </w:tblPrEx>
        <w:trPr>
          <w:trHeight w:val="336"/>
          <w:jc w:val="center"/>
        </w:trPr>
        <w:tc>
          <w:tcPr>
            <w:tcW w:w="750" w:type="pct"/>
            <w:tcBorders>
              <w:tl2br w:val="nil"/>
              <w:tr2bl w:val="nil"/>
            </w:tcBorders>
            <w:shd w:val="clear" w:color="auto" w:fill="auto"/>
            <w:noWrap/>
            <w:tcMar>
              <w:left w:w="20" w:type="dxa"/>
              <w:right w:w="20" w:type="dxa"/>
            </w:tcMar>
            <w:vAlign w:val="center"/>
          </w:tcPr>
          <w:p>
            <w:pPr>
              <w:spacing w:before="0" w:after="0" w:line="240" w:lineRule="auto"/>
              <w:jc w:val="both"/>
              <w:rPr>
                <w:rFonts w:ascii="Times New Roman" w:eastAsia="宋体" w:hAnsi="Times New Roman" w:cs="宋体" w:hint="eastAsia"/>
                <w:b/>
                <w:bCs/>
                <w:i w:val="0"/>
                <w:iCs w:val="0"/>
                <w:color w:val="000000"/>
                <w:sz w:val="20"/>
                <w:szCs w:val="20"/>
                <w:u w:val="none"/>
              </w:rPr>
            </w:pPr>
            <w:r>
              <w:rPr>
                <w:rFonts w:ascii="Times New Roman" w:eastAsia="宋体" w:hAnsi="Times New Roman"/>
                <w:b w:val="0"/>
                <w:sz w:val="20"/>
              </w:rPr>
              <w:t>　30102</w:t>
            </w:r>
          </w:p>
        </w:tc>
        <w:tc>
          <w:tcPr>
            <w:tcW w:w="1919" w:type="pct"/>
            <w:tcBorders>
              <w:tl2br w:val="nil"/>
              <w:tr2bl w:val="nil"/>
            </w:tcBorders>
            <w:shd w:val="clear" w:color="auto" w:fill="auto"/>
            <w:noWrap/>
            <w:tcMar>
              <w:left w:w="20" w:type="dxa"/>
              <w:right w:w="20" w:type="dxa"/>
            </w:tcMar>
            <w:vAlign w:val="center"/>
          </w:tcPr>
          <w:p>
            <w:pPr>
              <w:keepNext w:val="0"/>
              <w:keepLines w:val="0"/>
              <w:widowControl/>
              <w:suppressLineNumbers w:val="0"/>
              <w:spacing w:before="0" w:after="0" w:line="240" w:lineRule="auto"/>
              <w:jc w:val="both"/>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b w:val="0"/>
                <w:sz w:val="20"/>
              </w:rPr>
              <w:t>　津贴补贴</w:t>
            </w:r>
          </w:p>
        </w:tc>
        <w:tc>
          <w:tcPr>
            <w:tcW w:w="798"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62.89</w:t>
            </w:r>
          </w:p>
        </w:tc>
        <w:tc>
          <w:tcPr>
            <w:tcW w:w="774"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62.89</w:t>
            </w:r>
          </w:p>
        </w:tc>
        <w:tc>
          <w:tcPr>
            <w:tcW w:w="757"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4998" w:type="pct"/>
          <w:jc w:val="center"/>
          <w:tblInd w:w="0" w:type="dxa"/>
          <w:shd w:val="clear" w:color="auto" w:fill="auto"/>
          <w:tblCellMar>
            <w:top w:w="0" w:type="dxa"/>
            <w:left w:w="108" w:type="dxa"/>
            <w:bottom w:w="0" w:type="dxa"/>
            <w:right w:w="108" w:type="dxa"/>
          </w:tblCellMar>
        </w:tblPrEx>
        <w:trPr>
          <w:trHeight w:val="336"/>
          <w:jc w:val="center"/>
        </w:trPr>
        <w:tc>
          <w:tcPr>
            <w:tcW w:w="750" w:type="pct"/>
            <w:tcBorders>
              <w:tl2br w:val="nil"/>
              <w:tr2bl w:val="nil"/>
            </w:tcBorders>
            <w:shd w:val="clear" w:color="auto" w:fill="auto"/>
            <w:noWrap/>
            <w:tcMar>
              <w:left w:w="20" w:type="dxa"/>
              <w:right w:w="20" w:type="dxa"/>
            </w:tcMar>
            <w:vAlign w:val="center"/>
          </w:tcPr>
          <w:p>
            <w:pPr>
              <w:spacing w:before="0" w:after="0" w:line="240" w:lineRule="auto"/>
              <w:jc w:val="both"/>
              <w:rPr>
                <w:rFonts w:ascii="Times New Roman" w:eastAsia="宋体" w:hAnsi="Times New Roman" w:cs="宋体" w:hint="eastAsia"/>
                <w:b/>
                <w:bCs/>
                <w:i w:val="0"/>
                <w:iCs w:val="0"/>
                <w:color w:val="000000"/>
                <w:sz w:val="20"/>
                <w:szCs w:val="20"/>
                <w:u w:val="none"/>
              </w:rPr>
            </w:pPr>
            <w:r>
              <w:rPr>
                <w:rFonts w:ascii="Times New Roman" w:eastAsia="宋体" w:hAnsi="Times New Roman"/>
                <w:b w:val="0"/>
                <w:sz w:val="20"/>
              </w:rPr>
              <w:t>　30103</w:t>
            </w:r>
          </w:p>
        </w:tc>
        <w:tc>
          <w:tcPr>
            <w:tcW w:w="1919" w:type="pct"/>
            <w:tcBorders>
              <w:tl2br w:val="nil"/>
              <w:tr2bl w:val="nil"/>
            </w:tcBorders>
            <w:shd w:val="clear" w:color="auto" w:fill="auto"/>
            <w:noWrap/>
            <w:tcMar>
              <w:left w:w="20" w:type="dxa"/>
              <w:right w:w="20" w:type="dxa"/>
            </w:tcMar>
            <w:vAlign w:val="center"/>
          </w:tcPr>
          <w:p>
            <w:pPr>
              <w:keepNext w:val="0"/>
              <w:keepLines w:val="0"/>
              <w:widowControl/>
              <w:suppressLineNumbers w:val="0"/>
              <w:spacing w:before="0" w:after="0" w:line="240" w:lineRule="auto"/>
              <w:jc w:val="both"/>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b w:val="0"/>
                <w:sz w:val="20"/>
              </w:rPr>
              <w:t>　奖金</w:t>
            </w:r>
          </w:p>
        </w:tc>
        <w:tc>
          <w:tcPr>
            <w:tcW w:w="798"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60.80</w:t>
            </w:r>
          </w:p>
        </w:tc>
        <w:tc>
          <w:tcPr>
            <w:tcW w:w="774"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60.80</w:t>
            </w:r>
          </w:p>
        </w:tc>
        <w:tc>
          <w:tcPr>
            <w:tcW w:w="757"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30107</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绩效工资</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5.64</w:t>
            </w:r>
          </w:p>
        </w:tc>
        <w:tc>
          <w:tcPr>
            <w:tcW w:w="1319" w:type="dxa"/>
            <w:tcMar>
              <w:left w:w="20" w:type="dxa"/>
              <w:right w:w="20" w:type="dxa"/>
            </w:tcMar>
            <w:vAlign w:val="center"/>
          </w:tcPr>
          <w:p>
            <w:pPr>
              <w:spacing w:before="0" w:after="0" w:line="240" w:lineRule="auto"/>
              <w:jc w:val="right"/>
            </w:pPr>
            <w:r>
              <w:rPr>
                <w:rFonts w:ascii="Times New Roman" w:eastAsia="宋体" w:hAnsi="Times New Roman"/>
                <w:b w:val="0"/>
                <w:sz w:val="20"/>
              </w:rPr>
              <w:t>5.64</w:t>
            </w:r>
          </w:p>
        </w:tc>
        <w:tc>
          <w:tcPr>
            <w:tcW w:w="129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30109</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职业年金缴费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319" w:type="dxa"/>
            <w:tcMar>
              <w:left w:w="20" w:type="dxa"/>
              <w:right w:w="20" w:type="dxa"/>
            </w:tcMar>
            <w:vAlign w:val="center"/>
          </w:tcPr>
          <w:p>
            <w:pPr>
              <w:spacing w:before="0" w:after="0" w:line="240" w:lineRule="auto"/>
              <w:jc w:val="right"/>
            </w:pPr>
            <w:r>
              <w:rPr>
                <w:rFonts w:ascii="Times New Roman" w:eastAsia="宋体" w:hAnsi="Times New Roman"/>
                <w:b w:val="0"/>
                <w:sz w:val="20"/>
              </w:rPr>
              <w:t>10.66</w:t>
            </w:r>
          </w:p>
        </w:tc>
        <w:tc>
          <w:tcPr>
            <w:tcW w:w="129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30112</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其他社会保障缴费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0.10</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0.10</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30199</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其他工资福利支出</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13.05</w:t>
            </w:r>
          </w:p>
        </w:tc>
        <w:tc>
          <w:tcPr>
            <w:tcW w:w="1319" w:type="dxa"/>
            <w:tcMar>
              <w:left w:w="20" w:type="dxa"/>
              <w:right w:w="20" w:type="dxa"/>
            </w:tcMar>
            <w:vAlign w:val="center"/>
          </w:tcPr>
          <w:p>
            <w:pPr>
              <w:spacing w:before="0" w:after="0" w:line="240" w:lineRule="auto"/>
              <w:jc w:val="right"/>
            </w:pPr>
            <w:r>
              <w:rPr>
                <w:rFonts w:ascii="Times New Roman" w:eastAsia="宋体" w:hAnsi="Times New Roman"/>
                <w:b w:val="0"/>
                <w:sz w:val="20"/>
              </w:rPr>
              <w:t>13.05</w:t>
            </w:r>
          </w:p>
        </w:tc>
        <w:tc>
          <w:tcPr>
            <w:tcW w:w="129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302</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商品和服务支出</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25.28</w:t>
            </w:r>
          </w:p>
        </w:tc>
        <w:tc>
          <w:tcPr>
            <w:tcW w:w="1319" w:type="dxa"/>
            <w:tcMar>
              <w:left w:w="20" w:type="dxa"/>
              <w:right w:w="20" w:type="dxa"/>
            </w:tcMar>
            <w:vAlign w:val="center"/>
          </w:tcPr>
          <w:p>
            <w:pPr>
              <w:spacing w:before="0" w:after="0" w:line="240" w:lineRule="auto"/>
              <w:jc w:val="right"/>
            </w:pPr>
            <w:r>
              <w:rPr>
                <w:rFonts w:ascii="Times New Roman" w:eastAsia="宋体" w:hAnsi="Times New Roman"/>
                <w:b w:val="0"/>
                <w:sz w:val="20"/>
              </w:rPr>
              <w:t>3.17</w:t>
            </w: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22.11</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30201</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办公费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15.45</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15.45</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30202</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印刷费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2.00</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2.00</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30203</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咨询费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0.10</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0.10</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30211</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差旅费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3.00</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3.00</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30213</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维修（护）费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0.10</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0.10</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30215</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会议费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0.05</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0.05</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30216</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培训费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1.48</w:t>
            </w:r>
          </w:p>
        </w:tc>
        <w:tc>
          <w:tcPr>
            <w:tcW w:w="1319" w:type="dxa"/>
            <w:tcMar>
              <w:left w:w="20" w:type="dxa"/>
              <w:right w:w="20" w:type="dxa"/>
            </w:tcMar>
            <w:vAlign w:val="center"/>
          </w:tcPr>
          <w:p>
            <w:pPr>
              <w:spacing w:before="0" w:after="0" w:line="240" w:lineRule="auto"/>
              <w:jc w:val="right"/>
            </w:pPr>
            <w:r>
              <w:rPr>
                <w:rFonts w:ascii="Times New Roman" w:eastAsia="宋体" w:hAnsi="Times New Roman"/>
                <w:b w:val="0"/>
                <w:sz w:val="20"/>
              </w:rPr>
              <w:t>1.43</w:t>
            </w: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0.05</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30217</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公务接待费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0.42</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0.42</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30218</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专用材料费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0.05</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0.05</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30225</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专用燃料费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0.05</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0.05</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30226</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劳务费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0.10</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0.10</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30227</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委托业务费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0.10</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0.10</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30228</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工会经费</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1.74</w:t>
            </w:r>
          </w:p>
        </w:tc>
        <w:tc>
          <w:tcPr>
            <w:tcW w:w="1319" w:type="dxa"/>
            <w:tcMar>
              <w:left w:w="20" w:type="dxa"/>
              <w:right w:w="20" w:type="dxa"/>
            </w:tcMar>
            <w:vAlign w:val="center"/>
          </w:tcPr>
          <w:p>
            <w:pPr>
              <w:spacing w:before="0" w:after="0" w:line="240" w:lineRule="auto"/>
              <w:jc w:val="right"/>
            </w:pPr>
            <w:r>
              <w:rPr>
                <w:rFonts w:ascii="Times New Roman" w:eastAsia="宋体" w:hAnsi="Times New Roman"/>
                <w:b w:val="0"/>
                <w:sz w:val="20"/>
              </w:rPr>
              <w:t>1.74</w:t>
            </w:r>
          </w:p>
        </w:tc>
        <w:tc>
          <w:tcPr>
            <w:tcW w:w="129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30239</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其他交通费用</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0.10</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0.10</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30299</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其他商品和服务支出</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0.54</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0.54</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310</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资本性支出</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0.15</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0.15</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31002</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办公设备购置</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0.05</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0.05</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77" w:type="dxa"/>
            <w:tcMar>
              <w:left w:w="20" w:type="dxa"/>
              <w:right w:w="20" w:type="dxa"/>
            </w:tcMar>
            <w:vAlign w:val="center"/>
          </w:tcPr>
          <w:p>
            <w:pPr>
              <w:spacing w:before="0" w:after="0" w:line="240" w:lineRule="auto"/>
            </w:pPr>
            <w:r>
              <w:rPr>
                <w:rFonts w:ascii="Times New Roman" w:eastAsia="宋体" w:hAnsi="Times New Roman"/>
                <w:b w:val="0"/>
                <w:sz w:val="20"/>
              </w:rPr>
              <w:t>　31099</w:t>
            </w:r>
          </w:p>
        </w:tc>
        <w:tc>
          <w:tcPr>
            <w:tcW w:w="3270" w:type="dxa"/>
            <w:tcMar>
              <w:left w:w="20" w:type="dxa"/>
              <w:right w:w="20" w:type="dxa"/>
            </w:tcMar>
            <w:vAlign w:val="center"/>
          </w:tcPr>
          <w:p>
            <w:pPr>
              <w:spacing w:before="0" w:after="0" w:line="240" w:lineRule="auto"/>
            </w:pPr>
            <w:r>
              <w:rPr>
                <w:rFonts w:ascii="Times New Roman" w:eastAsia="宋体" w:hAnsi="Times New Roman"/>
                <w:b w:val="0"/>
                <w:sz w:val="20"/>
              </w:rPr>
              <w:t>　其他资本性支出</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0.10</w:t>
            </w:r>
          </w:p>
        </w:tc>
        <w:tc>
          <w:tcPr>
            <w:tcW w:w="1319" w:type="dxa"/>
            <w:tcMar>
              <w:left w:w="20" w:type="dxa"/>
              <w:right w:w="20" w:type="dxa"/>
            </w:tcMar>
            <w:vAlign w:val="center"/>
          </w:tcPr>
          <w:p>
            <w:pPr>
              <w:spacing w:before="0" w:after="0" w:line="240" w:lineRule="auto"/>
              <w:jc w:val="right"/>
            </w:pP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0.10</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4547" w:type="dxa"/>
            <w:gridSpan w:val="2"/>
            <w:tcMar>
              <w:left w:w="20" w:type="dxa"/>
              <w:right w:w="20" w:type="dxa"/>
            </w:tcMar>
            <w:vAlign w:val="center"/>
          </w:tcPr>
          <w:p>
            <w:pPr>
              <w:spacing w:before="0" w:after="0" w:line="240" w:lineRule="auto"/>
              <w:jc w:val="center"/>
            </w:pPr>
            <w:r>
              <w:rPr>
                <w:rFonts w:ascii="Times New Roman" w:eastAsia="宋体" w:hAnsi="Times New Roman"/>
                <w:b/>
                <w:sz w:val="20"/>
              </w:rPr>
              <w:t>合计</w:t>
            </w:r>
          </w:p>
        </w:tc>
        <w:tc>
          <w:tcPr>
            <w:tcW w:w="1360" w:type="dxa"/>
            <w:tcMar>
              <w:left w:w="20" w:type="dxa"/>
              <w:right w:w="20" w:type="dxa"/>
            </w:tcMar>
            <w:vAlign w:val="center"/>
          </w:tcPr>
          <w:p>
            <w:pPr>
              <w:spacing w:before="0" w:after="0" w:line="240" w:lineRule="auto"/>
              <w:jc w:val="right"/>
            </w:pPr>
            <w:r>
              <w:rPr>
                <w:rFonts w:ascii="Times New Roman" w:eastAsia="宋体" w:hAnsi="Times New Roman"/>
                <w:b w:val="0"/>
                <w:sz w:val="20"/>
              </w:rPr>
              <w:t>230.74</w:t>
            </w:r>
          </w:p>
        </w:tc>
        <w:tc>
          <w:tcPr>
            <w:tcW w:w="1319" w:type="dxa"/>
            <w:tcMar>
              <w:left w:w="20" w:type="dxa"/>
              <w:right w:w="20" w:type="dxa"/>
            </w:tcMar>
            <w:vAlign w:val="center"/>
          </w:tcPr>
          <w:p>
            <w:pPr>
              <w:spacing w:before="0" w:after="0" w:line="240" w:lineRule="auto"/>
              <w:jc w:val="right"/>
            </w:pPr>
            <w:r>
              <w:rPr>
                <w:rFonts w:ascii="Times New Roman" w:eastAsia="宋体" w:hAnsi="Times New Roman"/>
                <w:b w:val="0"/>
                <w:sz w:val="20"/>
              </w:rPr>
              <w:t>208.38</w:t>
            </w:r>
          </w:p>
        </w:tc>
        <w:tc>
          <w:tcPr>
            <w:tcW w:w="1293" w:type="dxa"/>
            <w:tcMar>
              <w:left w:w="20" w:type="dxa"/>
              <w:right w:w="20" w:type="dxa"/>
            </w:tcMar>
            <w:vAlign w:val="center"/>
          </w:tcPr>
          <w:p>
            <w:pPr>
              <w:spacing w:before="0" w:after="0" w:line="240" w:lineRule="auto"/>
              <w:jc w:val="right"/>
            </w:pPr>
            <w:r>
              <w:rPr>
                <w:rFonts w:ascii="Times New Roman" w:eastAsia="宋体" w:hAnsi="Times New Roman"/>
                <w:b w:val="0"/>
                <w:sz w:val="20"/>
              </w:rPr>
              <w:t>22.36</w:t>
            </w:r>
          </w:p>
        </w:tc>
      </w:tr>
    </w:tbl>
    <w:p>
      <w:pPr>
        <w:sectPr>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p>
    <w:tbl>
      <w:tblPr>
        <w:tblStyle w:val="TableNormal"/>
        <w:tblW w:w="498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1816"/>
        <w:gridCol w:w="3516"/>
        <w:gridCol w:w="1533"/>
        <w:gridCol w:w="1533"/>
        <w:gridCol w:w="1546"/>
      </w:tblGrid>
      <w:tr>
        <w:tblPrEx>
          <w:tblW w:w="498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336"/>
          <w:jc w:val="center"/>
        </w:trPr>
        <w:tc>
          <w:tcPr>
            <w:tcW w:w="913" w:type="pct"/>
            <w:tcBorders>
              <w:top w:val="nil"/>
              <w:left w:val="nil"/>
              <w:bottom w:val="nil"/>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768" w:type="pct"/>
            <w:tcBorders>
              <w:top w:val="nil"/>
              <w:left w:val="nil"/>
              <w:bottom w:val="nil"/>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318" w:type="pct"/>
            <w:gridSpan w:val="3"/>
            <w:tcBorders>
              <w:top w:val="nil"/>
              <w:left w:val="nil"/>
              <w:bottom w:val="nil"/>
              <w:right w:val="nil"/>
              <w:tl2br w:val="nil"/>
              <w:tr2bl w:val="nil"/>
            </w:tcBorders>
            <w:shd w:val="clear" w:color="auto" w:fill="auto"/>
            <w:noWrap/>
            <w:vAlign w:val="center"/>
          </w:tcPr>
          <w:p>
            <w:pPr>
              <w:keepNext w:val="0"/>
              <w:keepLines w:val="0"/>
              <w:widowControl/>
              <w:suppressLineNumbers w:val="0"/>
              <w:spacing w:before="0" w:after="0"/>
              <w:jc w:val="right"/>
              <w:textAlignment w:val="center"/>
              <w:rPr>
                <w:rFonts w:ascii="Times New Roman" w:eastAsia="宋体" w:hAnsi="Times New Roman" w:cs="宋体" w:hint="eastAsia"/>
                <w:i w:val="0"/>
                <w:iCs w:val="0"/>
                <w:color w:val="000000"/>
                <w:kern w:val="0"/>
                <w:sz w:val="20"/>
                <w:szCs w:val="20"/>
                <w:u w:val="none"/>
                <w:lang w:val="en-US" w:eastAsia="zh-CN" w:bidi="ar"/>
              </w:rPr>
            </w:pPr>
            <w:r>
              <w:rPr>
                <w:rFonts w:ascii="Times New Roman" w:eastAsia="宋体" w:hAnsi="Times New Roman" w:cs="宋体" w:hint="eastAsia"/>
                <w:i w:val="0"/>
                <w:iCs w:val="0"/>
                <w:color w:val="000000"/>
                <w:kern w:val="0"/>
                <w:sz w:val="20"/>
                <w:szCs w:val="20"/>
                <w:u w:val="none"/>
                <w:lang w:val="en-US" w:eastAsia="zh-CN" w:bidi="ar"/>
              </w:rPr>
              <w:t>部门</w:t>
            </w:r>
            <w:r>
              <w:rPr>
                <w:rFonts w:ascii="Times New Roman" w:eastAsia="宋体" w:hAnsi="Times New Roman" w:cs="宋体" w:hint="eastAsia"/>
                <w:i w:val="0"/>
                <w:iCs w:val="0"/>
                <w:color w:val="000000"/>
                <w:kern w:val="0"/>
                <w:sz w:val="20"/>
                <w:szCs w:val="20"/>
                <w:u w:val="none"/>
                <w:lang w:val="en-US" w:bidi="ar"/>
              </w:rPr>
              <w:t>公开表7</w:t>
            </w:r>
          </w:p>
        </w:tc>
      </w:tr>
      <w:tr>
        <w:tblPrEx>
          <w:tblW w:w="4988" w:type="pct"/>
          <w:jc w:val="center"/>
          <w:tblInd w:w="0" w:type="dxa"/>
          <w:shd w:val="clear" w:color="auto" w:fill="auto"/>
          <w:tblCellMar>
            <w:top w:w="0" w:type="dxa"/>
            <w:left w:w="108" w:type="dxa"/>
            <w:bottom w:w="0" w:type="dxa"/>
            <w:right w:w="108" w:type="dxa"/>
          </w:tblCellMar>
        </w:tblPrEx>
        <w:trPr>
          <w:trHeight w:val="336"/>
          <w:jc w:val="center"/>
        </w:trPr>
        <w:tc>
          <w:tcPr>
            <w:tcW w:w="5000" w:type="pct"/>
            <w:gridSpan w:val="5"/>
            <w:tcBorders>
              <w:top w:val="nil"/>
              <w:left w:val="nil"/>
              <w:bottom w:val="nil"/>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bCs/>
                <w:kern w:val="0"/>
                <w:sz w:val="32"/>
                <w:szCs w:val="32"/>
                <w:lang w:val="en-US" w:eastAsia="zh-CN"/>
              </w:rPr>
              <w:t>铜陵市铜官区经济与信息化局2024</w:t>
            </w:r>
            <w:r>
              <w:rPr>
                <w:rFonts w:ascii="Times New Roman" w:eastAsia="宋体" w:hAnsi="Times New Roman" w:cs="宋体" w:hint="eastAsia"/>
                <w:b/>
                <w:bCs/>
                <w:kern w:val="0"/>
                <w:sz w:val="32"/>
                <w:szCs w:val="32"/>
                <w:lang w:val="en-US"/>
              </w:rPr>
              <w:t>年政府性基金预算支出表</w:t>
            </w:r>
          </w:p>
        </w:tc>
      </w:tr>
      <w:tr>
        <w:tblPrEx>
          <w:tblW w:w="4988" w:type="pct"/>
          <w:jc w:val="center"/>
          <w:tblInd w:w="0" w:type="dxa"/>
          <w:shd w:val="clear" w:color="auto" w:fill="auto"/>
          <w:tblCellMar>
            <w:top w:w="0" w:type="dxa"/>
            <w:left w:w="108" w:type="dxa"/>
            <w:bottom w:w="0" w:type="dxa"/>
            <w:right w:w="108" w:type="dxa"/>
          </w:tblCellMar>
        </w:tblPrEx>
        <w:trPr>
          <w:trHeight w:val="336"/>
          <w:jc w:val="center"/>
        </w:trPr>
        <w:tc>
          <w:tcPr>
            <w:tcW w:w="913" w:type="pct"/>
            <w:tcBorders>
              <w:top w:val="nil"/>
              <w:left w:val="nil"/>
              <w:bottom w:val="single" w:sz="4" w:space="0" w:color="auto"/>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768" w:type="pct"/>
            <w:tcBorders>
              <w:top w:val="nil"/>
              <w:left w:val="nil"/>
              <w:bottom w:val="single" w:sz="4" w:space="0" w:color="auto"/>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318" w:type="pct"/>
            <w:gridSpan w:val="3"/>
            <w:tcBorders>
              <w:top w:val="nil"/>
              <w:left w:val="nil"/>
              <w:bottom w:val="single" w:sz="4" w:space="0" w:color="auto"/>
              <w:right w:val="nil"/>
              <w:tl2br w:val="nil"/>
              <w:tr2bl w:val="nil"/>
            </w:tcBorders>
            <w:shd w:val="clear" w:color="auto" w:fill="auto"/>
            <w:noWrap/>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i w:val="0"/>
                <w:iCs w:val="0"/>
                <w:color w:val="000000"/>
                <w:kern w:val="0"/>
                <w:sz w:val="20"/>
                <w:szCs w:val="20"/>
                <w:u w:val="none"/>
                <w:lang w:val="en-US" w:bidi="ar"/>
              </w:rPr>
              <w:t>单位：万元</w:t>
            </w:r>
          </w:p>
        </w:tc>
      </w:tr>
      <w:tr>
        <w:tblPrEx>
          <w:tblW w:w="4988" w:type="pct"/>
          <w:jc w:val="center"/>
          <w:tblInd w:w="0" w:type="dxa"/>
          <w:shd w:val="clear" w:color="auto" w:fill="auto"/>
          <w:tblCellMar>
            <w:top w:w="0" w:type="dxa"/>
            <w:left w:w="108" w:type="dxa"/>
            <w:bottom w:w="0" w:type="dxa"/>
            <w:right w:w="108" w:type="dxa"/>
          </w:tblCellMar>
        </w:tblPrEx>
        <w:trPr>
          <w:trHeight w:val="336"/>
          <w:jc w:val="center"/>
        </w:trPr>
        <w:tc>
          <w:tcPr>
            <w:tcW w:w="913" w:type="pct"/>
            <w:vMerge w:val="restart"/>
            <w:tcBorders>
              <w:top w:val="single" w:sz="4" w:space="0" w:color="auto"/>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科目编码</w:t>
            </w:r>
          </w:p>
        </w:tc>
        <w:tc>
          <w:tcPr>
            <w:tcW w:w="1768" w:type="pct"/>
            <w:vMerge w:val="restart"/>
            <w:tcBorders>
              <w:top w:val="single" w:sz="4" w:space="0" w:color="auto"/>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科目名称</w:t>
            </w:r>
          </w:p>
        </w:tc>
        <w:tc>
          <w:tcPr>
            <w:tcW w:w="2318" w:type="pct"/>
            <w:gridSpan w:val="3"/>
            <w:tcBorders>
              <w:top w:val="single" w:sz="4" w:space="0" w:color="auto"/>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本年政府性基金预算支出</w:t>
            </w:r>
          </w:p>
        </w:tc>
      </w:tr>
      <w:tr>
        <w:tblPrEx>
          <w:tblW w:w="4988" w:type="pct"/>
          <w:jc w:val="center"/>
          <w:tblInd w:w="0" w:type="dxa"/>
          <w:shd w:val="clear" w:color="auto" w:fill="auto"/>
          <w:tblCellMar>
            <w:top w:w="0" w:type="dxa"/>
            <w:left w:w="108" w:type="dxa"/>
            <w:bottom w:w="0" w:type="dxa"/>
            <w:right w:w="108" w:type="dxa"/>
          </w:tblCellMar>
        </w:tblPrEx>
        <w:trPr>
          <w:trHeight w:val="336"/>
          <w:jc w:val="center"/>
        </w:trPr>
        <w:tc>
          <w:tcPr>
            <w:tcW w:w="913" w:type="pct"/>
            <w:vMerge/>
            <w:tcBorders>
              <w:tl2br w:val="nil"/>
              <w:tr2bl w:val="nil"/>
            </w:tcBorders>
            <w:shd w:val="clear" w:color="auto" w:fill="auto"/>
            <w:noWrap/>
            <w:vAlign w:val="center"/>
          </w:tcPr>
          <w:p>
            <w:pPr>
              <w:jc w:val="center"/>
              <w:rPr>
                <w:rFonts w:ascii="Times New Roman" w:eastAsia="宋体" w:hAnsi="Times New Roman" w:cs="宋体" w:hint="eastAsia"/>
                <w:b/>
                <w:bCs/>
                <w:i w:val="0"/>
                <w:iCs w:val="0"/>
                <w:color w:val="000000"/>
                <w:sz w:val="20"/>
                <w:szCs w:val="20"/>
                <w:u w:val="none"/>
              </w:rPr>
            </w:pPr>
          </w:p>
        </w:tc>
        <w:tc>
          <w:tcPr>
            <w:tcW w:w="1768" w:type="pct"/>
            <w:vMerge/>
            <w:tcBorders>
              <w:tl2br w:val="nil"/>
              <w:tr2bl w:val="nil"/>
            </w:tcBorders>
            <w:shd w:val="clear" w:color="auto" w:fill="auto"/>
            <w:noWrap/>
            <w:vAlign w:val="center"/>
          </w:tcPr>
          <w:p>
            <w:pPr>
              <w:jc w:val="center"/>
              <w:rPr>
                <w:rFonts w:ascii="Times New Roman" w:eastAsia="宋体" w:hAnsi="Times New Roman" w:cs="宋体" w:hint="eastAsia"/>
                <w:b/>
                <w:bCs/>
                <w:i w:val="0"/>
                <w:iCs w:val="0"/>
                <w:color w:val="000000"/>
                <w:sz w:val="20"/>
                <w:szCs w:val="20"/>
                <w:u w:val="none"/>
              </w:rPr>
            </w:pPr>
          </w:p>
        </w:tc>
        <w:tc>
          <w:tcPr>
            <w:tcW w:w="771"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合计</w:t>
            </w:r>
          </w:p>
        </w:tc>
        <w:tc>
          <w:tcPr>
            <w:tcW w:w="771"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基本支出</w:t>
            </w:r>
          </w:p>
        </w:tc>
        <w:tc>
          <w:tcPr>
            <w:tcW w:w="776"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项目支出</w:t>
            </w:r>
          </w:p>
        </w:tc>
      </w:tr>
      <w:tr>
        <w:tblPrEx>
          <w:tblW w:w="4988" w:type="pct"/>
          <w:jc w:val="center"/>
          <w:tblInd w:w="0" w:type="dxa"/>
          <w:shd w:val="clear" w:color="auto" w:fill="auto"/>
          <w:tblCellMar>
            <w:top w:w="0" w:type="dxa"/>
            <w:left w:w="108" w:type="dxa"/>
            <w:bottom w:w="0" w:type="dxa"/>
            <w:right w:w="108" w:type="dxa"/>
          </w:tblCellMar>
        </w:tblPrEx>
        <w:trPr>
          <w:trHeight w:val="336"/>
          <w:jc w:val="center"/>
        </w:trPr>
        <w:tc>
          <w:tcPr>
            <w:tcW w:w="913" w:type="pct"/>
            <w:tcBorders>
              <w:tl2br w:val="nil"/>
              <w:tr2bl w:val="nil"/>
            </w:tcBorders>
            <w:shd w:val="clear" w:color="auto" w:fill="auto"/>
            <w:noWrap/>
            <w:vAlign w:val="center"/>
          </w:tcPr>
          <w:p>
            <w:pPr>
              <w:spacing w:before="0" w:after="0"/>
              <w:jc w:val="both"/>
              <w:rPr>
                <w:rFonts w:ascii="Times New Roman" w:eastAsia="宋体" w:hAnsi="Times New Roman" w:cs="宋体" w:hint="eastAsia"/>
                <w:b/>
                <w:bCs/>
                <w:i w:val="0"/>
                <w:iCs w:val="0"/>
                <w:color w:val="000000"/>
                <w:sz w:val="20"/>
                <w:szCs w:val="20"/>
                <w:u w:val="none"/>
              </w:rPr>
            </w:pPr>
          </w:p>
        </w:tc>
        <w:tc>
          <w:tcPr>
            <w:tcW w:w="1768" w:type="pct"/>
            <w:tcBorders>
              <w:tl2br w:val="nil"/>
              <w:tr2bl w:val="nil"/>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合</w:t>
            </w:r>
            <w:r>
              <w:rPr>
                <w:rFonts w:ascii="Times New Roman" w:eastAsia="宋体" w:hAnsi="Times New Roman" w:cs="宋体" w:hint="eastAsia"/>
                <w:b/>
                <w:bCs/>
                <w:i w:val="0"/>
                <w:iCs w:val="0"/>
                <w:color w:val="000000"/>
                <w:kern w:val="0"/>
                <w:sz w:val="20"/>
                <w:szCs w:val="20"/>
                <w:u w:val="none"/>
                <w:lang w:eastAsia="zh-CN" w:bidi="ar"/>
              </w:rPr>
              <w:t xml:space="preserve">  </w:t>
            </w:r>
            <w:r>
              <w:rPr>
                <w:rFonts w:ascii="Times New Roman" w:eastAsia="宋体" w:hAnsi="Times New Roman" w:cs="宋体" w:hint="eastAsia"/>
                <w:b/>
                <w:bCs/>
                <w:i w:val="0"/>
                <w:iCs w:val="0"/>
                <w:color w:val="000000"/>
                <w:kern w:val="0"/>
                <w:sz w:val="20"/>
                <w:szCs w:val="20"/>
                <w:u w:val="none"/>
                <w:lang w:val="en-US" w:eastAsia="zh-CN" w:bidi="ar"/>
              </w:rPr>
              <w:t>计</w:t>
            </w:r>
          </w:p>
        </w:tc>
        <w:tc>
          <w:tcPr>
            <w:tcW w:w="771"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771"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776"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r>
      <w:tr>
        <w:tblPrEx>
          <w:tblW w:w="4988" w:type="pct"/>
          <w:jc w:val="center"/>
          <w:tblInd w:w="0" w:type="dxa"/>
          <w:shd w:val="clear" w:color="auto" w:fill="auto"/>
          <w:tblCellMar>
            <w:top w:w="0" w:type="dxa"/>
            <w:left w:w="108" w:type="dxa"/>
            <w:bottom w:w="0" w:type="dxa"/>
            <w:right w:w="108" w:type="dxa"/>
          </w:tblCellMar>
        </w:tblPrEx>
        <w:trPr>
          <w:trHeight w:val="336"/>
          <w:jc w:val="center"/>
        </w:trPr>
        <w:tc>
          <w:tcPr>
            <w:tcW w:w="913" w:type="pct"/>
            <w:tcBorders>
              <w:tl2br w:val="nil"/>
              <w:tr2bl w:val="nil"/>
            </w:tcBorders>
            <w:shd w:val="clear" w:color="auto" w:fill="auto"/>
            <w:noWrap/>
            <w:vAlign w:val="center"/>
          </w:tcPr>
          <w:p>
            <w:pPr>
              <w:spacing w:before="0" w:after="0"/>
              <w:jc w:val="both"/>
              <w:rPr>
                <w:rFonts w:ascii="Times New Roman" w:eastAsia="宋体" w:hAnsi="Times New Roman" w:cs="宋体" w:hint="eastAsia"/>
                <w:b/>
                <w:bCs/>
                <w:i w:val="0"/>
                <w:iCs w:val="0"/>
                <w:color w:val="000000"/>
                <w:sz w:val="20"/>
                <w:szCs w:val="20"/>
                <w:u w:val="none"/>
              </w:rPr>
            </w:pPr>
          </w:p>
        </w:tc>
        <w:tc>
          <w:tcPr>
            <w:tcW w:w="1768" w:type="pct"/>
            <w:tcBorders>
              <w:tl2br w:val="nil"/>
              <w:tr2bl w:val="nil"/>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771"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771"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776"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r>
      <w:tr>
        <w:tblPrEx>
          <w:tblW w:w="4988" w:type="pct"/>
          <w:jc w:val="center"/>
          <w:tblInd w:w="0" w:type="dxa"/>
          <w:shd w:val="clear" w:color="auto" w:fill="auto"/>
          <w:tblCellMar>
            <w:top w:w="0" w:type="dxa"/>
            <w:left w:w="108" w:type="dxa"/>
            <w:bottom w:w="0" w:type="dxa"/>
            <w:right w:w="108" w:type="dxa"/>
          </w:tblCellMar>
        </w:tblPrEx>
        <w:trPr>
          <w:trHeight w:val="336"/>
          <w:jc w:val="center"/>
        </w:trPr>
        <w:tc>
          <w:tcPr>
            <w:tcW w:w="913" w:type="pct"/>
            <w:tcBorders>
              <w:tl2br w:val="nil"/>
              <w:tr2bl w:val="nil"/>
            </w:tcBorders>
            <w:shd w:val="clear" w:color="auto" w:fill="auto"/>
            <w:noWrap/>
            <w:vAlign w:val="center"/>
          </w:tcPr>
          <w:p>
            <w:pPr>
              <w:spacing w:before="0" w:after="0"/>
              <w:jc w:val="both"/>
              <w:rPr>
                <w:rFonts w:ascii="Times New Roman" w:eastAsia="宋体" w:hAnsi="Times New Roman" w:cs="宋体" w:hint="eastAsia"/>
                <w:b/>
                <w:bCs/>
                <w:i w:val="0"/>
                <w:iCs w:val="0"/>
                <w:color w:val="000000"/>
                <w:sz w:val="20"/>
                <w:szCs w:val="20"/>
                <w:u w:val="none"/>
              </w:rPr>
            </w:pPr>
          </w:p>
        </w:tc>
        <w:tc>
          <w:tcPr>
            <w:tcW w:w="1768" w:type="pct"/>
            <w:tcBorders>
              <w:tl2br w:val="nil"/>
              <w:tr2bl w:val="nil"/>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771"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771"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776"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r>
    </w:tbl>
    <w:p>
      <w:pPr>
        <w:numPr>
          <w:ilvl w:val="0"/>
          <w:numId w:val="0"/>
        </w:numPr>
        <w:jc w:val="both"/>
        <w:rPr>
          <w:rFonts w:ascii="Times New Roman" w:eastAsia="仿宋_GB2312" w:hAnsi="Times New Roman" w:cs="仿宋_GB2312" w:hint="eastAsia"/>
          <w:b w:val="0"/>
          <w:bCs w:val="0"/>
          <w:sz w:val="20"/>
          <w:szCs w:val="20"/>
        </w:rPr>
        <w:sectPr>
          <w:pgSz w:w="11906" w:h="16838"/>
          <w:pgMar w:top="1440" w:right="1077" w:bottom="1440" w:left="1077"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Times New Roman" w:eastAsia="仿宋_GB2312" w:hAnsi="Times New Roman" w:cs="仿宋_GB2312" w:hint="eastAsia"/>
          <w:b w:val="0"/>
          <w:bCs w:val="0"/>
          <w:sz w:val="20"/>
          <w:szCs w:val="20"/>
        </w:rPr>
        <w:t>注：铜陵市铜官区经济与信息化局没有政府性基金预算拨款收入，也没有政府性基金预算拨款安排的支出，故本表无数据。</w:t>
      </w:r>
    </w:p>
    <w:tbl>
      <w:tblPr>
        <w:tblStyle w:val="TableNormal"/>
        <w:tblW w:w="4992"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1800"/>
        <w:gridCol w:w="3515"/>
        <w:gridCol w:w="1541"/>
        <w:gridCol w:w="1553"/>
        <w:gridCol w:w="1543"/>
      </w:tblGrid>
      <w:tr>
        <w:tblPrEx>
          <w:tblW w:w="4992"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336"/>
          <w:jc w:val="center"/>
        </w:trPr>
        <w:tc>
          <w:tcPr>
            <w:tcW w:w="2671" w:type="pct"/>
            <w:gridSpan w:val="2"/>
            <w:tcBorders>
              <w:top w:val="nil"/>
              <w:left w:val="nil"/>
              <w:bottom w:val="nil"/>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328" w:type="pct"/>
            <w:gridSpan w:val="3"/>
            <w:tcBorders>
              <w:top w:val="nil"/>
              <w:left w:val="nil"/>
              <w:bottom w:val="nil"/>
              <w:right w:val="nil"/>
              <w:tl2br w:val="nil"/>
              <w:tr2bl w:val="nil"/>
            </w:tcBorders>
            <w:shd w:val="clear" w:color="auto" w:fill="auto"/>
            <w:noWrap/>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eastAsia="zh-CN" w:bidi="ar"/>
              </w:rPr>
            </w:pPr>
            <w:r>
              <w:rPr>
                <w:rFonts w:ascii="Times New Roman" w:eastAsia="宋体" w:hAnsi="Times New Roman" w:cs="宋体" w:hint="eastAsia"/>
                <w:i w:val="0"/>
                <w:iCs w:val="0"/>
                <w:color w:val="000000"/>
                <w:kern w:val="0"/>
                <w:sz w:val="20"/>
                <w:szCs w:val="20"/>
                <w:u w:val="none"/>
                <w:lang w:val="en-US" w:eastAsia="zh-CN" w:bidi="ar"/>
              </w:rPr>
              <w:t>部门</w:t>
            </w:r>
            <w:r>
              <w:rPr>
                <w:rFonts w:ascii="Times New Roman" w:eastAsia="宋体" w:hAnsi="Times New Roman" w:cs="宋体" w:hint="eastAsia"/>
                <w:i w:val="0"/>
                <w:iCs w:val="0"/>
                <w:color w:val="000000"/>
                <w:kern w:val="0"/>
                <w:sz w:val="20"/>
                <w:szCs w:val="20"/>
                <w:u w:val="none"/>
                <w:lang w:val="en-US" w:bidi="ar"/>
              </w:rPr>
              <w:t>公开表8</w:t>
            </w:r>
          </w:p>
        </w:tc>
      </w:tr>
      <w:tr>
        <w:tblPrEx>
          <w:tblW w:w="4992" w:type="pct"/>
          <w:jc w:val="center"/>
          <w:tblInd w:w="0" w:type="dxa"/>
          <w:shd w:val="clear" w:color="auto" w:fill="auto"/>
          <w:tblCellMar>
            <w:top w:w="0" w:type="dxa"/>
            <w:left w:w="108" w:type="dxa"/>
            <w:bottom w:w="0" w:type="dxa"/>
            <w:right w:w="108" w:type="dxa"/>
          </w:tblCellMar>
        </w:tblPrEx>
        <w:trPr>
          <w:trHeight w:val="336"/>
          <w:jc w:val="center"/>
        </w:trPr>
        <w:tc>
          <w:tcPr>
            <w:tcW w:w="5000" w:type="pct"/>
            <w:gridSpan w:val="5"/>
            <w:tcBorders>
              <w:top w:val="nil"/>
              <w:left w:val="nil"/>
              <w:bottom w:val="nil"/>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bCs/>
                <w:kern w:val="0"/>
                <w:sz w:val="32"/>
                <w:szCs w:val="32"/>
                <w:lang w:val="en-US" w:eastAsia="zh-CN"/>
              </w:rPr>
              <w:t>铜陵市铜官区经济与信息化局2024</w:t>
            </w:r>
            <w:r>
              <w:rPr>
                <w:rFonts w:ascii="Times New Roman" w:eastAsia="宋体" w:hAnsi="Times New Roman" w:cs="宋体" w:hint="eastAsia"/>
                <w:b/>
                <w:bCs/>
                <w:kern w:val="0"/>
                <w:sz w:val="32"/>
                <w:szCs w:val="32"/>
                <w:lang w:val="en-US"/>
              </w:rPr>
              <w:t>年国有资本经营预算支出表</w:t>
            </w:r>
          </w:p>
        </w:tc>
      </w:tr>
      <w:tr>
        <w:tblPrEx>
          <w:tblW w:w="4992" w:type="pct"/>
          <w:jc w:val="center"/>
          <w:tblInd w:w="0" w:type="dxa"/>
          <w:shd w:val="clear" w:color="auto" w:fill="auto"/>
          <w:tblCellMar>
            <w:top w:w="0" w:type="dxa"/>
            <w:left w:w="108" w:type="dxa"/>
            <w:bottom w:w="0" w:type="dxa"/>
            <w:right w:w="108" w:type="dxa"/>
          </w:tblCellMar>
        </w:tblPrEx>
        <w:trPr>
          <w:trHeight w:val="336"/>
          <w:jc w:val="center"/>
        </w:trPr>
        <w:tc>
          <w:tcPr>
            <w:tcW w:w="2671" w:type="pct"/>
            <w:gridSpan w:val="2"/>
            <w:tcBorders>
              <w:top w:val="nil"/>
              <w:left w:val="nil"/>
              <w:bottom w:val="single" w:sz="4" w:space="0" w:color="auto"/>
              <w:right w:val="nil"/>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328" w:type="pct"/>
            <w:gridSpan w:val="3"/>
            <w:tcBorders>
              <w:top w:val="nil"/>
              <w:left w:val="nil"/>
              <w:bottom w:val="single" w:sz="4" w:space="0" w:color="auto"/>
              <w:right w:val="nil"/>
              <w:tl2br w:val="nil"/>
              <w:tr2bl w:val="nil"/>
            </w:tcBorders>
            <w:shd w:val="clear" w:color="auto" w:fill="auto"/>
            <w:noWrap/>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val="0"/>
                <w:bCs w:val="0"/>
                <w:i w:val="0"/>
                <w:iCs w:val="0"/>
                <w:color w:val="000000"/>
                <w:kern w:val="0"/>
                <w:sz w:val="20"/>
                <w:szCs w:val="20"/>
                <w:u w:val="none"/>
                <w:lang w:val="en-US" w:bidi="ar"/>
              </w:rPr>
              <w:t>单位</w:t>
            </w:r>
            <w:r>
              <w:rPr>
                <w:rFonts w:ascii="Times New Roman" w:eastAsia="宋体" w:hAnsi="Times New Roman" w:cs="宋体" w:hint="eastAsia"/>
                <w:b w:val="0"/>
                <w:bCs w:val="0"/>
                <w:i w:val="0"/>
                <w:iCs w:val="0"/>
                <w:color w:val="000000"/>
                <w:kern w:val="0"/>
                <w:sz w:val="20"/>
                <w:szCs w:val="20"/>
                <w:u w:val="none"/>
                <w:lang w:bidi="ar"/>
              </w:rPr>
              <w:t>：</w:t>
            </w:r>
            <w:r>
              <w:rPr>
                <w:rFonts w:ascii="Times New Roman" w:eastAsia="宋体" w:hAnsi="Times New Roman" w:cs="宋体" w:hint="eastAsia"/>
                <w:b w:val="0"/>
                <w:bCs w:val="0"/>
                <w:i w:val="0"/>
                <w:iCs w:val="0"/>
                <w:color w:val="000000"/>
                <w:kern w:val="0"/>
                <w:sz w:val="20"/>
                <w:szCs w:val="20"/>
                <w:u w:val="none"/>
                <w:lang w:val="en-US" w:bidi="ar"/>
              </w:rPr>
              <w:t>万元</w:t>
            </w:r>
          </w:p>
        </w:tc>
      </w:tr>
      <w:tr>
        <w:tblPrEx>
          <w:tblW w:w="4992" w:type="pct"/>
          <w:jc w:val="center"/>
          <w:tblInd w:w="0" w:type="dxa"/>
          <w:shd w:val="clear" w:color="auto" w:fill="auto"/>
          <w:tblCellMar>
            <w:top w:w="0" w:type="dxa"/>
            <w:left w:w="108" w:type="dxa"/>
            <w:bottom w:w="0" w:type="dxa"/>
            <w:right w:w="108" w:type="dxa"/>
          </w:tblCellMar>
        </w:tblPrEx>
        <w:trPr>
          <w:trHeight w:val="336"/>
          <w:jc w:val="center"/>
        </w:trPr>
        <w:tc>
          <w:tcPr>
            <w:tcW w:w="2671" w:type="pct"/>
            <w:gridSpan w:val="2"/>
            <w:tcBorders>
              <w:top w:val="single" w:sz="4" w:space="0" w:color="auto"/>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功能分类科目</w:t>
            </w:r>
          </w:p>
        </w:tc>
        <w:tc>
          <w:tcPr>
            <w:tcW w:w="2328" w:type="pct"/>
            <w:gridSpan w:val="3"/>
            <w:tcBorders>
              <w:top w:val="single" w:sz="4" w:space="0" w:color="auto"/>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国有资本经营预算拨款支出</w:t>
            </w:r>
          </w:p>
        </w:tc>
      </w:tr>
      <w:tr>
        <w:tblPrEx>
          <w:tblW w:w="4992" w:type="pct"/>
          <w:jc w:val="center"/>
          <w:tblInd w:w="0" w:type="dxa"/>
          <w:shd w:val="clear" w:color="auto" w:fill="auto"/>
          <w:tblCellMar>
            <w:top w:w="0" w:type="dxa"/>
            <w:left w:w="108" w:type="dxa"/>
            <w:bottom w:w="0" w:type="dxa"/>
            <w:right w:w="108" w:type="dxa"/>
          </w:tblCellMar>
        </w:tblPrEx>
        <w:trPr>
          <w:trHeight w:val="336"/>
          <w:jc w:val="center"/>
        </w:trPr>
        <w:tc>
          <w:tcPr>
            <w:tcW w:w="905"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科目编码</w:t>
            </w:r>
          </w:p>
        </w:tc>
        <w:tc>
          <w:tcPr>
            <w:tcW w:w="1766"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科目名称</w:t>
            </w:r>
          </w:p>
        </w:tc>
        <w:tc>
          <w:tcPr>
            <w:tcW w:w="774"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合计</w:t>
            </w:r>
          </w:p>
        </w:tc>
        <w:tc>
          <w:tcPr>
            <w:tcW w:w="780"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基本支出</w:t>
            </w:r>
          </w:p>
        </w:tc>
        <w:tc>
          <w:tcPr>
            <w:tcW w:w="774" w:type="pct"/>
            <w:tcBorders>
              <w:tl2br w:val="nil"/>
              <w:tr2bl w:val="nil"/>
            </w:tcBorders>
            <w:shd w:val="clear" w:color="auto" w:fill="auto"/>
            <w:noWrap/>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项目支出</w:t>
            </w:r>
          </w:p>
        </w:tc>
      </w:tr>
      <w:tr>
        <w:tblPrEx>
          <w:tblW w:w="4992" w:type="pct"/>
          <w:jc w:val="center"/>
          <w:tblInd w:w="0" w:type="dxa"/>
          <w:shd w:val="clear" w:color="auto" w:fill="auto"/>
          <w:tblCellMar>
            <w:top w:w="0" w:type="dxa"/>
            <w:left w:w="108" w:type="dxa"/>
            <w:bottom w:w="0" w:type="dxa"/>
            <w:right w:w="108" w:type="dxa"/>
          </w:tblCellMar>
        </w:tblPrEx>
        <w:trPr>
          <w:trHeight w:val="336"/>
          <w:jc w:val="center"/>
        </w:trPr>
        <w:tc>
          <w:tcPr>
            <w:tcW w:w="905" w:type="pct"/>
            <w:tcBorders>
              <w:tl2br w:val="nil"/>
              <w:tr2bl w:val="nil"/>
            </w:tcBorders>
            <w:shd w:val="clear" w:color="auto" w:fill="auto"/>
            <w:noWrap/>
            <w:vAlign w:val="center"/>
          </w:tcPr>
          <w:p>
            <w:pPr>
              <w:spacing w:before="0" w:after="0"/>
              <w:jc w:val="both"/>
              <w:rPr>
                <w:rFonts w:ascii="Times New Roman" w:eastAsia="宋体" w:hAnsi="Times New Roman" w:cs="宋体" w:hint="eastAsia"/>
                <w:b/>
                <w:bCs/>
                <w:i w:val="0"/>
                <w:iCs w:val="0"/>
                <w:color w:val="000000"/>
                <w:sz w:val="20"/>
                <w:szCs w:val="20"/>
                <w:u w:val="none"/>
              </w:rPr>
            </w:pPr>
          </w:p>
        </w:tc>
        <w:tc>
          <w:tcPr>
            <w:tcW w:w="1766" w:type="pct"/>
            <w:tcBorders>
              <w:tl2br w:val="nil"/>
              <w:tr2bl w:val="nil"/>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合</w:t>
            </w:r>
            <w:r>
              <w:rPr>
                <w:rFonts w:ascii="Times New Roman" w:eastAsia="宋体" w:hAnsi="Times New Roman" w:cs="宋体" w:hint="eastAsia"/>
                <w:b/>
                <w:bCs/>
                <w:i w:val="0"/>
                <w:iCs w:val="0"/>
                <w:color w:val="000000"/>
                <w:kern w:val="0"/>
                <w:sz w:val="20"/>
                <w:szCs w:val="20"/>
                <w:u w:val="none"/>
                <w:lang w:eastAsia="zh-CN" w:bidi="ar"/>
              </w:rPr>
              <w:t xml:space="preserve">  </w:t>
            </w:r>
            <w:r>
              <w:rPr>
                <w:rFonts w:ascii="Times New Roman" w:eastAsia="宋体" w:hAnsi="Times New Roman" w:cs="宋体" w:hint="eastAsia"/>
                <w:b/>
                <w:bCs/>
                <w:i w:val="0"/>
                <w:iCs w:val="0"/>
                <w:color w:val="000000"/>
                <w:kern w:val="0"/>
                <w:sz w:val="20"/>
                <w:szCs w:val="20"/>
                <w:u w:val="none"/>
                <w:lang w:val="en-US" w:eastAsia="zh-CN" w:bidi="ar"/>
              </w:rPr>
              <w:t>计</w:t>
            </w:r>
          </w:p>
        </w:tc>
        <w:tc>
          <w:tcPr>
            <w:tcW w:w="774"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780"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774"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r>
      <w:tr>
        <w:tblPrEx>
          <w:tblW w:w="4992" w:type="pct"/>
          <w:jc w:val="center"/>
          <w:tblInd w:w="0" w:type="dxa"/>
          <w:shd w:val="clear" w:color="auto" w:fill="auto"/>
          <w:tblCellMar>
            <w:top w:w="0" w:type="dxa"/>
            <w:left w:w="108" w:type="dxa"/>
            <w:bottom w:w="0" w:type="dxa"/>
            <w:right w:w="108" w:type="dxa"/>
          </w:tblCellMar>
        </w:tblPrEx>
        <w:trPr>
          <w:trHeight w:val="336"/>
          <w:jc w:val="center"/>
        </w:trPr>
        <w:tc>
          <w:tcPr>
            <w:tcW w:w="905" w:type="pct"/>
            <w:tcBorders>
              <w:tl2br w:val="nil"/>
              <w:tr2bl w:val="nil"/>
            </w:tcBorders>
            <w:shd w:val="clear" w:color="auto" w:fill="auto"/>
            <w:noWrap/>
            <w:vAlign w:val="center"/>
          </w:tcPr>
          <w:p>
            <w:pPr>
              <w:spacing w:before="0" w:after="0"/>
              <w:jc w:val="both"/>
              <w:rPr>
                <w:rFonts w:ascii="Times New Roman" w:eastAsia="宋体" w:hAnsi="Times New Roman" w:cs="宋体" w:hint="eastAsia"/>
                <w:b/>
                <w:bCs/>
                <w:i w:val="0"/>
                <w:iCs w:val="0"/>
                <w:color w:val="000000"/>
                <w:sz w:val="20"/>
                <w:szCs w:val="20"/>
                <w:u w:val="none"/>
              </w:rPr>
            </w:pPr>
          </w:p>
        </w:tc>
        <w:tc>
          <w:tcPr>
            <w:tcW w:w="1766" w:type="pct"/>
            <w:tcBorders>
              <w:tl2br w:val="nil"/>
              <w:tr2bl w:val="nil"/>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774"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780"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774"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r>
      <w:tr>
        <w:tblPrEx>
          <w:tblW w:w="4992" w:type="pct"/>
          <w:jc w:val="center"/>
          <w:tblInd w:w="0" w:type="dxa"/>
          <w:shd w:val="clear" w:color="auto" w:fill="auto"/>
          <w:tblCellMar>
            <w:top w:w="0" w:type="dxa"/>
            <w:left w:w="108" w:type="dxa"/>
            <w:bottom w:w="0" w:type="dxa"/>
            <w:right w:w="108" w:type="dxa"/>
          </w:tblCellMar>
        </w:tblPrEx>
        <w:trPr>
          <w:trHeight w:val="336"/>
          <w:jc w:val="center"/>
        </w:trPr>
        <w:tc>
          <w:tcPr>
            <w:tcW w:w="905" w:type="pct"/>
            <w:tcBorders>
              <w:tl2br w:val="nil"/>
              <w:tr2bl w:val="nil"/>
            </w:tcBorders>
            <w:shd w:val="clear" w:color="auto" w:fill="auto"/>
            <w:noWrap/>
            <w:vAlign w:val="center"/>
          </w:tcPr>
          <w:p>
            <w:pPr>
              <w:spacing w:before="0" w:after="0"/>
              <w:jc w:val="both"/>
              <w:rPr>
                <w:rFonts w:ascii="Times New Roman" w:eastAsia="宋体" w:hAnsi="Times New Roman" w:cs="宋体" w:hint="eastAsia"/>
                <w:b/>
                <w:bCs/>
                <w:i w:val="0"/>
                <w:iCs w:val="0"/>
                <w:color w:val="000000"/>
                <w:sz w:val="20"/>
                <w:szCs w:val="20"/>
                <w:u w:val="none"/>
              </w:rPr>
            </w:pPr>
          </w:p>
        </w:tc>
        <w:tc>
          <w:tcPr>
            <w:tcW w:w="1766" w:type="pct"/>
            <w:tcBorders>
              <w:tl2br w:val="nil"/>
              <w:tr2bl w:val="nil"/>
            </w:tcBorders>
            <w:shd w:val="clear" w:color="auto" w:fill="auto"/>
            <w:noWrap/>
            <w:vAlign w:val="center"/>
          </w:tcPr>
          <w:p>
            <w:pPr>
              <w:keepNext w:val="0"/>
              <w:keepLines w:val="0"/>
              <w:widowControl/>
              <w:suppressLineNumbers w:val="0"/>
              <w:spacing w:before="0" w:after="0"/>
              <w:jc w:val="both"/>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774"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780"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c>
          <w:tcPr>
            <w:tcW w:w="774" w:type="pct"/>
            <w:tcBorders>
              <w:tl2br w:val="nil"/>
              <w:tr2bl w:val="nil"/>
            </w:tcBorders>
            <w:shd w:val="clear" w:color="auto" w:fill="auto"/>
            <w:noWrap/>
            <w:vAlign w:val="center"/>
          </w:tcPr>
          <w:p>
            <w:pPr>
              <w:spacing w:before="0" w:after="0"/>
              <w:jc w:val="right"/>
              <w:rPr>
                <w:rFonts w:ascii="Times New Roman" w:eastAsia="宋体" w:hAnsi="Times New Roman" w:cs="宋体" w:hint="eastAsia"/>
                <w:i w:val="0"/>
                <w:iCs w:val="0"/>
                <w:color w:val="000000"/>
                <w:sz w:val="20"/>
                <w:szCs w:val="20"/>
                <w:u w:val="none"/>
              </w:rPr>
            </w:pPr>
          </w:p>
        </w:tc>
      </w:tr>
    </w:tbl>
    <w:p>
      <w:pPr>
        <w:numPr>
          <w:ilvl w:val="0"/>
          <w:numId w:val="0"/>
        </w:numPr>
        <w:jc w:val="both"/>
        <w:rPr>
          <w:rFonts w:ascii="Times New Roman" w:eastAsia="仿宋_GB2312" w:hAnsi="Times New Roman" w:cs="仿宋_GB2312" w:hint="eastAsia"/>
          <w:b w:val="0"/>
          <w:bCs w:val="0"/>
          <w:sz w:val="20"/>
          <w:szCs w:val="20"/>
          <w:lang w:val="en-US"/>
        </w:rPr>
        <w:sectPr>
          <w:pgSz w:w="11906" w:h="16838"/>
          <w:pgMar w:top="1440" w:right="1077" w:bottom="1440" w:left="1077"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Times New Roman" w:eastAsia="仿宋_GB2312" w:hAnsi="Times New Roman" w:cs="仿宋_GB2312" w:hint="eastAsia"/>
          <w:b w:val="0"/>
          <w:bCs w:val="0"/>
          <w:sz w:val="20"/>
          <w:szCs w:val="20"/>
          <w:lang w:val="en-US"/>
        </w:rPr>
        <w:t>注：铜陵市铜官区经济与信息化局没有国有资本经营预算拨款收入，也没有国有资本经营预算拨款安排的支出，故本表无数据。</w:t>
      </w:r>
    </w:p>
    <w:tbl>
      <w:tblPr>
        <w:tblStyle w:val="TableGrid"/>
        <w:tblW w:w="4996"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880"/>
        <w:gridCol w:w="1752"/>
        <w:gridCol w:w="1898"/>
        <w:gridCol w:w="1122"/>
        <w:gridCol w:w="1071"/>
        <w:gridCol w:w="1091"/>
        <w:gridCol w:w="1034"/>
        <w:gridCol w:w="1054"/>
        <w:gridCol w:w="1020"/>
        <w:gridCol w:w="1057"/>
        <w:gridCol w:w="887"/>
        <w:gridCol w:w="1297"/>
      </w:tblGrid>
      <w:tr>
        <w:tblPrEx>
          <w:tblW w:w="4996"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336"/>
          <w:jc w:val="center"/>
        </w:trPr>
        <w:tc>
          <w:tcPr>
            <w:tcW w:w="311" w:type="pct"/>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619" w:type="pct"/>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670" w:type="pct"/>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396" w:type="pct"/>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128" w:type="pct"/>
            <w:gridSpan w:val="3"/>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873" w:type="pct"/>
            <w:gridSpan w:val="5"/>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right"/>
              <w:textAlignment w:val="center"/>
              <w:rPr>
                <w:rFonts w:ascii="Times New Roman" w:eastAsia="宋体" w:hAnsi="Times New Roman" w:cs="宋体" w:hint="eastAsia"/>
                <w:i w:val="0"/>
                <w:iCs w:val="0"/>
                <w:color w:val="000000"/>
                <w:kern w:val="0"/>
                <w:sz w:val="20"/>
                <w:szCs w:val="20"/>
                <w:u w:val="none"/>
                <w:lang w:val="en-US" w:eastAsia="zh-CN" w:bidi="ar"/>
              </w:rPr>
            </w:pPr>
            <w:r>
              <w:rPr>
                <w:rFonts w:ascii="Times New Roman" w:eastAsia="宋体" w:hAnsi="Times New Roman" w:cs="宋体" w:hint="eastAsia"/>
                <w:i w:val="0"/>
                <w:iCs w:val="0"/>
                <w:color w:val="000000"/>
                <w:kern w:val="0"/>
                <w:sz w:val="20"/>
                <w:szCs w:val="20"/>
                <w:u w:val="none"/>
                <w:lang w:val="en-US" w:eastAsia="zh-CN" w:bidi="ar"/>
              </w:rPr>
              <w:t>部门</w:t>
            </w:r>
            <w:r>
              <w:rPr>
                <w:rFonts w:ascii="Times New Roman" w:eastAsia="宋体" w:hAnsi="Times New Roman" w:cs="宋体" w:hint="eastAsia"/>
                <w:i w:val="0"/>
                <w:iCs w:val="0"/>
                <w:color w:val="000000"/>
                <w:kern w:val="0"/>
                <w:sz w:val="20"/>
                <w:szCs w:val="20"/>
                <w:u w:val="none"/>
                <w:lang w:val="en-US" w:bidi="ar"/>
              </w:rPr>
              <w:t>公开表9</w:t>
            </w:r>
          </w:p>
        </w:tc>
      </w:tr>
      <w:tr>
        <w:tblPrEx>
          <w:tblW w:w="4996" w:type="pct"/>
          <w:jc w:val="center"/>
          <w:tblInd w:w="0" w:type="dxa"/>
          <w:shd w:val="clear" w:color="auto" w:fill="auto"/>
          <w:tblCellMar>
            <w:top w:w="0" w:type="dxa"/>
            <w:left w:w="108" w:type="dxa"/>
            <w:bottom w:w="0" w:type="dxa"/>
            <w:right w:w="108" w:type="dxa"/>
          </w:tblCellMar>
        </w:tblPrEx>
        <w:trPr>
          <w:trHeight w:val="336"/>
          <w:jc w:val="center"/>
        </w:trPr>
        <w:tc>
          <w:tcPr>
            <w:tcW w:w="5000" w:type="pct"/>
            <w:gridSpan w:val="12"/>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bCs/>
                <w:kern w:val="0"/>
                <w:sz w:val="32"/>
                <w:szCs w:val="32"/>
                <w:lang w:val="en-US" w:eastAsia="zh-CN"/>
              </w:rPr>
              <w:t>铜陵市铜官区经济与信息化局2024</w:t>
            </w:r>
            <w:r>
              <w:rPr>
                <w:rFonts w:ascii="Times New Roman" w:eastAsia="宋体" w:hAnsi="Times New Roman" w:cs="宋体" w:hint="eastAsia"/>
                <w:b/>
                <w:bCs/>
                <w:kern w:val="0"/>
                <w:sz w:val="32"/>
                <w:szCs w:val="32"/>
                <w:lang w:val="en-US"/>
              </w:rPr>
              <w:t>年项目支出表</w:t>
            </w:r>
          </w:p>
        </w:tc>
      </w:tr>
      <w:tr>
        <w:tblPrEx>
          <w:tblW w:w="4996" w:type="pct"/>
          <w:jc w:val="center"/>
          <w:tblInd w:w="0" w:type="dxa"/>
          <w:shd w:val="clear" w:color="auto" w:fill="auto"/>
          <w:tblCellMar>
            <w:top w:w="0" w:type="dxa"/>
            <w:left w:w="108" w:type="dxa"/>
            <w:bottom w:w="0" w:type="dxa"/>
            <w:right w:w="108" w:type="dxa"/>
          </w:tblCellMar>
        </w:tblPrEx>
        <w:trPr>
          <w:trHeight w:val="336"/>
          <w:jc w:val="center"/>
        </w:trPr>
        <w:tc>
          <w:tcPr>
            <w:tcW w:w="311"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619"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670"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396"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128" w:type="pct"/>
            <w:gridSpan w:val="3"/>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873" w:type="pct"/>
            <w:gridSpan w:val="5"/>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val="0"/>
                <w:bCs w:val="0"/>
                <w:i w:val="0"/>
                <w:iCs w:val="0"/>
                <w:color w:val="000000"/>
                <w:kern w:val="0"/>
                <w:sz w:val="20"/>
                <w:szCs w:val="20"/>
                <w:u w:val="none"/>
                <w:lang w:val="en-US" w:bidi="ar"/>
              </w:rPr>
              <w:t>单位</w:t>
            </w:r>
            <w:r>
              <w:rPr>
                <w:rFonts w:ascii="Times New Roman" w:eastAsia="宋体" w:hAnsi="Times New Roman" w:cs="宋体" w:hint="eastAsia"/>
                <w:b w:val="0"/>
                <w:bCs w:val="0"/>
                <w:i w:val="0"/>
                <w:iCs w:val="0"/>
                <w:color w:val="000000"/>
                <w:kern w:val="0"/>
                <w:sz w:val="20"/>
                <w:szCs w:val="20"/>
                <w:u w:val="none"/>
                <w:lang w:bidi="ar"/>
              </w:rPr>
              <w:t>：</w:t>
            </w:r>
            <w:r>
              <w:rPr>
                <w:rFonts w:ascii="Times New Roman" w:eastAsia="宋体" w:hAnsi="Times New Roman" w:cs="宋体" w:hint="eastAsia"/>
                <w:b w:val="0"/>
                <w:bCs w:val="0"/>
                <w:i w:val="0"/>
                <w:iCs w:val="0"/>
                <w:color w:val="000000"/>
                <w:kern w:val="0"/>
                <w:sz w:val="20"/>
                <w:szCs w:val="20"/>
                <w:u w:val="none"/>
                <w:lang w:val="en-US" w:bidi="ar"/>
              </w:rPr>
              <w:t>万元</w:t>
            </w:r>
          </w:p>
        </w:tc>
      </w:tr>
      <w:tr>
        <w:tblPrEx>
          <w:tblW w:w="4996" w:type="pct"/>
          <w:jc w:val="center"/>
          <w:tblInd w:w="0" w:type="dxa"/>
          <w:shd w:val="clear" w:color="auto" w:fill="auto"/>
          <w:tblCellMar>
            <w:top w:w="0" w:type="dxa"/>
            <w:left w:w="108" w:type="dxa"/>
            <w:bottom w:w="0" w:type="dxa"/>
            <w:right w:w="108" w:type="dxa"/>
          </w:tblCellMar>
        </w:tblPrEx>
        <w:trPr>
          <w:trHeight w:val="336"/>
          <w:jc w:val="center"/>
        </w:trPr>
        <w:tc>
          <w:tcPr>
            <w:tcW w:w="311" w:type="pct"/>
            <w:vMerge w:val="restar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类型</w:t>
            </w:r>
          </w:p>
        </w:tc>
        <w:tc>
          <w:tcPr>
            <w:tcW w:w="619" w:type="pct"/>
            <w:vMerge w:val="restar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项目名称</w:t>
            </w:r>
          </w:p>
        </w:tc>
        <w:tc>
          <w:tcPr>
            <w:tcW w:w="670" w:type="pct"/>
            <w:vMerge w:val="restar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项目单位</w:t>
            </w:r>
          </w:p>
        </w:tc>
        <w:tc>
          <w:tcPr>
            <w:tcW w:w="396" w:type="pct"/>
            <w:vMerge w:val="restar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合计</w:t>
            </w:r>
          </w:p>
        </w:tc>
        <w:tc>
          <w:tcPr>
            <w:tcW w:w="1128" w:type="pct"/>
            <w:gridSpan w:val="3"/>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本年财政拨款</w:t>
            </w:r>
          </w:p>
        </w:tc>
        <w:tc>
          <w:tcPr>
            <w:tcW w:w="1105" w:type="pct"/>
            <w:gridSpan w:val="3"/>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财政拨款结转结余</w:t>
            </w:r>
          </w:p>
        </w:tc>
        <w:tc>
          <w:tcPr>
            <w:tcW w:w="313" w:type="pct"/>
            <w:vMerge w:val="restar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财政专户管理资金</w:t>
            </w:r>
          </w:p>
        </w:tc>
        <w:tc>
          <w:tcPr>
            <w:tcW w:w="455" w:type="pct"/>
            <w:vMerge w:val="restar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单位资金</w:t>
            </w:r>
          </w:p>
        </w:tc>
      </w:tr>
      <w:tr>
        <w:tblPrEx>
          <w:tblW w:w="4996" w:type="pct"/>
          <w:jc w:val="center"/>
          <w:tblInd w:w="0" w:type="dxa"/>
          <w:shd w:val="clear" w:color="auto" w:fill="auto"/>
          <w:tblCellMar>
            <w:top w:w="0" w:type="dxa"/>
            <w:left w:w="108" w:type="dxa"/>
            <w:bottom w:w="0" w:type="dxa"/>
            <w:right w:w="108" w:type="dxa"/>
          </w:tblCellMar>
        </w:tblPrEx>
        <w:trPr>
          <w:trHeight w:val="1020"/>
          <w:jc w:val="center"/>
        </w:trPr>
        <w:tc>
          <w:tcPr>
            <w:tcW w:w="311"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619"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670"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396"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378" w:type="pc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一般公共预算</w:t>
            </w:r>
          </w:p>
        </w:tc>
        <w:tc>
          <w:tcPr>
            <w:tcW w:w="385" w:type="pc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政府性基金预算</w:t>
            </w:r>
          </w:p>
        </w:tc>
        <w:tc>
          <w:tcPr>
            <w:tcW w:w="365" w:type="pc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国有资本经验预算</w:t>
            </w:r>
          </w:p>
        </w:tc>
        <w:tc>
          <w:tcPr>
            <w:tcW w:w="372" w:type="pc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一般公共预算</w:t>
            </w:r>
          </w:p>
        </w:tc>
        <w:tc>
          <w:tcPr>
            <w:tcW w:w="360" w:type="pc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政府性基金预算</w:t>
            </w:r>
          </w:p>
        </w:tc>
        <w:tc>
          <w:tcPr>
            <w:tcW w:w="373" w:type="pct"/>
            <w:tcBorders>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国有资本经营预算</w:t>
            </w:r>
          </w:p>
        </w:tc>
        <w:tc>
          <w:tcPr>
            <w:tcW w:w="313"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c>
          <w:tcPr>
            <w:tcW w:w="455" w:type="pct"/>
            <w:vMerge/>
            <w:tcBorders>
              <w:tl2br w:val="nil"/>
              <w:tr2bl w:val="nil"/>
            </w:tcBorders>
            <w:shd w:val="clear" w:color="auto" w:fill="auto"/>
            <w:vAlign w:val="center"/>
          </w:tcPr>
          <w:p>
            <w:pPr>
              <w:jc w:val="center"/>
              <w:rPr>
                <w:rFonts w:ascii="Times New Roman" w:eastAsia="宋体" w:hAnsi="Times New Roman" w:cs="宋体" w:hint="eastAsia"/>
                <w:b/>
                <w:bCs/>
                <w:i w:val="0"/>
                <w:iCs w:val="0"/>
                <w:color w:val="000000"/>
                <w:sz w:val="20"/>
                <w:szCs w:val="20"/>
                <w:u w:val="none"/>
              </w:rPr>
            </w:pPr>
          </w:p>
        </w:tc>
      </w:tr>
      <w:tr>
        <w:tblPrEx>
          <w:tblW w:w="4996" w:type="pct"/>
          <w:jc w:val="center"/>
          <w:tblInd w:w="0" w:type="dxa"/>
          <w:shd w:val="clear" w:color="auto" w:fill="auto"/>
          <w:tblCellMar>
            <w:top w:w="0" w:type="dxa"/>
            <w:left w:w="108" w:type="dxa"/>
            <w:bottom w:w="0" w:type="dxa"/>
            <w:right w:w="108" w:type="dxa"/>
          </w:tblCellMar>
        </w:tblPrEx>
        <w:trPr>
          <w:trHeight w:val="336"/>
          <w:jc w:val="center"/>
        </w:trPr>
        <w:tc>
          <w:tcPr>
            <w:tcW w:w="311" w:type="pct"/>
            <w:tcBorders>
              <w:tl2br w:val="nil"/>
              <w:tr2bl w:val="nil"/>
            </w:tcBorders>
            <w:shd w:val="clear" w:color="auto" w:fill="auto"/>
            <w:noWrap/>
            <w:tcMar>
              <w:left w:w="20" w:type="dxa"/>
              <w:right w:w="20" w:type="dxa"/>
            </w:tcMar>
            <w:vAlign w:val="center"/>
          </w:tcPr>
          <w:p>
            <w:pPr>
              <w:keepNext w:val="0"/>
              <w:keepLines w:val="0"/>
              <w:widowControl/>
              <w:suppressLineNumbers w:val="0"/>
              <w:spacing w:before="0" w:after="0" w:line="240" w:lineRule="auto"/>
              <w:jc w:val="both"/>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b w:val="0"/>
                <w:sz w:val="20"/>
              </w:rPr>
              <w:t>特定目标类</w:t>
            </w:r>
          </w:p>
        </w:tc>
        <w:tc>
          <w:tcPr>
            <w:tcW w:w="619" w:type="pct"/>
            <w:tcBorders>
              <w:tl2br w:val="nil"/>
              <w:tr2bl w:val="nil"/>
            </w:tcBorders>
            <w:shd w:val="clear" w:color="auto" w:fill="auto"/>
            <w:noWrap/>
            <w:tcMar>
              <w:left w:w="20" w:type="dxa"/>
              <w:right w:w="20" w:type="dxa"/>
            </w:tcMar>
            <w:vAlign w:val="center"/>
          </w:tcPr>
          <w:p>
            <w:pPr>
              <w:spacing w:before="0" w:after="0" w:line="240" w:lineRule="auto"/>
              <w:jc w:val="both"/>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“四送一服”专项资金</w:t>
            </w:r>
          </w:p>
        </w:tc>
        <w:tc>
          <w:tcPr>
            <w:tcW w:w="670" w:type="pct"/>
            <w:tcBorders>
              <w:tl2br w:val="nil"/>
              <w:tr2bl w:val="nil"/>
            </w:tcBorders>
            <w:shd w:val="clear" w:color="auto" w:fill="auto"/>
            <w:noWrap/>
            <w:tcMar>
              <w:left w:w="20" w:type="dxa"/>
              <w:right w:w="20" w:type="dxa"/>
            </w:tcMar>
            <w:vAlign w:val="center"/>
          </w:tcPr>
          <w:p>
            <w:pPr>
              <w:spacing w:before="0" w:after="0" w:line="240" w:lineRule="auto"/>
              <w:jc w:val="both"/>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铜陵市铜官区经济与信息化局本级</w:t>
            </w:r>
          </w:p>
        </w:tc>
        <w:tc>
          <w:tcPr>
            <w:tcW w:w="39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5.00</w:t>
            </w:r>
          </w:p>
        </w:tc>
        <w:tc>
          <w:tcPr>
            <w:tcW w:w="378"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5.00</w:t>
            </w:r>
          </w:p>
        </w:tc>
        <w:tc>
          <w:tcPr>
            <w:tcW w:w="385"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365"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372"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360"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373"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313"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455"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4996" w:type="pct"/>
          <w:jc w:val="center"/>
          <w:tblInd w:w="0" w:type="dxa"/>
          <w:shd w:val="clear" w:color="auto" w:fill="auto"/>
          <w:tblCellMar>
            <w:top w:w="0" w:type="dxa"/>
            <w:left w:w="108" w:type="dxa"/>
            <w:bottom w:w="0" w:type="dxa"/>
            <w:right w:w="108" w:type="dxa"/>
          </w:tblCellMar>
        </w:tblPrEx>
        <w:trPr>
          <w:trHeight w:val="336"/>
          <w:jc w:val="center"/>
        </w:trPr>
        <w:tc>
          <w:tcPr>
            <w:tcW w:w="311" w:type="pct"/>
            <w:tcBorders>
              <w:tl2br w:val="nil"/>
              <w:tr2bl w:val="nil"/>
            </w:tcBorders>
            <w:shd w:val="clear" w:color="auto" w:fill="auto"/>
            <w:noWrap/>
            <w:tcMar>
              <w:left w:w="20" w:type="dxa"/>
              <w:right w:w="20" w:type="dxa"/>
            </w:tcMar>
            <w:vAlign w:val="center"/>
          </w:tcPr>
          <w:p>
            <w:pPr>
              <w:keepNext w:val="0"/>
              <w:keepLines w:val="0"/>
              <w:widowControl/>
              <w:suppressLineNumbers w:val="0"/>
              <w:spacing w:before="0" w:after="0" w:line="240" w:lineRule="auto"/>
              <w:jc w:val="both"/>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b w:val="0"/>
                <w:sz w:val="20"/>
              </w:rPr>
              <w:t>特定目标类</w:t>
            </w:r>
          </w:p>
        </w:tc>
        <w:tc>
          <w:tcPr>
            <w:tcW w:w="619" w:type="pct"/>
            <w:tcBorders>
              <w:tl2br w:val="nil"/>
              <w:tr2bl w:val="nil"/>
            </w:tcBorders>
            <w:shd w:val="clear" w:color="auto" w:fill="auto"/>
            <w:noWrap/>
            <w:tcMar>
              <w:left w:w="20" w:type="dxa"/>
              <w:right w:w="20" w:type="dxa"/>
            </w:tcMar>
            <w:vAlign w:val="center"/>
          </w:tcPr>
          <w:p>
            <w:pPr>
              <w:spacing w:before="0" w:after="0" w:line="240" w:lineRule="auto"/>
              <w:jc w:val="both"/>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陈加良补贴</w:t>
            </w:r>
          </w:p>
        </w:tc>
        <w:tc>
          <w:tcPr>
            <w:tcW w:w="670" w:type="pct"/>
            <w:tcBorders>
              <w:tl2br w:val="nil"/>
              <w:tr2bl w:val="nil"/>
            </w:tcBorders>
            <w:shd w:val="clear" w:color="auto" w:fill="auto"/>
            <w:noWrap/>
            <w:tcMar>
              <w:left w:w="20" w:type="dxa"/>
              <w:right w:w="20" w:type="dxa"/>
            </w:tcMar>
            <w:vAlign w:val="center"/>
          </w:tcPr>
          <w:p>
            <w:pPr>
              <w:spacing w:before="0" w:after="0" w:line="240" w:lineRule="auto"/>
              <w:jc w:val="both"/>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铜陵市铜官区经济与信息化局本级</w:t>
            </w:r>
          </w:p>
        </w:tc>
        <w:tc>
          <w:tcPr>
            <w:tcW w:w="396"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2.40</w:t>
            </w:r>
          </w:p>
        </w:tc>
        <w:tc>
          <w:tcPr>
            <w:tcW w:w="378"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r>
              <w:rPr>
                <w:rFonts w:ascii="Times New Roman" w:eastAsia="宋体" w:hAnsi="Times New Roman"/>
                <w:b w:val="0"/>
                <w:sz w:val="20"/>
              </w:rPr>
              <w:t>2.40</w:t>
            </w:r>
          </w:p>
        </w:tc>
        <w:tc>
          <w:tcPr>
            <w:tcW w:w="385"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365"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372"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360"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373"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313"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c>
          <w:tcPr>
            <w:tcW w:w="455" w:type="pct"/>
            <w:tcBorders>
              <w:tl2br w:val="nil"/>
              <w:tr2bl w:val="nil"/>
            </w:tcBorders>
            <w:shd w:val="clear" w:color="auto" w:fill="auto"/>
            <w:noWrap/>
            <w:tcMar>
              <w:left w:w="20" w:type="dxa"/>
              <w:right w:w="20" w:type="dxa"/>
            </w:tcMar>
            <w:vAlign w:val="center"/>
          </w:tcPr>
          <w:p>
            <w:pPr>
              <w:spacing w:before="0" w:after="0" w:line="240" w:lineRule="auto"/>
              <w:jc w:val="right"/>
              <w:rPr>
                <w:rFonts w:ascii="Times New Roman" w:eastAsia="宋体" w:hAnsi="Times New Roman" w:cs="宋体" w:hint="eastAsia"/>
                <w:i w:val="0"/>
                <w:iCs w:val="0"/>
                <w:color w:val="000000"/>
                <w:sz w:val="20"/>
                <w:szCs w:val="20"/>
                <w:u w:val="none"/>
              </w:rPr>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880" w:type="dxa"/>
            <w:tcMar>
              <w:left w:w="20" w:type="dxa"/>
              <w:right w:w="20" w:type="dxa"/>
            </w:tcMar>
            <w:vAlign w:val="center"/>
          </w:tcPr>
          <w:p>
            <w:pPr>
              <w:spacing w:before="0" w:after="0" w:line="240" w:lineRule="auto"/>
            </w:pPr>
            <w:r>
              <w:rPr>
                <w:rFonts w:ascii="Times New Roman" w:eastAsia="宋体" w:hAnsi="Times New Roman"/>
                <w:b w:val="0"/>
                <w:sz w:val="20"/>
              </w:rPr>
              <w:t>特定目标类</w:t>
            </w:r>
          </w:p>
        </w:tc>
        <w:tc>
          <w:tcPr>
            <w:tcW w:w="1752" w:type="dxa"/>
            <w:tcMar>
              <w:left w:w="20" w:type="dxa"/>
              <w:right w:w="20" w:type="dxa"/>
            </w:tcMar>
            <w:vAlign w:val="center"/>
          </w:tcPr>
          <w:p>
            <w:pPr>
              <w:spacing w:before="0" w:after="0" w:line="240" w:lineRule="auto"/>
            </w:pPr>
            <w:r>
              <w:rPr>
                <w:rFonts w:ascii="Times New Roman" w:eastAsia="宋体" w:hAnsi="Times New Roman"/>
                <w:b w:val="0"/>
                <w:sz w:val="20"/>
              </w:rPr>
              <w:t>陈加良改制补助</w:t>
            </w:r>
          </w:p>
        </w:tc>
        <w:tc>
          <w:tcPr>
            <w:tcW w:w="1898"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2.40</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2.40</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880" w:type="dxa"/>
            <w:tcMar>
              <w:left w:w="20" w:type="dxa"/>
              <w:right w:w="20" w:type="dxa"/>
            </w:tcMar>
            <w:vAlign w:val="center"/>
          </w:tcPr>
          <w:p>
            <w:pPr>
              <w:spacing w:before="0" w:after="0" w:line="240" w:lineRule="auto"/>
            </w:pPr>
            <w:r>
              <w:rPr>
                <w:rFonts w:ascii="Times New Roman" w:eastAsia="宋体" w:hAnsi="Times New Roman"/>
                <w:b w:val="0"/>
                <w:sz w:val="20"/>
              </w:rPr>
              <w:t>特定目标类</w:t>
            </w:r>
          </w:p>
        </w:tc>
        <w:tc>
          <w:tcPr>
            <w:tcW w:w="1752" w:type="dxa"/>
            <w:tcMar>
              <w:left w:w="20" w:type="dxa"/>
              <w:right w:w="20" w:type="dxa"/>
            </w:tcMar>
            <w:vAlign w:val="center"/>
          </w:tcPr>
          <w:p>
            <w:pPr>
              <w:spacing w:before="0" w:after="0" w:line="240" w:lineRule="auto"/>
            </w:pPr>
            <w:r>
              <w:rPr>
                <w:rFonts w:ascii="Times New Roman" w:eastAsia="宋体" w:hAnsi="Times New Roman"/>
                <w:b w:val="0"/>
                <w:sz w:val="20"/>
              </w:rPr>
              <w:t>纺织用管厂职工社会保险费</w:t>
            </w:r>
          </w:p>
        </w:tc>
        <w:tc>
          <w:tcPr>
            <w:tcW w:w="1898"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16.31</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16.31</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880" w:type="dxa"/>
            <w:tcMar>
              <w:left w:w="20" w:type="dxa"/>
              <w:right w:w="20" w:type="dxa"/>
            </w:tcMar>
            <w:vAlign w:val="center"/>
          </w:tcPr>
          <w:p>
            <w:pPr>
              <w:spacing w:before="0" w:after="0" w:line="240" w:lineRule="auto"/>
            </w:pPr>
            <w:r>
              <w:rPr>
                <w:rFonts w:ascii="Times New Roman" w:eastAsia="宋体" w:hAnsi="Times New Roman"/>
                <w:b w:val="0"/>
                <w:sz w:val="20"/>
              </w:rPr>
              <w:t>特定目标类</w:t>
            </w:r>
          </w:p>
        </w:tc>
        <w:tc>
          <w:tcPr>
            <w:tcW w:w="1752" w:type="dxa"/>
            <w:tcMar>
              <w:left w:w="20" w:type="dxa"/>
              <w:right w:w="20" w:type="dxa"/>
            </w:tcMar>
            <w:vAlign w:val="center"/>
          </w:tcPr>
          <w:p>
            <w:pPr>
              <w:spacing w:before="0" w:after="0" w:line="240" w:lineRule="auto"/>
            </w:pPr>
            <w:r>
              <w:rPr>
                <w:rFonts w:ascii="Times New Roman" w:eastAsia="宋体" w:hAnsi="Times New Roman"/>
                <w:b w:val="0"/>
                <w:sz w:val="20"/>
              </w:rPr>
              <w:t>经济运行与项目谋划、重大项目评审</w:t>
            </w:r>
          </w:p>
        </w:tc>
        <w:tc>
          <w:tcPr>
            <w:tcW w:w="1898"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5.00</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5.00</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880" w:type="dxa"/>
            <w:tcMar>
              <w:left w:w="20" w:type="dxa"/>
              <w:right w:w="20" w:type="dxa"/>
            </w:tcMar>
            <w:vAlign w:val="center"/>
          </w:tcPr>
          <w:p>
            <w:pPr>
              <w:spacing w:before="0" w:after="0" w:line="240" w:lineRule="auto"/>
            </w:pPr>
            <w:r>
              <w:rPr>
                <w:rFonts w:ascii="Times New Roman" w:eastAsia="宋体" w:hAnsi="Times New Roman"/>
                <w:b w:val="0"/>
                <w:sz w:val="20"/>
              </w:rPr>
              <w:t>特定目标类</w:t>
            </w:r>
          </w:p>
        </w:tc>
        <w:tc>
          <w:tcPr>
            <w:tcW w:w="1752" w:type="dxa"/>
            <w:tcMar>
              <w:left w:w="20" w:type="dxa"/>
              <w:right w:w="20" w:type="dxa"/>
            </w:tcMar>
            <w:vAlign w:val="center"/>
          </w:tcPr>
          <w:p>
            <w:pPr>
              <w:spacing w:before="0" w:after="0" w:line="240" w:lineRule="auto"/>
            </w:pPr>
            <w:r>
              <w:rPr>
                <w:rFonts w:ascii="Times New Roman" w:eastAsia="宋体" w:hAnsi="Times New Roman"/>
                <w:b w:val="0"/>
                <w:sz w:val="20"/>
              </w:rPr>
              <w:t>拉丝厂社会保险费</w:t>
            </w:r>
          </w:p>
        </w:tc>
        <w:tc>
          <w:tcPr>
            <w:tcW w:w="1898"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2.92</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2.92</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880" w:type="dxa"/>
            <w:tcMar>
              <w:left w:w="20" w:type="dxa"/>
              <w:right w:w="20" w:type="dxa"/>
            </w:tcMar>
            <w:vAlign w:val="center"/>
          </w:tcPr>
          <w:p>
            <w:pPr>
              <w:spacing w:before="0" w:after="0" w:line="240" w:lineRule="auto"/>
            </w:pPr>
            <w:r>
              <w:rPr>
                <w:rFonts w:ascii="Times New Roman" w:eastAsia="宋体" w:hAnsi="Times New Roman"/>
                <w:b w:val="0"/>
                <w:sz w:val="20"/>
              </w:rPr>
              <w:t>特定目标类</w:t>
            </w:r>
          </w:p>
        </w:tc>
        <w:tc>
          <w:tcPr>
            <w:tcW w:w="1752" w:type="dxa"/>
            <w:tcMar>
              <w:left w:w="20" w:type="dxa"/>
              <w:right w:w="20" w:type="dxa"/>
            </w:tcMar>
            <w:vAlign w:val="center"/>
          </w:tcPr>
          <w:p>
            <w:pPr>
              <w:spacing w:before="0" w:after="0" w:line="240" w:lineRule="auto"/>
            </w:pPr>
            <w:r>
              <w:rPr>
                <w:rFonts w:ascii="Times New Roman" w:eastAsia="宋体" w:hAnsi="Times New Roman"/>
                <w:b w:val="0"/>
                <w:sz w:val="20"/>
              </w:rPr>
              <w:t>立新留守处管理经费</w:t>
            </w:r>
          </w:p>
        </w:tc>
        <w:tc>
          <w:tcPr>
            <w:tcW w:w="1898"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10.00</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10.00</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880" w:type="dxa"/>
            <w:tcMar>
              <w:left w:w="20" w:type="dxa"/>
              <w:right w:w="20" w:type="dxa"/>
            </w:tcMar>
            <w:vAlign w:val="center"/>
          </w:tcPr>
          <w:p>
            <w:pPr>
              <w:spacing w:before="0" w:after="0" w:line="240" w:lineRule="auto"/>
            </w:pPr>
            <w:r>
              <w:rPr>
                <w:rFonts w:ascii="Times New Roman" w:eastAsia="宋体" w:hAnsi="Times New Roman"/>
                <w:b w:val="0"/>
                <w:sz w:val="20"/>
              </w:rPr>
              <w:t>特定目标类</w:t>
            </w:r>
          </w:p>
        </w:tc>
        <w:tc>
          <w:tcPr>
            <w:tcW w:w="1752" w:type="dxa"/>
            <w:tcMar>
              <w:left w:w="20" w:type="dxa"/>
              <w:right w:w="20" w:type="dxa"/>
            </w:tcMar>
            <w:vAlign w:val="center"/>
          </w:tcPr>
          <w:p>
            <w:pPr>
              <w:spacing w:before="0" w:after="0" w:line="240" w:lineRule="auto"/>
            </w:pPr>
            <w:r>
              <w:rPr>
                <w:rFonts w:ascii="Times New Roman" w:eastAsia="宋体" w:hAnsi="Times New Roman"/>
                <w:b w:val="0"/>
                <w:sz w:val="20"/>
              </w:rPr>
              <w:t>刘厥玉工资补差</w:t>
            </w:r>
          </w:p>
        </w:tc>
        <w:tc>
          <w:tcPr>
            <w:tcW w:w="1898"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3.20</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3.20</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880" w:type="dxa"/>
            <w:tcMar>
              <w:left w:w="20" w:type="dxa"/>
              <w:right w:w="20" w:type="dxa"/>
            </w:tcMar>
            <w:vAlign w:val="center"/>
          </w:tcPr>
          <w:p>
            <w:pPr>
              <w:spacing w:before="0" w:after="0" w:line="240" w:lineRule="auto"/>
            </w:pPr>
            <w:r>
              <w:rPr>
                <w:rFonts w:ascii="Times New Roman" w:eastAsia="宋体" w:hAnsi="Times New Roman"/>
                <w:b w:val="0"/>
                <w:sz w:val="20"/>
              </w:rPr>
              <w:t>特定目标类</w:t>
            </w:r>
          </w:p>
        </w:tc>
        <w:tc>
          <w:tcPr>
            <w:tcW w:w="1752" w:type="dxa"/>
            <w:tcMar>
              <w:left w:w="20" w:type="dxa"/>
              <w:right w:w="20" w:type="dxa"/>
            </w:tcMar>
            <w:vAlign w:val="center"/>
          </w:tcPr>
          <w:p>
            <w:pPr>
              <w:spacing w:before="0" w:after="0" w:line="240" w:lineRule="auto"/>
            </w:pPr>
            <w:r>
              <w:rPr>
                <w:rFonts w:ascii="Times New Roman" w:eastAsia="宋体" w:hAnsi="Times New Roman"/>
                <w:b w:val="0"/>
                <w:sz w:val="20"/>
              </w:rPr>
              <w:t>企业改制工作经费</w:t>
            </w:r>
          </w:p>
        </w:tc>
        <w:tc>
          <w:tcPr>
            <w:tcW w:w="1898"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10.00</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10.00</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880" w:type="dxa"/>
            <w:tcMar>
              <w:left w:w="20" w:type="dxa"/>
              <w:right w:w="20" w:type="dxa"/>
            </w:tcMar>
            <w:vAlign w:val="center"/>
          </w:tcPr>
          <w:p>
            <w:pPr>
              <w:spacing w:before="0" w:after="0" w:line="240" w:lineRule="auto"/>
            </w:pPr>
            <w:r>
              <w:rPr>
                <w:rFonts w:ascii="Times New Roman" w:eastAsia="宋体" w:hAnsi="Times New Roman"/>
                <w:b w:val="0"/>
                <w:sz w:val="20"/>
              </w:rPr>
              <w:t>特定目标类</w:t>
            </w:r>
          </w:p>
        </w:tc>
        <w:tc>
          <w:tcPr>
            <w:tcW w:w="1752" w:type="dxa"/>
            <w:tcMar>
              <w:left w:w="20" w:type="dxa"/>
              <w:right w:w="20" w:type="dxa"/>
            </w:tcMar>
            <w:vAlign w:val="center"/>
          </w:tcPr>
          <w:p>
            <w:pPr>
              <w:spacing w:before="0" w:after="0" w:line="240" w:lineRule="auto"/>
            </w:pPr>
            <w:r>
              <w:rPr>
                <w:rFonts w:ascii="Times New Roman" w:eastAsia="宋体" w:hAnsi="Times New Roman"/>
                <w:b w:val="0"/>
                <w:sz w:val="20"/>
              </w:rPr>
              <w:t>三金厂职工社会保险费</w:t>
            </w:r>
          </w:p>
        </w:tc>
        <w:tc>
          <w:tcPr>
            <w:tcW w:w="1898"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88.77</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88.77</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880" w:type="dxa"/>
            <w:tcMar>
              <w:left w:w="20" w:type="dxa"/>
              <w:right w:w="20" w:type="dxa"/>
            </w:tcMar>
            <w:vAlign w:val="center"/>
          </w:tcPr>
          <w:p>
            <w:pPr>
              <w:spacing w:before="0" w:after="0" w:line="240" w:lineRule="auto"/>
            </w:pPr>
            <w:r>
              <w:rPr>
                <w:rFonts w:ascii="Times New Roman" w:eastAsia="宋体" w:hAnsi="Times New Roman"/>
                <w:b w:val="0"/>
                <w:sz w:val="20"/>
              </w:rPr>
              <w:t>特定目标类</w:t>
            </w:r>
          </w:p>
        </w:tc>
        <w:tc>
          <w:tcPr>
            <w:tcW w:w="1752" w:type="dxa"/>
            <w:tcMar>
              <w:left w:w="20" w:type="dxa"/>
              <w:right w:w="20" w:type="dxa"/>
            </w:tcMar>
            <w:vAlign w:val="center"/>
          </w:tcPr>
          <w:p>
            <w:pPr>
              <w:spacing w:before="0" w:after="0" w:line="240" w:lineRule="auto"/>
            </w:pPr>
            <w:r>
              <w:rPr>
                <w:rFonts w:ascii="Times New Roman" w:eastAsia="宋体" w:hAnsi="Times New Roman"/>
                <w:b w:val="0"/>
                <w:sz w:val="20"/>
              </w:rPr>
              <w:t>狮子山改制企业留守站</w:t>
            </w:r>
          </w:p>
        </w:tc>
        <w:tc>
          <w:tcPr>
            <w:tcW w:w="1898"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56.11</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56.11</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880" w:type="dxa"/>
            <w:tcMar>
              <w:left w:w="20" w:type="dxa"/>
              <w:right w:w="20" w:type="dxa"/>
            </w:tcMar>
            <w:vAlign w:val="center"/>
          </w:tcPr>
          <w:p>
            <w:pPr>
              <w:spacing w:before="0" w:after="0" w:line="240" w:lineRule="auto"/>
            </w:pPr>
            <w:r>
              <w:rPr>
                <w:rFonts w:ascii="Times New Roman" w:eastAsia="宋体" w:hAnsi="Times New Roman"/>
                <w:b w:val="0"/>
                <w:sz w:val="20"/>
              </w:rPr>
              <w:t>特定目标类</w:t>
            </w:r>
          </w:p>
        </w:tc>
        <w:tc>
          <w:tcPr>
            <w:tcW w:w="1752" w:type="dxa"/>
            <w:tcMar>
              <w:left w:w="20" w:type="dxa"/>
              <w:right w:w="20" w:type="dxa"/>
            </w:tcMar>
            <w:vAlign w:val="center"/>
          </w:tcPr>
          <w:p>
            <w:pPr>
              <w:spacing w:before="0" w:after="0" w:line="240" w:lineRule="auto"/>
            </w:pPr>
            <w:r>
              <w:rPr>
                <w:rFonts w:ascii="Times New Roman" w:eastAsia="宋体" w:hAnsi="Times New Roman"/>
                <w:b w:val="0"/>
                <w:sz w:val="20"/>
              </w:rPr>
              <w:t>塑料薄膜厂社会保险费</w:t>
            </w:r>
          </w:p>
        </w:tc>
        <w:tc>
          <w:tcPr>
            <w:tcW w:w="1898"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1.23</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1.23</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880" w:type="dxa"/>
            <w:tcMar>
              <w:left w:w="20" w:type="dxa"/>
              <w:right w:w="20" w:type="dxa"/>
            </w:tcMar>
            <w:vAlign w:val="center"/>
          </w:tcPr>
          <w:p>
            <w:pPr>
              <w:spacing w:before="0" w:after="0" w:line="240" w:lineRule="auto"/>
            </w:pPr>
            <w:r>
              <w:rPr>
                <w:rFonts w:ascii="Times New Roman" w:eastAsia="宋体" w:hAnsi="Times New Roman"/>
                <w:b w:val="0"/>
                <w:sz w:val="20"/>
              </w:rPr>
              <w:t>特定目标类</w:t>
            </w:r>
          </w:p>
        </w:tc>
        <w:tc>
          <w:tcPr>
            <w:tcW w:w="1752" w:type="dxa"/>
            <w:tcMar>
              <w:left w:w="20" w:type="dxa"/>
              <w:right w:w="20" w:type="dxa"/>
            </w:tcMar>
            <w:vAlign w:val="center"/>
          </w:tcPr>
          <w:p>
            <w:pPr>
              <w:spacing w:before="0" w:after="0" w:line="240" w:lineRule="auto"/>
            </w:pPr>
            <w:r>
              <w:rPr>
                <w:rFonts w:ascii="Times New Roman" w:eastAsia="宋体" w:hAnsi="Times New Roman"/>
                <w:b w:val="0"/>
                <w:sz w:val="20"/>
              </w:rPr>
              <w:t>五松村资委执行委员会补助及工作经费</w:t>
            </w:r>
          </w:p>
        </w:tc>
        <w:tc>
          <w:tcPr>
            <w:tcW w:w="1898"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13.16</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13.16</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880" w:type="dxa"/>
            <w:tcMar>
              <w:left w:w="20" w:type="dxa"/>
              <w:right w:w="20" w:type="dxa"/>
            </w:tcMar>
            <w:vAlign w:val="center"/>
          </w:tcPr>
          <w:p>
            <w:pPr>
              <w:spacing w:before="0" w:after="0" w:line="240" w:lineRule="auto"/>
            </w:pPr>
            <w:r>
              <w:rPr>
                <w:rFonts w:ascii="Times New Roman" w:eastAsia="宋体" w:hAnsi="Times New Roman"/>
                <w:b w:val="0"/>
                <w:sz w:val="20"/>
              </w:rPr>
              <w:t>特定目标类</w:t>
            </w:r>
          </w:p>
        </w:tc>
        <w:tc>
          <w:tcPr>
            <w:tcW w:w="1752" w:type="dxa"/>
            <w:tcMar>
              <w:left w:w="20" w:type="dxa"/>
              <w:right w:w="20" w:type="dxa"/>
            </w:tcMar>
            <w:vAlign w:val="center"/>
          </w:tcPr>
          <w:p>
            <w:pPr>
              <w:spacing w:before="0" w:after="0" w:line="240" w:lineRule="auto"/>
            </w:pPr>
            <w:r>
              <w:rPr>
                <w:rFonts w:ascii="Times New Roman" w:eastAsia="宋体" w:hAnsi="Times New Roman"/>
                <w:b w:val="0"/>
                <w:sz w:val="20"/>
              </w:rPr>
              <w:t>乡村振兴结对帮扶资金</w:t>
            </w:r>
          </w:p>
        </w:tc>
        <w:tc>
          <w:tcPr>
            <w:tcW w:w="1898"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4.00</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4.00</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880" w:type="dxa"/>
            <w:tcMar>
              <w:left w:w="20" w:type="dxa"/>
              <w:right w:w="20" w:type="dxa"/>
            </w:tcMar>
            <w:vAlign w:val="center"/>
          </w:tcPr>
          <w:p>
            <w:pPr>
              <w:spacing w:before="0" w:after="0" w:line="240" w:lineRule="auto"/>
            </w:pPr>
            <w:r>
              <w:rPr>
                <w:rFonts w:ascii="Times New Roman" w:eastAsia="宋体" w:hAnsi="Times New Roman"/>
                <w:b w:val="0"/>
                <w:sz w:val="20"/>
              </w:rPr>
              <w:t>特定目标类</w:t>
            </w:r>
          </w:p>
        </w:tc>
        <w:tc>
          <w:tcPr>
            <w:tcW w:w="1752" w:type="dxa"/>
            <w:tcMar>
              <w:left w:w="20" w:type="dxa"/>
              <w:right w:w="20" w:type="dxa"/>
            </w:tcMar>
            <w:vAlign w:val="center"/>
          </w:tcPr>
          <w:p>
            <w:pPr>
              <w:spacing w:before="0" w:after="0" w:line="240" w:lineRule="auto"/>
            </w:pPr>
            <w:r>
              <w:rPr>
                <w:rFonts w:ascii="Times New Roman" w:eastAsia="宋体" w:hAnsi="Times New Roman"/>
                <w:b w:val="0"/>
                <w:sz w:val="20"/>
              </w:rPr>
              <w:t>雅园红光旅社五松居民组等工资</w:t>
            </w:r>
          </w:p>
        </w:tc>
        <w:tc>
          <w:tcPr>
            <w:tcW w:w="1898"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17.80</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17.80</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880" w:type="dxa"/>
            <w:tcMar>
              <w:left w:w="20" w:type="dxa"/>
              <w:right w:w="20" w:type="dxa"/>
            </w:tcMar>
            <w:vAlign w:val="center"/>
          </w:tcPr>
          <w:p>
            <w:pPr>
              <w:spacing w:before="0" w:after="0" w:line="240" w:lineRule="auto"/>
            </w:pPr>
            <w:r>
              <w:rPr>
                <w:rFonts w:ascii="Times New Roman" w:eastAsia="宋体" w:hAnsi="Times New Roman"/>
                <w:b w:val="0"/>
                <w:sz w:val="20"/>
              </w:rPr>
              <w:t>特定目标类</w:t>
            </w:r>
          </w:p>
        </w:tc>
        <w:tc>
          <w:tcPr>
            <w:tcW w:w="1752" w:type="dxa"/>
            <w:tcMar>
              <w:left w:w="20" w:type="dxa"/>
              <w:right w:w="20" w:type="dxa"/>
            </w:tcMar>
            <w:vAlign w:val="center"/>
          </w:tcPr>
          <w:p>
            <w:pPr>
              <w:spacing w:before="0" w:after="0" w:line="240" w:lineRule="auto"/>
            </w:pPr>
            <w:r>
              <w:rPr>
                <w:rFonts w:ascii="Times New Roman" w:eastAsia="宋体" w:hAnsi="Times New Roman"/>
                <w:b w:val="0"/>
                <w:sz w:val="20"/>
              </w:rPr>
              <w:t>营商环境专项工作经费</w:t>
            </w:r>
          </w:p>
        </w:tc>
        <w:tc>
          <w:tcPr>
            <w:tcW w:w="1898" w:type="dxa"/>
            <w:tcMar>
              <w:left w:w="20" w:type="dxa"/>
              <w:right w:w="20" w:type="dxa"/>
            </w:tcMar>
            <w:vAlign w:val="center"/>
          </w:tcPr>
          <w:p>
            <w:pPr>
              <w:spacing w:before="0" w:after="0" w:line="240" w:lineRule="auto"/>
            </w:pPr>
            <w:r>
              <w:rPr>
                <w:rFonts w:ascii="Times New Roman" w:eastAsia="宋体" w:hAnsi="Times New Roman"/>
                <w:b w:val="0"/>
                <w:sz w:val="20"/>
              </w:rPr>
              <w:t>铜陵市铜官区经济与信息化局本级</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3.00</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3.00</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4530" w:type="dxa"/>
            <w:gridSpan w:val="3"/>
            <w:tcMar>
              <w:left w:w="20" w:type="dxa"/>
              <w:right w:w="20" w:type="dxa"/>
            </w:tcMar>
            <w:vAlign w:val="center"/>
          </w:tcPr>
          <w:p>
            <w:pPr>
              <w:spacing w:before="0" w:after="0" w:line="240" w:lineRule="auto"/>
              <w:jc w:val="center"/>
            </w:pPr>
            <w:r>
              <w:rPr>
                <w:rFonts w:ascii="Times New Roman" w:eastAsia="宋体" w:hAnsi="Times New Roman"/>
                <w:b/>
                <w:sz w:val="20"/>
              </w:rPr>
              <w:t>合计</w:t>
            </w:r>
          </w:p>
        </w:tc>
        <w:tc>
          <w:tcPr>
            <w:tcW w:w="1122" w:type="dxa"/>
            <w:tcMar>
              <w:left w:w="20" w:type="dxa"/>
              <w:right w:w="20" w:type="dxa"/>
            </w:tcMar>
            <w:vAlign w:val="center"/>
          </w:tcPr>
          <w:p>
            <w:pPr>
              <w:spacing w:before="0" w:after="0" w:line="240" w:lineRule="auto"/>
              <w:jc w:val="right"/>
            </w:pPr>
            <w:r>
              <w:rPr>
                <w:rFonts w:ascii="Times New Roman" w:eastAsia="宋体" w:hAnsi="Times New Roman"/>
                <w:b w:val="0"/>
                <w:sz w:val="20"/>
              </w:rPr>
              <w:t>241.30</w:t>
            </w:r>
          </w:p>
        </w:tc>
        <w:tc>
          <w:tcPr>
            <w:tcW w:w="1071" w:type="dxa"/>
            <w:tcMar>
              <w:left w:w="20" w:type="dxa"/>
              <w:right w:w="20" w:type="dxa"/>
            </w:tcMar>
            <w:vAlign w:val="center"/>
          </w:tcPr>
          <w:p>
            <w:pPr>
              <w:spacing w:before="0" w:after="0" w:line="240" w:lineRule="auto"/>
              <w:jc w:val="right"/>
            </w:pPr>
            <w:r>
              <w:rPr>
                <w:rFonts w:ascii="Times New Roman" w:eastAsia="宋体" w:hAnsi="Times New Roman"/>
                <w:b w:val="0"/>
                <w:sz w:val="20"/>
              </w:rPr>
              <w:t>241.30</w:t>
            </w:r>
          </w:p>
        </w:tc>
        <w:tc>
          <w:tcPr>
            <w:tcW w:w="1091" w:type="dxa"/>
            <w:tcMar>
              <w:left w:w="20" w:type="dxa"/>
              <w:right w:w="20" w:type="dxa"/>
            </w:tcMar>
            <w:vAlign w:val="center"/>
          </w:tcPr>
          <w:p>
            <w:pPr>
              <w:spacing w:before="0" w:after="0" w:line="240" w:lineRule="auto"/>
              <w:jc w:val="right"/>
            </w:pPr>
          </w:p>
        </w:tc>
        <w:tc>
          <w:tcPr>
            <w:tcW w:w="1034" w:type="dxa"/>
            <w:tcMar>
              <w:left w:w="20" w:type="dxa"/>
              <w:right w:w="20" w:type="dxa"/>
            </w:tcMar>
            <w:vAlign w:val="center"/>
          </w:tcPr>
          <w:p>
            <w:pPr>
              <w:spacing w:before="0" w:after="0" w:line="240" w:lineRule="auto"/>
              <w:jc w:val="right"/>
            </w:pPr>
          </w:p>
        </w:tc>
        <w:tc>
          <w:tcPr>
            <w:tcW w:w="1054" w:type="dxa"/>
            <w:tcMar>
              <w:left w:w="20" w:type="dxa"/>
              <w:right w:w="20" w:type="dxa"/>
            </w:tcMar>
            <w:vAlign w:val="center"/>
          </w:tcPr>
          <w:p>
            <w:pPr>
              <w:spacing w:before="0" w:after="0" w:line="240" w:lineRule="auto"/>
              <w:jc w:val="right"/>
            </w:pPr>
          </w:p>
        </w:tc>
        <w:tc>
          <w:tcPr>
            <w:tcW w:w="1020" w:type="dxa"/>
            <w:tcMar>
              <w:left w:w="20" w:type="dxa"/>
              <w:right w:w="20" w:type="dxa"/>
            </w:tcMar>
            <w:vAlign w:val="center"/>
          </w:tcPr>
          <w:p>
            <w:pPr>
              <w:spacing w:before="0" w:after="0" w:line="240" w:lineRule="auto"/>
              <w:jc w:val="right"/>
            </w:pPr>
          </w:p>
        </w:tc>
        <w:tc>
          <w:tcPr>
            <w:tcW w:w="1057" w:type="dxa"/>
            <w:tcMar>
              <w:left w:w="20" w:type="dxa"/>
              <w:right w:w="20" w:type="dxa"/>
            </w:tcMar>
            <w:vAlign w:val="center"/>
          </w:tcPr>
          <w:p>
            <w:pPr>
              <w:spacing w:before="0" w:after="0" w:line="240" w:lineRule="auto"/>
              <w:jc w:val="right"/>
            </w:pPr>
          </w:p>
        </w:tc>
        <w:tc>
          <w:tcPr>
            <w:tcW w:w="887" w:type="dxa"/>
            <w:tcMar>
              <w:left w:w="20" w:type="dxa"/>
              <w:right w:w="20" w:type="dxa"/>
            </w:tcMar>
            <w:vAlign w:val="center"/>
          </w:tcPr>
          <w:p>
            <w:pPr>
              <w:spacing w:before="0" w:after="0" w:line="240" w:lineRule="auto"/>
              <w:jc w:val="right"/>
            </w:pPr>
          </w:p>
        </w:tc>
        <w:tc>
          <w:tcPr>
            <w:tcW w:w="1297" w:type="dxa"/>
            <w:tcMar>
              <w:left w:w="20" w:type="dxa"/>
              <w:right w:w="20" w:type="dxa"/>
            </w:tcMar>
            <w:vAlign w:val="center"/>
          </w:tcPr>
          <w:p>
            <w:pPr>
              <w:spacing w:before="0" w:after="0" w:line="240" w:lineRule="auto"/>
              <w:jc w:val="right"/>
            </w:pPr>
          </w:p>
        </w:tc>
      </w:tr>
    </w:tbl>
    <w:p>
      <w:pPr>
        <w:sectPr>
          <w:pgSz w:w="16838" w:h="11906" w:orient="landscape"/>
          <w:pgMar w:top="1800" w:right="1440" w:bottom="1800" w:left="144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p>
    <w:tbl>
      <w:tblPr>
        <w:tblStyle w:val="TableNormal"/>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1701"/>
        <w:gridCol w:w="1519"/>
        <w:gridCol w:w="934"/>
        <w:gridCol w:w="871"/>
        <w:gridCol w:w="917"/>
        <w:gridCol w:w="869"/>
        <w:gridCol w:w="900"/>
        <w:gridCol w:w="808"/>
      </w:tblGrid>
      <w:tr>
        <w:tblPrEx>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0"/>
          <w:jc w:val="center"/>
        </w:trPr>
        <w:tc>
          <w:tcPr>
            <w:tcW w:w="999" w:type="pct"/>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892" w:type="pct"/>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548" w:type="pct"/>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511" w:type="pct"/>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2048" w:type="pct"/>
            <w:gridSpan w:val="4"/>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eastAsia="zh-CN" w:bidi="ar"/>
              </w:rPr>
            </w:pPr>
            <w:r>
              <w:rPr>
                <w:rFonts w:ascii="Times New Roman" w:eastAsia="宋体" w:hAnsi="Times New Roman" w:cs="宋体" w:hint="eastAsia"/>
                <w:i w:val="0"/>
                <w:iCs w:val="0"/>
                <w:color w:val="000000"/>
                <w:kern w:val="0"/>
                <w:sz w:val="20"/>
                <w:szCs w:val="20"/>
                <w:u w:val="none"/>
                <w:lang w:val="en-US" w:eastAsia="zh-CN" w:bidi="ar"/>
              </w:rPr>
              <w:t>部门</w:t>
            </w:r>
            <w:r>
              <w:rPr>
                <w:rFonts w:ascii="Times New Roman" w:eastAsia="宋体" w:hAnsi="Times New Roman" w:cs="宋体" w:hint="eastAsia"/>
                <w:i w:val="0"/>
                <w:iCs w:val="0"/>
                <w:color w:val="000000"/>
                <w:kern w:val="0"/>
                <w:sz w:val="20"/>
                <w:szCs w:val="20"/>
                <w:u w:val="none"/>
                <w:lang w:val="en-US" w:bidi="ar"/>
              </w:rPr>
              <w:t>公开表10</w:t>
            </w:r>
          </w:p>
        </w:tc>
      </w:tr>
      <w:tr>
        <w:tblPrEx>
          <w:tblW w:w="4998" w:type="pct"/>
          <w:jc w:val="center"/>
          <w:tblInd w:w="0" w:type="dxa"/>
          <w:shd w:val="clear" w:color="auto" w:fill="auto"/>
          <w:tblCellMar>
            <w:top w:w="0" w:type="dxa"/>
            <w:left w:w="108" w:type="dxa"/>
            <w:bottom w:w="0" w:type="dxa"/>
            <w:right w:w="108" w:type="dxa"/>
          </w:tblCellMar>
        </w:tblPrEx>
        <w:trPr>
          <w:trHeight w:val="0"/>
          <w:jc w:val="center"/>
        </w:trPr>
        <w:tc>
          <w:tcPr>
            <w:tcW w:w="5000" w:type="pct"/>
            <w:gridSpan w:val="8"/>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bCs/>
                <w:kern w:val="0"/>
                <w:sz w:val="32"/>
                <w:szCs w:val="32"/>
                <w:lang w:val="en-US" w:eastAsia="zh-CN"/>
              </w:rPr>
              <w:t>铜陵市铜官区经济与信息化局2024</w:t>
            </w:r>
            <w:r>
              <w:rPr>
                <w:rFonts w:ascii="Times New Roman" w:eastAsia="宋体" w:hAnsi="Times New Roman" w:cs="宋体" w:hint="eastAsia"/>
                <w:b/>
                <w:bCs/>
                <w:kern w:val="0"/>
                <w:sz w:val="32"/>
                <w:szCs w:val="32"/>
                <w:lang w:val="en-US"/>
              </w:rPr>
              <w:t>年政府采购支出表</w:t>
            </w:r>
          </w:p>
        </w:tc>
      </w:tr>
      <w:tr>
        <w:tblPrEx>
          <w:tblW w:w="4998" w:type="pct"/>
          <w:jc w:val="center"/>
          <w:tblInd w:w="0" w:type="dxa"/>
          <w:shd w:val="clear" w:color="auto" w:fill="auto"/>
          <w:tblCellMar>
            <w:top w:w="0" w:type="dxa"/>
            <w:left w:w="108" w:type="dxa"/>
            <w:bottom w:w="0" w:type="dxa"/>
            <w:right w:w="108" w:type="dxa"/>
          </w:tblCellMar>
        </w:tblPrEx>
        <w:trPr>
          <w:trHeight w:val="0"/>
          <w:jc w:val="center"/>
        </w:trPr>
        <w:tc>
          <w:tcPr>
            <w:tcW w:w="999"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892"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548"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511"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538"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510" w:type="pct"/>
            <w:gridSpan w:val="3"/>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val="0"/>
                <w:bCs w:val="0"/>
                <w:i w:val="0"/>
                <w:iCs w:val="0"/>
                <w:color w:val="000000"/>
                <w:kern w:val="0"/>
                <w:sz w:val="20"/>
                <w:szCs w:val="20"/>
                <w:u w:val="none"/>
                <w:lang w:val="en-US" w:bidi="ar"/>
              </w:rPr>
              <w:t>单位</w:t>
            </w:r>
            <w:r>
              <w:rPr>
                <w:rFonts w:ascii="Times New Roman" w:eastAsia="宋体" w:hAnsi="Times New Roman" w:cs="宋体" w:hint="eastAsia"/>
                <w:b w:val="0"/>
                <w:bCs w:val="0"/>
                <w:i w:val="0"/>
                <w:iCs w:val="0"/>
                <w:color w:val="000000"/>
                <w:kern w:val="0"/>
                <w:sz w:val="20"/>
                <w:szCs w:val="20"/>
                <w:u w:val="none"/>
                <w:lang w:bidi="ar"/>
              </w:rPr>
              <w:t>：</w:t>
            </w:r>
            <w:r>
              <w:rPr>
                <w:rFonts w:ascii="Times New Roman" w:eastAsia="宋体" w:hAnsi="Times New Roman" w:cs="宋体" w:hint="eastAsia"/>
                <w:b w:val="0"/>
                <w:bCs w:val="0"/>
                <w:i w:val="0"/>
                <w:iCs w:val="0"/>
                <w:color w:val="000000"/>
                <w:kern w:val="0"/>
                <w:sz w:val="20"/>
                <w:szCs w:val="20"/>
                <w:u w:val="none"/>
                <w:lang w:val="en-US" w:bidi="ar"/>
              </w:rPr>
              <w:t>万元</w:t>
            </w:r>
          </w:p>
        </w:tc>
      </w:tr>
      <w:tr>
        <w:tblPrEx>
          <w:tblW w:w="4998" w:type="pct"/>
          <w:jc w:val="center"/>
          <w:tblInd w:w="0" w:type="dxa"/>
          <w:shd w:val="clear" w:color="auto" w:fill="auto"/>
          <w:tblCellMar>
            <w:top w:w="0" w:type="dxa"/>
            <w:left w:w="108" w:type="dxa"/>
            <w:bottom w:w="0" w:type="dxa"/>
            <w:right w:w="108" w:type="dxa"/>
          </w:tblCellMar>
        </w:tblPrEx>
        <w:trPr>
          <w:trHeight w:val="0"/>
          <w:jc w:val="center"/>
        </w:trPr>
        <w:tc>
          <w:tcPr>
            <w:tcW w:w="999"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项目名称</w:t>
            </w:r>
          </w:p>
        </w:tc>
        <w:tc>
          <w:tcPr>
            <w:tcW w:w="892"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政府采购品目</w:t>
            </w:r>
          </w:p>
        </w:tc>
        <w:tc>
          <w:tcPr>
            <w:tcW w:w="548"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合计</w:t>
            </w:r>
          </w:p>
        </w:tc>
        <w:tc>
          <w:tcPr>
            <w:tcW w:w="511"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一般公共预算</w:t>
            </w:r>
          </w:p>
        </w:tc>
        <w:tc>
          <w:tcPr>
            <w:tcW w:w="538"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政府性基金预算</w:t>
            </w:r>
          </w:p>
        </w:tc>
        <w:tc>
          <w:tcPr>
            <w:tcW w:w="510"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国有资本经营预算</w:t>
            </w:r>
          </w:p>
        </w:tc>
        <w:tc>
          <w:tcPr>
            <w:tcW w:w="528"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财政专户管理资金</w:t>
            </w:r>
          </w:p>
        </w:tc>
        <w:tc>
          <w:tcPr>
            <w:tcW w:w="471"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单位资金</w:t>
            </w:r>
          </w:p>
        </w:tc>
      </w:tr>
      <w:tr>
        <w:tblPrEx>
          <w:tblW w:w="4998" w:type="pct"/>
          <w:jc w:val="center"/>
          <w:tblInd w:w="0" w:type="dxa"/>
          <w:shd w:val="clear" w:color="auto" w:fill="auto"/>
          <w:tblCellMar>
            <w:top w:w="0" w:type="dxa"/>
            <w:left w:w="108" w:type="dxa"/>
            <w:bottom w:w="0" w:type="dxa"/>
            <w:right w:w="108" w:type="dxa"/>
          </w:tblCellMar>
        </w:tblPrEx>
        <w:trPr>
          <w:trHeight w:val="0"/>
          <w:jc w:val="center"/>
        </w:trPr>
        <w:tc>
          <w:tcPr>
            <w:tcW w:w="999" w:type="pct"/>
            <w:tcBorders>
              <w:tl2br w:val="nil"/>
              <w:tr2bl w:val="nil"/>
            </w:tcBorders>
            <w:shd w:val="clear" w:color="auto" w:fill="auto"/>
            <w:vAlign w:val="center"/>
          </w:tcPr>
          <w:p>
            <w:pPr>
              <w:keepNext w:val="0"/>
              <w:keepLines w:val="0"/>
              <w:widowControl/>
              <w:suppressLineNumbers w:val="0"/>
              <w:spacing w:before="0" w:after="0"/>
              <w:jc w:val="both"/>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合计</w:t>
            </w:r>
          </w:p>
        </w:tc>
        <w:tc>
          <w:tcPr>
            <w:tcW w:w="892" w:type="pct"/>
            <w:tcBorders>
              <w:tl2br w:val="nil"/>
              <w:tr2bl w:val="nil"/>
            </w:tcBorders>
            <w:shd w:val="clear" w:color="auto" w:fill="auto"/>
            <w:vAlign w:val="center"/>
          </w:tcPr>
          <w:p>
            <w:pPr>
              <w:spacing w:before="0" w:after="0"/>
              <w:jc w:val="both"/>
              <w:rPr>
                <w:rFonts w:ascii="Times New Roman" w:eastAsia="宋体" w:hAnsi="Times New Roman" w:cs="宋体" w:hint="eastAsia"/>
                <w:i w:val="0"/>
                <w:iCs w:val="0"/>
                <w:color w:val="000000"/>
                <w:sz w:val="20"/>
                <w:szCs w:val="20"/>
                <w:u w:val="none"/>
              </w:rPr>
            </w:pPr>
          </w:p>
        </w:tc>
        <w:tc>
          <w:tcPr>
            <w:tcW w:w="548" w:type="pct"/>
            <w:tcBorders>
              <w:tl2br w:val="nil"/>
              <w:tr2bl w:val="nil"/>
            </w:tcBorders>
            <w:shd w:val="clear" w:color="auto" w:fill="auto"/>
            <w:vAlign w:val="center"/>
          </w:tcPr>
          <w:p>
            <w:pPr>
              <w:spacing w:before="0" w:after="0"/>
              <w:jc w:val="right"/>
              <w:rPr>
                <w:rFonts w:ascii="Times New Roman" w:eastAsia="宋体" w:hAnsi="Times New Roman" w:cs="宋体" w:hint="eastAsia"/>
                <w:i w:val="0"/>
                <w:iCs w:val="0"/>
                <w:color w:val="000000"/>
                <w:sz w:val="20"/>
                <w:szCs w:val="20"/>
                <w:u w:val="none"/>
              </w:rPr>
            </w:pPr>
          </w:p>
        </w:tc>
        <w:tc>
          <w:tcPr>
            <w:tcW w:w="511" w:type="pct"/>
            <w:tcBorders>
              <w:tl2br w:val="nil"/>
              <w:tr2bl w:val="nil"/>
            </w:tcBorders>
            <w:shd w:val="clear" w:color="auto" w:fill="auto"/>
            <w:vAlign w:val="center"/>
          </w:tcPr>
          <w:p>
            <w:pPr>
              <w:spacing w:before="0" w:after="0"/>
              <w:jc w:val="right"/>
              <w:rPr>
                <w:rFonts w:ascii="Times New Roman" w:eastAsia="宋体" w:hAnsi="Times New Roman" w:cs="宋体" w:hint="eastAsia"/>
                <w:i w:val="0"/>
                <w:iCs w:val="0"/>
                <w:color w:val="000000"/>
                <w:sz w:val="20"/>
                <w:szCs w:val="20"/>
                <w:u w:val="none"/>
              </w:rPr>
            </w:pPr>
          </w:p>
        </w:tc>
        <w:tc>
          <w:tcPr>
            <w:tcW w:w="538" w:type="pct"/>
            <w:tcBorders>
              <w:tl2br w:val="nil"/>
              <w:tr2bl w:val="nil"/>
            </w:tcBorders>
            <w:shd w:val="clear" w:color="auto" w:fill="auto"/>
            <w:vAlign w:val="center"/>
          </w:tcPr>
          <w:p>
            <w:pPr>
              <w:spacing w:before="0" w:after="0"/>
              <w:jc w:val="right"/>
              <w:rPr>
                <w:rFonts w:ascii="Times New Roman" w:eastAsia="宋体" w:hAnsi="Times New Roman" w:cs="宋体" w:hint="eastAsia"/>
                <w:i w:val="0"/>
                <w:iCs w:val="0"/>
                <w:color w:val="000000"/>
                <w:sz w:val="20"/>
                <w:szCs w:val="20"/>
                <w:u w:val="none"/>
              </w:rPr>
            </w:pPr>
          </w:p>
        </w:tc>
        <w:tc>
          <w:tcPr>
            <w:tcW w:w="510" w:type="pct"/>
            <w:tcBorders>
              <w:tl2br w:val="nil"/>
              <w:tr2bl w:val="nil"/>
            </w:tcBorders>
            <w:shd w:val="clear" w:color="auto" w:fill="auto"/>
            <w:vAlign w:val="center"/>
          </w:tcPr>
          <w:p>
            <w:pPr>
              <w:spacing w:before="0" w:after="0"/>
              <w:jc w:val="right"/>
              <w:rPr>
                <w:rFonts w:ascii="Times New Roman" w:eastAsia="宋体" w:hAnsi="Times New Roman" w:cs="宋体" w:hint="eastAsia"/>
                <w:i w:val="0"/>
                <w:iCs w:val="0"/>
                <w:color w:val="000000"/>
                <w:sz w:val="20"/>
                <w:szCs w:val="20"/>
                <w:u w:val="none"/>
              </w:rPr>
            </w:pPr>
          </w:p>
        </w:tc>
        <w:tc>
          <w:tcPr>
            <w:tcW w:w="528" w:type="pct"/>
            <w:tcBorders>
              <w:tl2br w:val="nil"/>
              <w:tr2bl w:val="nil"/>
            </w:tcBorders>
            <w:shd w:val="clear" w:color="auto" w:fill="auto"/>
            <w:vAlign w:val="center"/>
          </w:tcPr>
          <w:p>
            <w:pPr>
              <w:spacing w:before="0" w:after="0"/>
              <w:jc w:val="right"/>
              <w:rPr>
                <w:rFonts w:ascii="Times New Roman" w:eastAsia="宋体" w:hAnsi="Times New Roman" w:cs="宋体" w:hint="eastAsia"/>
                <w:i w:val="0"/>
                <w:iCs w:val="0"/>
                <w:color w:val="000000"/>
                <w:sz w:val="20"/>
                <w:szCs w:val="20"/>
                <w:u w:val="none"/>
              </w:rPr>
            </w:pPr>
          </w:p>
        </w:tc>
        <w:tc>
          <w:tcPr>
            <w:tcW w:w="471" w:type="pct"/>
            <w:tcBorders>
              <w:tl2br w:val="nil"/>
              <w:tr2bl w:val="nil"/>
            </w:tcBorders>
            <w:shd w:val="clear" w:color="auto" w:fill="auto"/>
            <w:vAlign w:val="center"/>
          </w:tcPr>
          <w:p>
            <w:pPr>
              <w:spacing w:before="0" w:after="0"/>
              <w:jc w:val="right"/>
              <w:rPr>
                <w:rFonts w:ascii="Times New Roman" w:eastAsia="宋体" w:hAnsi="Times New Roman" w:cs="宋体" w:hint="eastAsia"/>
                <w:i w:val="0"/>
                <w:iCs w:val="0"/>
                <w:color w:val="000000"/>
                <w:sz w:val="20"/>
                <w:szCs w:val="20"/>
                <w:u w:val="none"/>
              </w:rPr>
            </w:pPr>
          </w:p>
        </w:tc>
      </w:tr>
    </w:tbl>
    <w:p>
      <w:pPr>
        <w:numPr>
          <w:ilvl w:val="0"/>
          <w:numId w:val="0"/>
        </w:numPr>
        <w:jc w:val="both"/>
        <w:rPr>
          <w:rFonts w:ascii="Times New Roman" w:eastAsia="仿宋_GB2312" w:hAnsi="Times New Roman" w:cs="仿宋_GB2312" w:hint="eastAsia"/>
          <w:b w:val="0"/>
          <w:bCs w:val="0"/>
          <w:sz w:val="20"/>
          <w:szCs w:val="20"/>
          <w:lang w:val="en-US"/>
        </w:rPr>
        <w:sectPr>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Times New Roman" w:eastAsia="仿宋_GB2312" w:hAnsi="Times New Roman" w:cs="仿宋_GB2312" w:hint="eastAsia"/>
          <w:b w:val="0"/>
          <w:bCs w:val="0"/>
          <w:sz w:val="20"/>
          <w:szCs w:val="20"/>
          <w:lang w:val="en-US"/>
        </w:rPr>
        <w:t>注：铜陵市铜官区经济与信息化局没有使用一般公共预算拨款、政府性基金预算拨款、国有资本经营预算拨款、财政专户管理资金和单位资金安排的政府采购支出，故本表无数据。</w:t>
      </w:r>
    </w:p>
    <w:tbl>
      <w:tblPr>
        <w:tblStyle w:val="TableNormal"/>
        <w:tblW w:w="4996"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2543"/>
        <w:gridCol w:w="2367"/>
        <w:gridCol w:w="2235"/>
        <w:gridCol w:w="2394"/>
        <w:gridCol w:w="2241"/>
        <w:gridCol w:w="1023"/>
        <w:gridCol w:w="1360"/>
      </w:tblGrid>
      <w:tr>
        <w:tblPrEx>
          <w:tblW w:w="4996"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0"/>
          <w:jc w:val="center"/>
        </w:trPr>
        <w:tc>
          <w:tcPr>
            <w:tcW w:w="898" w:type="pct"/>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836" w:type="pct"/>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789" w:type="pct"/>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845" w:type="pct"/>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1630" w:type="pct"/>
            <w:gridSpan w:val="3"/>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eastAsia="zh-CN" w:bidi="ar"/>
              </w:rPr>
            </w:pPr>
            <w:r>
              <w:rPr>
                <w:rFonts w:ascii="Times New Roman" w:eastAsia="宋体" w:hAnsi="Times New Roman" w:cs="宋体" w:hint="eastAsia"/>
                <w:i w:val="0"/>
                <w:iCs w:val="0"/>
                <w:color w:val="000000"/>
                <w:kern w:val="0"/>
                <w:sz w:val="20"/>
                <w:szCs w:val="20"/>
                <w:u w:val="none"/>
                <w:lang w:val="en-US" w:eastAsia="zh-CN" w:bidi="ar"/>
              </w:rPr>
              <w:t>部门</w:t>
            </w:r>
            <w:r>
              <w:rPr>
                <w:rFonts w:ascii="Times New Roman" w:eastAsia="宋体" w:hAnsi="Times New Roman" w:cs="宋体" w:hint="eastAsia"/>
                <w:i w:val="0"/>
                <w:iCs w:val="0"/>
                <w:color w:val="000000"/>
                <w:kern w:val="0"/>
                <w:sz w:val="20"/>
                <w:szCs w:val="20"/>
                <w:u w:val="none"/>
                <w:lang w:val="en-US" w:bidi="ar"/>
              </w:rPr>
              <w:t>公开表11</w:t>
            </w:r>
          </w:p>
        </w:tc>
      </w:tr>
      <w:tr>
        <w:tblPrEx>
          <w:tblW w:w="4996" w:type="pct"/>
          <w:jc w:val="center"/>
          <w:tblInd w:w="0" w:type="dxa"/>
          <w:shd w:val="clear" w:color="auto" w:fill="auto"/>
          <w:tblCellMar>
            <w:top w:w="0" w:type="dxa"/>
            <w:left w:w="108" w:type="dxa"/>
            <w:bottom w:w="0" w:type="dxa"/>
            <w:right w:w="108" w:type="dxa"/>
          </w:tblCellMar>
        </w:tblPrEx>
        <w:trPr>
          <w:trHeight w:val="0"/>
          <w:jc w:val="center"/>
        </w:trPr>
        <w:tc>
          <w:tcPr>
            <w:tcW w:w="5000" w:type="pct"/>
            <w:gridSpan w:val="7"/>
            <w:tcBorders>
              <w:top w:val="nil"/>
              <w:left w:val="nil"/>
              <w:bottom w:val="nil"/>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bCs/>
                <w:kern w:val="0"/>
                <w:sz w:val="32"/>
                <w:szCs w:val="32"/>
                <w:lang w:val="en-US" w:eastAsia="zh-CN"/>
              </w:rPr>
              <w:t>铜陵市铜官区经济与信息化局2024</w:t>
            </w:r>
            <w:r>
              <w:rPr>
                <w:rFonts w:ascii="Times New Roman" w:eastAsia="宋体" w:hAnsi="Times New Roman" w:cs="宋体" w:hint="eastAsia"/>
                <w:b/>
                <w:bCs/>
                <w:kern w:val="0"/>
                <w:sz w:val="32"/>
                <w:szCs w:val="32"/>
                <w:lang w:val="en-US"/>
              </w:rPr>
              <w:t>年政府购买服务支出表</w:t>
            </w:r>
          </w:p>
        </w:tc>
      </w:tr>
      <w:tr>
        <w:tblPrEx>
          <w:tblW w:w="4996" w:type="pct"/>
          <w:jc w:val="center"/>
          <w:tblInd w:w="0" w:type="dxa"/>
          <w:shd w:val="clear" w:color="auto" w:fill="auto"/>
          <w:tblCellMar>
            <w:top w:w="0" w:type="dxa"/>
            <w:left w:w="108" w:type="dxa"/>
            <w:bottom w:w="0" w:type="dxa"/>
            <w:right w:w="108" w:type="dxa"/>
          </w:tblCellMar>
        </w:tblPrEx>
        <w:trPr>
          <w:trHeight w:val="0"/>
          <w:jc w:val="center"/>
        </w:trPr>
        <w:tc>
          <w:tcPr>
            <w:tcW w:w="898"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836"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789"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845"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791" w:type="pct"/>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kern w:val="0"/>
                <w:sz w:val="20"/>
                <w:szCs w:val="20"/>
                <w:u w:val="none"/>
                <w:lang w:val="en-US" w:eastAsia="zh-CN" w:bidi="ar"/>
              </w:rPr>
            </w:pPr>
          </w:p>
        </w:tc>
        <w:tc>
          <w:tcPr>
            <w:tcW w:w="839" w:type="pct"/>
            <w:gridSpan w:val="2"/>
            <w:tcBorders>
              <w:top w:val="nil"/>
              <w:left w:val="nil"/>
              <w:bottom w:val="single" w:sz="4" w:space="0" w:color="auto"/>
              <w:right w:val="nil"/>
              <w:tl2br w:val="nil"/>
              <w:tr2bl w:val="nil"/>
            </w:tcBorders>
            <w:shd w:val="clear" w:color="auto" w:fill="auto"/>
            <w:vAlign w:val="center"/>
          </w:tcPr>
          <w:p>
            <w:pPr>
              <w:keepNext w:val="0"/>
              <w:keepLines w:val="0"/>
              <w:widowControl/>
              <w:suppressLineNumbers w:val="0"/>
              <w:spacing w:before="0" w:after="0"/>
              <w:jc w:val="right"/>
              <w:textAlignment w:val="center"/>
              <w:rPr>
                <w:rFonts w:ascii="Times New Roman" w:eastAsia="宋体" w:hAnsi="Times New Roman" w:cs="宋体" w:hint="eastAsia"/>
                <w:b/>
                <w:bCs/>
                <w:i w:val="0"/>
                <w:iCs w:val="0"/>
                <w:color w:val="000000"/>
                <w:kern w:val="0"/>
                <w:sz w:val="20"/>
                <w:szCs w:val="20"/>
                <w:u w:val="none"/>
                <w:lang w:val="en-US" w:eastAsia="zh-CN" w:bidi="ar"/>
              </w:rPr>
            </w:pPr>
            <w:r>
              <w:rPr>
                <w:rFonts w:ascii="Times New Roman" w:eastAsia="宋体" w:hAnsi="Times New Roman" w:cs="宋体" w:hint="eastAsia"/>
                <w:b w:val="0"/>
                <w:bCs w:val="0"/>
                <w:i w:val="0"/>
                <w:iCs w:val="0"/>
                <w:color w:val="000000"/>
                <w:kern w:val="0"/>
                <w:sz w:val="20"/>
                <w:szCs w:val="20"/>
                <w:u w:val="none"/>
                <w:lang w:val="en-US" w:bidi="ar"/>
              </w:rPr>
              <w:t>单位</w:t>
            </w:r>
            <w:r>
              <w:rPr>
                <w:rFonts w:ascii="Times New Roman" w:eastAsia="宋体" w:hAnsi="Times New Roman" w:cs="宋体" w:hint="eastAsia"/>
                <w:b w:val="0"/>
                <w:bCs w:val="0"/>
                <w:i w:val="0"/>
                <w:iCs w:val="0"/>
                <w:color w:val="000000"/>
                <w:kern w:val="0"/>
                <w:sz w:val="20"/>
                <w:szCs w:val="20"/>
                <w:u w:val="none"/>
                <w:lang w:bidi="ar"/>
              </w:rPr>
              <w:t>：</w:t>
            </w:r>
            <w:r>
              <w:rPr>
                <w:rFonts w:ascii="Times New Roman" w:eastAsia="宋体" w:hAnsi="Times New Roman" w:cs="宋体" w:hint="eastAsia"/>
                <w:b w:val="0"/>
                <w:bCs w:val="0"/>
                <w:i w:val="0"/>
                <w:iCs w:val="0"/>
                <w:color w:val="000000"/>
                <w:kern w:val="0"/>
                <w:sz w:val="20"/>
                <w:szCs w:val="20"/>
                <w:u w:val="none"/>
                <w:lang w:val="en-US" w:bidi="ar"/>
              </w:rPr>
              <w:t>万元</w:t>
            </w:r>
          </w:p>
        </w:tc>
      </w:tr>
      <w:tr>
        <w:tblPrEx>
          <w:tblW w:w="4996" w:type="pct"/>
          <w:jc w:val="center"/>
          <w:tblInd w:w="0" w:type="dxa"/>
          <w:shd w:val="clear" w:color="auto" w:fill="auto"/>
          <w:tblCellMar>
            <w:top w:w="0" w:type="dxa"/>
            <w:left w:w="108" w:type="dxa"/>
            <w:bottom w:w="0" w:type="dxa"/>
            <w:right w:w="108" w:type="dxa"/>
          </w:tblCellMar>
        </w:tblPrEx>
        <w:trPr>
          <w:trHeight w:val="0"/>
          <w:jc w:val="center"/>
        </w:trPr>
        <w:tc>
          <w:tcPr>
            <w:tcW w:w="898"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项目名称</w:t>
            </w:r>
          </w:p>
        </w:tc>
        <w:tc>
          <w:tcPr>
            <w:tcW w:w="836"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一级目录名称</w:t>
            </w:r>
          </w:p>
        </w:tc>
        <w:tc>
          <w:tcPr>
            <w:tcW w:w="789"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二级目录名称</w:t>
            </w:r>
          </w:p>
        </w:tc>
        <w:tc>
          <w:tcPr>
            <w:tcW w:w="845"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三级目录名称</w:t>
            </w:r>
          </w:p>
        </w:tc>
        <w:tc>
          <w:tcPr>
            <w:tcW w:w="791"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政府购买服务内容</w:t>
            </w:r>
          </w:p>
        </w:tc>
        <w:tc>
          <w:tcPr>
            <w:tcW w:w="361"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购买数量</w:t>
            </w:r>
          </w:p>
        </w:tc>
        <w:tc>
          <w:tcPr>
            <w:tcW w:w="478" w:type="pct"/>
            <w:tcBorders>
              <w:top w:val="single" w:sz="4" w:space="0" w:color="auto"/>
              <w:tl2br w:val="nil"/>
              <w:tr2bl w:val="nil"/>
            </w:tcBorders>
            <w:shd w:val="clear" w:color="auto" w:fill="auto"/>
            <w:vAlign w:val="center"/>
          </w:tcPr>
          <w:p>
            <w:pPr>
              <w:keepNext w:val="0"/>
              <w:keepLines w:val="0"/>
              <w:widowControl/>
              <w:suppressLineNumbers w:val="0"/>
              <w:spacing w:before="0" w:after="0"/>
              <w:jc w:val="center"/>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购买金额</w:t>
            </w:r>
          </w:p>
        </w:tc>
      </w:tr>
      <w:tr>
        <w:tblPrEx>
          <w:tblW w:w="4996" w:type="pct"/>
          <w:jc w:val="center"/>
          <w:tblInd w:w="0" w:type="dxa"/>
          <w:shd w:val="clear" w:color="auto" w:fill="auto"/>
          <w:tblCellMar>
            <w:top w:w="0" w:type="dxa"/>
            <w:left w:w="108" w:type="dxa"/>
            <w:bottom w:w="0" w:type="dxa"/>
            <w:right w:w="108" w:type="dxa"/>
          </w:tblCellMar>
        </w:tblPrEx>
        <w:trPr>
          <w:trHeight w:val="0"/>
          <w:jc w:val="center"/>
        </w:trPr>
        <w:tc>
          <w:tcPr>
            <w:tcW w:w="898" w:type="pct"/>
            <w:tcBorders>
              <w:tl2br w:val="nil"/>
              <w:tr2bl w:val="nil"/>
            </w:tcBorders>
            <w:shd w:val="clear" w:color="auto" w:fill="auto"/>
            <w:vAlign w:val="center"/>
          </w:tcPr>
          <w:p>
            <w:pPr>
              <w:keepNext w:val="0"/>
              <w:keepLines w:val="0"/>
              <w:widowControl/>
              <w:suppressLineNumbers w:val="0"/>
              <w:spacing w:before="0" w:after="0"/>
              <w:jc w:val="both"/>
              <w:textAlignment w:val="center"/>
              <w:rPr>
                <w:rFonts w:ascii="Times New Roman" w:eastAsia="宋体" w:hAnsi="Times New Roman" w:cs="宋体" w:hint="eastAsia"/>
                <w:b/>
                <w:bCs/>
                <w:i w:val="0"/>
                <w:iCs w:val="0"/>
                <w:color w:val="000000"/>
                <w:sz w:val="20"/>
                <w:szCs w:val="20"/>
                <w:u w:val="none"/>
              </w:rPr>
            </w:pPr>
            <w:r>
              <w:rPr>
                <w:rFonts w:ascii="Times New Roman" w:eastAsia="宋体" w:hAnsi="Times New Roman" w:cs="宋体" w:hint="eastAsia"/>
                <w:b/>
                <w:bCs/>
                <w:i w:val="0"/>
                <w:iCs w:val="0"/>
                <w:color w:val="000000"/>
                <w:kern w:val="0"/>
                <w:sz w:val="20"/>
                <w:szCs w:val="20"/>
                <w:u w:val="none"/>
                <w:lang w:val="en-US" w:eastAsia="zh-CN" w:bidi="ar"/>
              </w:rPr>
              <w:t>合计</w:t>
            </w:r>
          </w:p>
        </w:tc>
        <w:tc>
          <w:tcPr>
            <w:tcW w:w="836" w:type="pct"/>
            <w:tcBorders>
              <w:tl2br w:val="nil"/>
              <w:tr2bl w:val="nil"/>
            </w:tcBorders>
            <w:shd w:val="clear" w:color="auto" w:fill="auto"/>
            <w:vAlign w:val="center"/>
          </w:tcPr>
          <w:p>
            <w:pPr>
              <w:spacing w:before="0" w:after="0"/>
              <w:jc w:val="both"/>
              <w:rPr>
                <w:rFonts w:ascii="Times New Roman" w:eastAsia="宋体" w:hAnsi="Times New Roman" w:cs="宋体" w:hint="eastAsia"/>
                <w:i w:val="0"/>
                <w:iCs w:val="0"/>
                <w:color w:val="000000"/>
                <w:sz w:val="20"/>
                <w:szCs w:val="20"/>
                <w:u w:val="none"/>
              </w:rPr>
            </w:pPr>
          </w:p>
        </w:tc>
        <w:tc>
          <w:tcPr>
            <w:tcW w:w="789" w:type="pct"/>
            <w:tcBorders>
              <w:tl2br w:val="nil"/>
              <w:tr2bl w:val="nil"/>
            </w:tcBorders>
            <w:shd w:val="clear" w:color="auto" w:fill="auto"/>
            <w:vAlign w:val="center"/>
          </w:tcPr>
          <w:p>
            <w:pPr>
              <w:spacing w:before="0" w:after="0"/>
              <w:jc w:val="both"/>
              <w:rPr>
                <w:rFonts w:ascii="Times New Roman" w:eastAsia="宋体" w:hAnsi="Times New Roman" w:cs="宋体" w:hint="eastAsia"/>
                <w:i w:val="0"/>
                <w:iCs w:val="0"/>
                <w:color w:val="000000"/>
                <w:sz w:val="20"/>
                <w:szCs w:val="20"/>
                <w:u w:val="none"/>
              </w:rPr>
            </w:pPr>
          </w:p>
        </w:tc>
        <w:tc>
          <w:tcPr>
            <w:tcW w:w="845" w:type="pct"/>
            <w:tcBorders>
              <w:tl2br w:val="nil"/>
              <w:tr2bl w:val="nil"/>
            </w:tcBorders>
            <w:shd w:val="clear" w:color="auto" w:fill="auto"/>
            <w:vAlign w:val="center"/>
          </w:tcPr>
          <w:p>
            <w:pPr>
              <w:spacing w:before="0" w:after="0"/>
              <w:jc w:val="both"/>
              <w:rPr>
                <w:rFonts w:ascii="Times New Roman" w:eastAsia="宋体" w:hAnsi="Times New Roman" w:cs="宋体" w:hint="eastAsia"/>
                <w:i w:val="0"/>
                <w:iCs w:val="0"/>
                <w:color w:val="000000"/>
                <w:sz w:val="20"/>
                <w:szCs w:val="20"/>
                <w:u w:val="none"/>
              </w:rPr>
            </w:pPr>
          </w:p>
        </w:tc>
        <w:tc>
          <w:tcPr>
            <w:tcW w:w="791" w:type="pct"/>
            <w:tcBorders>
              <w:tl2br w:val="nil"/>
              <w:tr2bl w:val="nil"/>
            </w:tcBorders>
            <w:shd w:val="clear" w:color="auto" w:fill="auto"/>
            <w:vAlign w:val="center"/>
          </w:tcPr>
          <w:p>
            <w:pPr>
              <w:spacing w:before="0" w:after="0"/>
              <w:jc w:val="both"/>
              <w:rPr>
                <w:rFonts w:ascii="Times New Roman" w:eastAsia="宋体" w:hAnsi="Times New Roman" w:cs="宋体" w:hint="eastAsia"/>
                <w:i w:val="0"/>
                <w:iCs w:val="0"/>
                <w:color w:val="000000"/>
                <w:sz w:val="20"/>
                <w:szCs w:val="20"/>
                <w:u w:val="none"/>
              </w:rPr>
            </w:pPr>
          </w:p>
        </w:tc>
        <w:tc>
          <w:tcPr>
            <w:tcW w:w="361" w:type="pct"/>
            <w:tcBorders>
              <w:tl2br w:val="nil"/>
              <w:tr2bl w:val="nil"/>
            </w:tcBorders>
            <w:shd w:val="clear" w:color="auto" w:fill="auto"/>
            <w:vAlign w:val="center"/>
          </w:tcPr>
          <w:p>
            <w:pPr>
              <w:spacing w:before="0" w:after="0"/>
              <w:jc w:val="right"/>
              <w:rPr>
                <w:rFonts w:ascii="Times New Roman" w:eastAsia="宋体" w:hAnsi="Times New Roman" w:cs="宋体" w:hint="eastAsia"/>
                <w:i w:val="0"/>
                <w:iCs w:val="0"/>
                <w:color w:val="000000"/>
                <w:sz w:val="20"/>
                <w:szCs w:val="20"/>
                <w:u w:val="none"/>
              </w:rPr>
            </w:pPr>
          </w:p>
        </w:tc>
        <w:tc>
          <w:tcPr>
            <w:tcW w:w="478" w:type="pct"/>
            <w:tcBorders>
              <w:tl2br w:val="nil"/>
              <w:tr2bl w:val="nil"/>
            </w:tcBorders>
            <w:shd w:val="clear" w:color="auto" w:fill="auto"/>
            <w:vAlign w:val="center"/>
          </w:tcPr>
          <w:p>
            <w:pPr>
              <w:spacing w:before="0" w:after="0"/>
              <w:jc w:val="right"/>
              <w:rPr>
                <w:rFonts w:ascii="Times New Roman" w:eastAsia="宋体" w:hAnsi="Times New Roman" w:cs="宋体" w:hint="eastAsia"/>
                <w:i w:val="0"/>
                <w:iCs w:val="0"/>
                <w:color w:val="000000"/>
                <w:sz w:val="20"/>
                <w:szCs w:val="20"/>
                <w:u w:val="none"/>
              </w:rPr>
            </w:pPr>
          </w:p>
        </w:tc>
      </w:tr>
    </w:tbl>
    <w:p>
      <w:pPr>
        <w:numPr>
          <w:ilvl w:val="0"/>
          <w:numId w:val="0"/>
        </w:numPr>
        <w:jc w:val="both"/>
        <w:rPr>
          <w:rFonts w:ascii="Times New Roman" w:eastAsia="仿宋_GB2312" w:hAnsi="Times New Roman" w:cs="仿宋_GB2312" w:hint="default"/>
          <w:b w:val="0"/>
          <w:bCs w:val="0"/>
          <w:sz w:val="24"/>
          <w:szCs w:val="24"/>
        </w:rPr>
        <w:sectPr>
          <w:pgSz w:w="16838" w:h="11906" w:orient="landscape"/>
          <w:pgMar w:top="1800" w:right="1440" w:bottom="1800" w:left="144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Times New Roman" w:eastAsia="仿宋_GB2312" w:hAnsi="Times New Roman" w:cs="仿宋_GB2312" w:hint="eastAsia"/>
          <w:b w:val="0"/>
          <w:bCs w:val="0"/>
          <w:sz w:val="21"/>
          <w:szCs w:val="21"/>
          <w:lang w:val="en-US"/>
        </w:rPr>
        <w:t>注：铜陵市铜官区经济与信息化局没有安排政府购买服务支出，故本表无数据。</w:t>
      </w:r>
    </w:p>
    <w:p>
      <w:pPr>
        <w:keepNext w:val="0"/>
        <w:keepLines w:val="0"/>
        <w:pageBreakBefore w:val="0"/>
        <w:widowControl w:val="0"/>
        <w:numPr>
          <w:ilvl w:val="0"/>
          <w:numId w:val="0"/>
        </w:numPr>
        <w:kinsoku/>
        <w:wordWrap/>
        <w:overflowPunct/>
        <w:topLinePunct w:val="0"/>
        <w:autoSpaceDE/>
        <w:autoSpaceDN/>
        <w:bidi w:val="0"/>
        <w:adjustRightInd/>
        <w:snapToGrid/>
        <w:spacing w:after="312" w:afterLines="100"/>
        <w:ind w:firstLine="420" w:firstLineChars="200"/>
        <w:jc w:val="center"/>
        <w:textAlignment w:val="auto"/>
        <w:rPr>
          <w:rFonts w:ascii="Times New Roman Regular" w:eastAsia="黑体" w:hAnsi="Times New Roman Regular" w:cs="Times New Roman Regular" w:hint="default"/>
          <w:bCs/>
          <w:color w:val="000000"/>
          <w:sz w:val="36"/>
          <w:szCs w:val="36"/>
          <w:lang w:val="en-US"/>
        </w:rPr>
      </w:pPr>
      <w:r>
        <w:rPr>
          <w:rFonts w:ascii="黑体" w:eastAsia="黑体" w:hAnsi="黑体" w:cs="黑体" w:hint="eastAsia"/>
          <w:bCs/>
          <w:color w:val="000000"/>
          <w:sz w:val="36"/>
          <w:szCs w:val="36"/>
          <w:lang w:val="en-US"/>
        </w:rPr>
        <w:t>第三部分</w:t>
      </w:r>
      <w:r>
        <w:rPr>
          <w:rFonts w:ascii="黑体" w:eastAsia="黑体" w:hAnsi="黑体" w:cs="黑体" w:hint="eastAsia"/>
          <w:bCs/>
          <w:color w:val="000000"/>
          <w:sz w:val="36"/>
          <w:szCs w:val="36"/>
        </w:rPr>
        <w:t xml:space="preserve"> 2024</w:t>
      </w:r>
      <w:r>
        <w:rPr>
          <w:rFonts w:ascii="黑体" w:eastAsia="黑体" w:hAnsi="黑体" w:cs="黑体" w:hint="eastAsia"/>
          <w:bCs/>
          <w:color w:val="000000"/>
          <w:sz w:val="36"/>
          <w:szCs w:val="36"/>
          <w:lang w:val="en-US"/>
        </w:rPr>
        <w:t>年</w:t>
      </w:r>
      <w:r>
        <w:rPr>
          <w:rFonts w:ascii="黑体" w:eastAsia="黑体" w:hAnsi="黑体" w:cs="黑体" w:hint="eastAsia"/>
          <w:bCs/>
          <w:color w:val="000000"/>
          <w:sz w:val="36"/>
          <w:szCs w:val="36"/>
        </w:rPr>
        <w:t>部门</w:t>
      </w:r>
      <w:r>
        <w:rPr>
          <w:rFonts w:ascii="黑体" w:eastAsia="黑体" w:hAnsi="黑体" w:cs="黑体" w:hint="eastAsia"/>
          <w:bCs/>
          <w:color w:val="000000"/>
          <w:sz w:val="36"/>
          <w:szCs w:val="36"/>
          <w:lang w:val="en-US"/>
        </w:rPr>
        <w:t>预算情况</w:t>
      </w:r>
      <w:r>
        <w:rPr>
          <w:rFonts w:ascii="黑体" w:eastAsia="黑体" w:hAnsi="黑体" w:cs="黑体" w:hint="eastAsia"/>
          <w:bCs/>
          <w:color w:val="000000"/>
          <w:sz w:val="36"/>
          <w:szCs w:val="36"/>
        </w:rPr>
        <w:t>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一、</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2024</w:t>
      </w:r>
      <w:r>
        <w:rPr>
          <w:rFonts w:ascii="Times New Roman Regular" w:eastAsia="黑体" w:hAnsi="Times New Roman Regular" w:cs="Times New Roman Regular" w:hint="default"/>
          <w:b w:val="0"/>
          <w:bCs w:val="0"/>
          <w:sz w:val="32"/>
          <w:szCs w:val="32"/>
          <w:lang w:val="en-US"/>
        </w:rPr>
        <w:t>年收支总表的说明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lang w:val="en-US"/>
        </w:rPr>
        <w:t>按照综合预算的原则</w:t>
      </w:r>
      <w:r>
        <w:rPr>
          <w:rFonts w:ascii="Times New Roman Regular" w:eastAsia="仿宋_GB2312" w:hAnsi="Times New Roman Regular" w:cs="Times New Roman Regular" w:hint="default"/>
          <w:b w:val="0"/>
          <w:bCs w:val="0"/>
          <w:sz w:val="32"/>
          <w:szCs w:val="32"/>
        </w:rPr>
        <w:t>，铜陵市铜官区经济与信息化局</w:t>
      </w:r>
      <w:r>
        <w:rPr>
          <w:rFonts w:ascii="Times New Roman Regular" w:eastAsia="仿宋_GB2312" w:hAnsi="Times New Roman Regular" w:cs="Times New Roman Regular" w:hint="default"/>
          <w:b w:val="0"/>
          <w:bCs w:val="0"/>
          <w:sz w:val="32"/>
          <w:szCs w:val="32"/>
          <w:lang w:val="en-US"/>
        </w:rPr>
        <w:t>所有收入和支出均纳入</w:t>
      </w:r>
      <w:r>
        <w:rPr>
          <w:rFonts w:ascii="Times New Roman Regular" w:eastAsia="仿宋_GB2312" w:hAnsi="Times New Roman Regular" w:cs="Times New Roman Regular" w:hint="default"/>
          <w:b w:val="0"/>
          <w:bCs w:val="0"/>
          <w:sz w:val="32"/>
          <w:szCs w:val="32"/>
        </w:rPr>
        <w:t>部门</w:t>
      </w:r>
      <w:r>
        <w:rPr>
          <w:rFonts w:ascii="Times New Roman Regular" w:eastAsia="仿宋_GB2312" w:hAnsi="Times New Roman Regular" w:cs="Times New Roman Regular" w:hint="default"/>
          <w:b w:val="0"/>
          <w:bCs w:val="0"/>
          <w:sz w:val="32"/>
          <w:szCs w:val="32"/>
          <w:lang w:val="en-US"/>
        </w:rPr>
        <w:t>预算管理</w:t>
      </w:r>
      <w:r>
        <w:rPr>
          <w:rFonts w:ascii="Times New Roman Regular" w:eastAsia="仿宋_GB2312" w:hAnsi="Times New Roman Regular" w:cs="Times New Roman Regular" w:hint="default"/>
          <w:b w:val="0"/>
          <w:bCs w:val="0"/>
          <w:sz w:val="32"/>
          <w:szCs w:val="32"/>
        </w:rPr>
        <w:t>。铜陵市铜官区经济与信息化局2024</w:t>
      </w:r>
      <w:r>
        <w:rPr>
          <w:rFonts w:ascii="Times New Roman Regular" w:eastAsia="仿宋_GB2312" w:hAnsi="Times New Roman Regular" w:cs="Times New Roman Regular" w:hint="default"/>
          <w:b w:val="0"/>
          <w:bCs w:val="0"/>
          <w:sz w:val="32"/>
          <w:szCs w:val="32"/>
          <w:lang w:val="en-US"/>
        </w:rPr>
        <w:t>年收支总预算</w:t>
      </w:r>
      <w:r>
        <w:rPr>
          <w:rFonts w:ascii="Times New Roman Regular" w:eastAsia="仿宋_GB2312" w:hAnsi="Times New Roman Regular" w:cs="Times New Roman Regular" w:hint="default"/>
          <w:b w:val="0"/>
          <w:bCs w:val="0"/>
          <w:sz w:val="32"/>
          <w:szCs w:val="32"/>
        </w:rPr>
        <w:t>472.04</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，收入全部是一般公共预算拨款收入，</w:t>
      </w:r>
      <w:r>
        <w:rPr>
          <w:rFonts w:ascii="Times New Roman Regular" w:eastAsia="仿宋_GB2312" w:hAnsi="Times New Roman Regular" w:cs="Times New Roman Regular" w:hint="default"/>
          <w:b w:val="0"/>
          <w:bCs w:val="0"/>
          <w:sz w:val="32"/>
          <w:szCs w:val="32"/>
          <w:lang w:val="en-US"/>
        </w:rPr>
        <w:t>支出包括</w:t>
      </w:r>
      <w:r>
        <w:rPr>
          <w:rFonts w:ascii="Times New Roman Regular" w:eastAsia="仿宋_GB2312" w:hAnsi="Times New Roman Regular" w:cs="Times New Roman Regular" w:hint="default"/>
          <w:b w:val="0"/>
          <w:bCs w:val="0"/>
          <w:sz w:val="32"/>
          <w:szCs w:val="32"/>
        </w:rPr>
        <w:t>：一般公共服务支出、社会保障和就业支出。</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二、</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2024</w:t>
      </w:r>
      <w:r>
        <w:rPr>
          <w:rFonts w:ascii="Times New Roman Regular" w:eastAsia="黑体" w:hAnsi="Times New Roman Regular" w:cs="Times New Roman Regular" w:hint="default"/>
          <w:b w:val="0"/>
          <w:bCs w:val="0"/>
          <w:sz w:val="32"/>
          <w:szCs w:val="32"/>
          <w:lang w:val="en-US"/>
        </w:rPr>
        <w:t>年收入总表的说明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铜陵市铜官区经济与信息化局2024</w:t>
      </w:r>
      <w:r>
        <w:rPr>
          <w:rFonts w:ascii="Times New Roman Regular" w:eastAsia="仿宋_GB2312" w:hAnsi="Times New Roman Regular" w:cs="Times New Roman Regular" w:hint="default"/>
          <w:b w:val="0"/>
          <w:bCs w:val="0"/>
          <w:sz w:val="32"/>
          <w:szCs w:val="32"/>
          <w:lang w:val="en-US"/>
        </w:rPr>
        <w:t>收入预算</w:t>
      </w:r>
      <w:r>
        <w:rPr>
          <w:rFonts w:ascii="Times New Roman Regular" w:eastAsia="仿宋_GB2312" w:hAnsi="Times New Roman Regular" w:cs="Times New Roman Regular" w:hint="default"/>
          <w:b w:val="0"/>
          <w:bCs w:val="0"/>
          <w:sz w:val="32"/>
          <w:szCs w:val="32"/>
        </w:rPr>
        <w:t>472.04</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lang w:val="en-US"/>
        </w:rPr>
        <w:t>其中</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lang w:val="en-US"/>
        </w:rPr>
        <w:t>本年收入</w:t>
      </w:r>
      <w:r>
        <w:rPr>
          <w:rFonts w:ascii="Times New Roman Regular" w:eastAsia="仿宋_GB2312" w:hAnsi="Times New Roman Regular" w:cs="Times New Roman Regular" w:hint="default"/>
          <w:b w:val="0"/>
          <w:bCs w:val="0"/>
          <w:sz w:val="32"/>
          <w:szCs w:val="32"/>
        </w:rPr>
        <w:t>472.04</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lang w:val="en-US"/>
        </w:rPr>
        <w:t>上年结转</w:t>
      </w:r>
      <w:r>
        <w:rPr>
          <w:rFonts w:ascii="Times New Roman Regular" w:eastAsia="仿宋_GB2312" w:hAnsi="Times New Roman Regular" w:cs="Times New Roman Regular" w:hint="eastAsia"/>
          <w:b w:val="0"/>
          <w:bCs w:val="0"/>
          <w:sz w:val="32"/>
          <w:szCs w:val="32"/>
          <w:lang w:val="en-US" w:eastAsia="zh-CN"/>
        </w:rPr>
        <w:t>收入</w:t>
      </w:r>
      <w:r>
        <w:rPr>
          <w:rFonts w:ascii="Times New Roman Regular" w:eastAsia="仿宋_GB2312" w:hAnsi="Times New Roman Regular" w:cs="Times New Roman Regular" w:hint="default"/>
          <w:b w:val="0"/>
          <w:bCs w:val="0"/>
          <w:sz w:val="32"/>
          <w:szCs w:val="32"/>
        </w:rPr>
        <w:t>0.00</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（一）本年收入472.04万元，收入全部为一般公共预算拨款收入，比2023年预算减少36.33万元，下降7.15%，下降原因主要是厉行节约，后期资金减少。</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（二）上年结转收入0.00万元。</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三、</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2024</w:t>
      </w:r>
      <w:r>
        <w:rPr>
          <w:rFonts w:ascii="Times New Roman Regular" w:eastAsia="黑体" w:hAnsi="Times New Roman Regular" w:cs="Times New Roman Regular" w:hint="default"/>
          <w:b w:val="0"/>
          <w:bCs w:val="0"/>
          <w:sz w:val="32"/>
          <w:szCs w:val="32"/>
          <w:lang w:val="en-US"/>
        </w:rPr>
        <w:t>年支出总表的说明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铜陵市铜官区经济与信息化局2024</w:t>
      </w:r>
      <w:r>
        <w:rPr>
          <w:rFonts w:ascii="Times New Roman Regular" w:eastAsia="仿宋_GB2312" w:hAnsi="Times New Roman Regular" w:cs="Times New Roman Regular" w:hint="default"/>
          <w:b w:val="0"/>
          <w:bCs w:val="0"/>
          <w:sz w:val="32"/>
          <w:szCs w:val="32"/>
          <w:lang w:val="en-US"/>
        </w:rPr>
        <w:t>年支出预算</w:t>
      </w:r>
      <w:r>
        <w:rPr>
          <w:rFonts w:ascii="Times New Roman Regular" w:eastAsia="仿宋_GB2312" w:hAnsi="Times New Roman Regular" w:cs="Times New Roman Regular" w:hint="default"/>
          <w:b w:val="0"/>
          <w:bCs w:val="0"/>
          <w:sz w:val="32"/>
          <w:szCs w:val="32"/>
        </w:rPr>
        <w:t>472.04</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，比2023年预算减少1359.3万元，下降74.22%，下降原因主要是厉行节约。其中，基本支出230.74万元，占48.88%，主要用于基本支出本年预算230.74，主要用于：部门运行支出；项目支出241.3万元，占51.12%，主要用于</w:t>
      </w:r>
      <w:r>
        <w:rPr>
          <w:rFonts w:ascii="Times New Roman Regular" w:eastAsia="仿宋_GB2312" w:hAnsi="Times New Roman Regular" w:cs="Times New Roman Regular" w:hint="default"/>
          <w:b w:val="0"/>
          <w:bCs w:val="0"/>
          <w:sz w:val="32"/>
          <w:szCs w:val="32"/>
        </w:rPr>
        <w:tab/>
      </w:r>
      <w:r>
        <w:rPr>
          <w:rFonts w:ascii="Times New Roman Regular" w:eastAsia="仿宋_GB2312" w:hAnsi="Times New Roman Regular" w:cs="Times New Roman Regular" w:hint="default"/>
          <w:b w:val="0"/>
          <w:bCs w:val="0"/>
          <w:sz w:val="32"/>
          <w:szCs w:val="32"/>
        </w:rPr>
        <w:t>项目支出本年预算241.3，主要用于：部门项目支出；事业单位经营支出0.00万元，占0.0%；上缴上级支出0.00万元，占0.0%；对附属单位补助支出0.00万元，占0.0%。</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四、</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2024</w:t>
      </w:r>
      <w:r>
        <w:rPr>
          <w:rFonts w:ascii="Times New Roman Regular" w:eastAsia="黑体" w:hAnsi="Times New Roman Regular" w:cs="Times New Roman Regular" w:hint="default"/>
          <w:b w:val="0"/>
          <w:bCs w:val="0"/>
          <w:sz w:val="32"/>
          <w:szCs w:val="32"/>
          <w:lang w:val="en-US"/>
        </w:rPr>
        <w:t>年财政拨款收支总表的说明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铜陵市铜官区经济与信息化局2024</w:t>
      </w:r>
      <w:r>
        <w:rPr>
          <w:rFonts w:ascii="Times New Roman Regular" w:eastAsia="仿宋_GB2312" w:hAnsi="Times New Roman Regular" w:cs="Times New Roman Regular" w:hint="default"/>
          <w:b w:val="0"/>
          <w:bCs w:val="0"/>
          <w:sz w:val="32"/>
          <w:szCs w:val="32"/>
          <w:lang w:val="en-US"/>
        </w:rPr>
        <w:t>年财政拨款收支预算</w:t>
      </w:r>
      <w:r>
        <w:rPr>
          <w:rFonts w:ascii="Times New Roman Regular" w:eastAsia="仿宋_GB2312" w:hAnsi="Times New Roman Regular" w:cs="Times New Roman Regular" w:hint="default"/>
          <w:b w:val="0"/>
          <w:bCs w:val="0"/>
          <w:sz w:val="32"/>
          <w:szCs w:val="32"/>
        </w:rPr>
        <w:t>472.04</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。收入按资金来源分全部为一般公共预算拨款472.04万元；按资金年度分全部为本年财政拨款收入。</w:t>
      </w:r>
      <w:r>
        <w:rPr>
          <w:rFonts w:ascii="Times New Roman Regular" w:eastAsia="仿宋_GB2312" w:hAnsi="Times New Roman Regular" w:cs="Times New Roman Regular" w:hint="default"/>
          <w:b w:val="0"/>
          <w:bCs w:val="0"/>
          <w:sz w:val="32"/>
          <w:szCs w:val="32"/>
          <w:lang w:val="en-US"/>
        </w:rPr>
        <w:t>支出按功能分类分为</w:t>
      </w:r>
      <w:r>
        <w:rPr>
          <w:rFonts w:ascii="Times New Roman Regular" w:eastAsia="仿宋_GB2312" w:hAnsi="Times New Roman Regular" w:cs="Times New Roman Regular" w:hint="default"/>
          <w:b w:val="0"/>
          <w:bCs w:val="0"/>
          <w:sz w:val="32"/>
          <w:szCs w:val="32"/>
        </w:rPr>
        <w:t>：一般公共服务支出290.44万元，占61.53%；社会保障和就业支出181.6万元，占38.47%。</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五、</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2024</w:t>
      </w:r>
      <w:r>
        <w:rPr>
          <w:rFonts w:ascii="Times New Roman Regular" w:eastAsia="黑体" w:hAnsi="Times New Roman Regular" w:cs="Times New Roman Regular" w:hint="default"/>
          <w:b w:val="0"/>
          <w:bCs w:val="0"/>
          <w:sz w:val="32"/>
          <w:szCs w:val="32"/>
          <w:lang w:val="en-US"/>
        </w:rPr>
        <w:t>年一般公共预算支出表的说明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楷体_GB2312" w:hAnsi="Times New Roman Regular" w:cs="Times New Roman Regular" w:hint="default"/>
          <w:b/>
          <w:bCs/>
          <w:sz w:val="32"/>
          <w:szCs w:val="32"/>
          <w:lang w:val="en-US"/>
        </w:rPr>
      </w:pPr>
      <w:r>
        <w:rPr>
          <w:rFonts w:ascii="Times New Roman Regular" w:eastAsia="楷体_GB2312" w:hAnsi="Times New Roman Regular" w:cs="Times New Roman Regular" w:hint="eastAsia"/>
          <w:b/>
          <w:bCs/>
          <w:sz w:val="32"/>
          <w:szCs w:val="32"/>
          <w:lang w:val="en-US" w:eastAsia="zh-CN"/>
        </w:rPr>
        <w:t>（一）</w:t>
      </w:r>
      <w:r>
        <w:rPr>
          <w:rFonts w:ascii="Times New Roman Regular" w:eastAsia="楷体_GB2312" w:hAnsi="Times New Roman Regular" w:cs="Times New Roman Regular" w:hint="default"/>
          <w:b/>
          <w:bCs/>
          <w:sz w:val="32"/>
          <w:szCs w:val="32"/>
          <w:lang w:val="en-US"/>
        </w:rPr>
        <w:t>一般公共预算支出规模变化情况</w:t>
      </w:r>
      <w:r>
        <w:rPr>
          <w:rFonts w:ascii="Times New Roman Regular" w:eastAsia="楷体_GB2312" w:hAnsi="Times New Roman Regular" w:cs="Times New Roman Regular" w:hint="default"/>
          <w:b/>
          <w:bCs/>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铜陵市铜官区经济与信息化局2024</w:t>
      </w:r>
      <w:r>
        <w:rPr>
          <w:rFonts w:ascii="Times New Roman Regular" w:eastAsia="仿宋_GB2312" w:hAnsi="Times New Roman Regular" w:cs="Times New Roman Regular" w:hint="default"/>
          <w:b w:val="0"/>
          <w:bCs w:val="0"/>
          <w:sz w:val="32"/>
          <w:szCs w:val="32"/>
          <w:lang w:val="en-US"/>
        </w:rPr>
        <w:t>年一般公共预算支出</w:t>
      </w:r>
      <w:r>
        <w:rPr>
          <w:rFonts w:ascii="Times New Roman Regular" w:eastAsia="仿宋_GB2312" w:hAnsi="Times New Roman Regular" w:cs="Times New Roman Regular" w:hint="default"/>
          <w:b w:val="0"/>
          <w:bCs w:val="0"/>
          <w:sz w:val="32"/>
          <w:szCs w:val="32"/>
        </w:rPr>
        <w:t>472.04</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，比2023年预算减少1359.3万元，下降74.22%，主要原因：厉行节约。</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楷体_GB2312" w:hAnsi="Times New Roman Regular" w:cs="Times New Roman Regular" w:hint="default"/>
          <w:b/>
          <w:bCs/>
          <w:sz w:val="32"/>
          <w:szCs w:val="32"/>
          <w:lang w:val="en-US"/>
        </w:rPr>
      </w:pPr>
      <w:r>
        <w:rPr>
          <w:rFonts w:ascii="Times New Roman Regular" w:eastAsia="楷体_GB2312" w:hAnsi="Times New Roman Regular" w:cs="Times New Roman Regular" w:hint="eastAsia"/>
          <w:b/>
          <w:bCs/>
          <w:sz w:val="32"/>
          <w:szCs w:val="32"/>
          <w:lang w:val="en-US" w:eastAsia="zh-CN"/>
        </w:rPr>
        <w:t>（二）</w:t>
      </w:r>
      <w:r>
        <w:rPr>
          <w:rFonts w:ascii="Times New Roman Regular" w:eastAsia="楷体_GB2312" w:hAnsi="Times New Roman Regular" w:cs="Times New Roman Regular" w:hint="default"/>
          <w:b/>
          <w:bCs/>
          <w:sz w:val="32"/>
          <w:szCs w:val="32"/>
          <w:lang w:val="en-US"/>
        </w:rPr>
        <w:t>一般公共预算支出结构情况</w:t>
      </w:r>
      <w:r>
        <w:rPr>
          <w:rFonts w:ascii="Times New Roman Regular" w:eastAsia="楷体_GB2312" w:hAnsi="Times New Roman Regular" w:cs="Times New Roman Regular" w:hint="default"/>
          <w:b/>
          <w:bCs/>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一般公共服务支出290.44万元，占61.53%；社会保障和就业支出181.6万元，占38.47%。</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楷体_GB2312" w:hAnsi="Times New Roman Regular" w:cs="Times New Roman Regular" w:hint="default"/>
          <w:b/>
          <w:bCs/>
          <w:sz w:val="32"/>
          <w:szCs w:val="32"/>
          <w:lang w:val="en-US"/>
        </w:rPr>
      </w:pPr>
      <w:r>
        <w:rPr>
          <w:rFonts w:ascii="Times New Roman Regular" w:eastAsia="楷体_GB2312" w:hAnsi="Times New Roman Regular" w:cs="Times New Roman Regular" w:hint="eastAsia"/>
          <w:b/>
          <w:bCs/>
          <w:sz w:val="32"/>
          <w:szCs w:val="32"/>
          <w:lang w:val="en-US" w:eastAsia="zh-CN"/>
        </w:rPr>
        <w:t>（三）</w:t>
      </w:r>
      <w:r>
        <w:rPr>
          <w:rFonts w:ascii="Times New Roman Regular" w:eastAsia="楷体_GB2312" w:hAnsi="Times New Roman Regular" w:cs="Times New Roman Regular" w:hint="default"/>
          <w:b/>
          <w:bCs/>
          <w:sz w:val="32"/>
          <w:szCs w:val="32"/>
          <w:lang w:val="en-US"/>
        </w:rPr>
        <w:t>一般公共预算支出具体使用情况</w:t>
      </w:r>
      <w:r>
        <w:rPr>
          <w:rFonts w:ascii="Times New Roman Regular" w:eastAsia="楷体_GB2312" w:hAnsi="Times New Roman Regular" w:cs="Times New Roman Regular" w:hint="default"/>
          <w:b/>
          <w:bCs/>
          <w:sz w:val="32"/>
          <w:szCs w:val="32"/>
        </w:rPr>
        <w:t>。</w:t>
      </w:r>
    </w:p>
    <w:p>
      <w:pPr>
        <w:jc w:val="both"/>
      </w:pPr>
      <w:r>
        <w:rPr>
          <w:rFonts w:ascii="Times New Roman" w:eastAsia="仿宋_GB2312" w:hAnsi="Times New Roman"/>
          <w:b w:val="0"/>
          <w:sz w:val="32"/>
        </w:rPr>
        <w:t>　　1.一般公共服务支出（类）发展与改革事务（款）行政运行（项）2024年预算217.69万元，比2023年预算增加11.86万元，增长5.76%，增长原因主要是部门工作增加。</w:t>
      </w:r>
    </w:p>
    <w:p>
      <w:pPr>
        <w:jc w:val="both"/>
      </w:pPr>
      <w:r>
        <w:rPr>
          <w:rFonts w:ascii="Times New Roman" w:eastAsia="仿宋_GB2312" w:hAnsi="Times New Roman"/>
          <w:b w:val="0"/>
          <w:sz w:val="32"/>
        </w:rPr>
        <w:t>　　2.一般公共服务支出（类）发展与改革事务（款）一般行政管理事务（项）2024年预算65.36万元，比2023年预算增加28.3万元，增长76.36%，增长原因主要是部门工作增加。</w:t>
      </w:r>
    </w:p>
    <w:p>
      <w:pPr>
        <w:jc w:val="both"/>
      </w:pPr>
      <w:r>
        <w:rPr>
          <w:rFonts w:ascii="Times New Roman" w:eastAsia="仿宋_GB2312" w:hAnsi="Times New Roman"/>
          <w:b w:val="0"/>
          <w:sz w:val="32"/>
        </w:rPr>
        <w:t>　　3.一般公共服务支出（类）群众团体事务（款）其他群众团体事务支出（项）2024年预算5.95万元，比2023年预算减少0.61万元，下降9.3%，下降原因主要是厉行节约。</w:t>
      </w:r>
    </w:p>
    <w:p>
      <w:pPr>
        <w:jc w:val="both"/>
      </w:pPr>
      <w:r>
        <w:rPr>
          <w:rFonts w:ascii="Times New Roman" w:eastAsia="仿宋_GB2312" w:hAnsi="Times New Roman"/>
          <w:b w:val="0"/>
          <w:sz w:val="32"/>
        </w:rPr>
        <w:t>　　4.一般公共服务支出（类）组织事务（款）其他组织事务支出（项）2024年预算1.43万元，比2023年预算减少0.04万元，下降2.72%，下降原因主要是厉行节约。</w:t>
      </w:r>
    </w:p>
    <w:p>
      <w:pPr>
        <w:jc w:val="both"/>
      </w:pPr>
      <w:r>
        <w:rPr>
          <w:rFonts w:ascii="Times New Roman" w:eastAsia="仿宋_GB2312" w:hAnsi="Times New Roman"/>
          <w:b w:val="0"/>
          <w:sz w:val="32"/>
        </w:rPr>
        <w:t>　　5.社会保障和就业支出（类）行政事业单位养老支出（款）机关事业单位职业年金缴费支出（项）2024年预算10.66万元，比2023年预算减少0.23万元，下降2.11%，下降原因主要是人员减少。</w:t>
      </w:r>
    </w:p>
    <w:p>
      <w:pPr>
        <w:jc w:val="both"/>
      </w:pPr>
      <w:r>
        <w:rPr>
          <w:rFonts w:ascii="Times New Roman" w:eastAsia="仿宋_GB2312" w:hAnsi="Times New Roman"/>
          <w:b w:val="0"/>
          <w:sz w:val="32"/>
        </w:rPr>
        <w:t>　　6.社会保障和就业支出（类）就业补助（款）社会保险补贴（项）2024年预算170.94万元，比2023年预算减少0.4万元，下降0.23%，下降原因主要是人员减少。</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六、</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2024</w:t>
      </w:r>
      <w:r>
        <w:rPr>
          <w:rFonts w:ascii="Times New Roman Regular" w:eastAsia="黑体" w:hAnsi="Times New Roman Regular" w:cs="Times New Roman Regular" w:hint="default"/>
          <w:b w:val="0"/>
          <w:bCs w:val="0"/>
          <w:sz w:val="32"/>
          <w:szCs w:val="32"/>
          <w:lang w:val="en-US"/>
        </w:rPr>
        <w:t>年一般公共预算基本支出表的说明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铜陵市铜官区经济与信息化局2024</w:t>
      </w:r>
      <w:r>
        <w:rPr>
          <w:rFonts w:ascii="Times New Roman Regular" w:eastAsia="仿宋_GB2312" w:hAnsi="Times New Roman Regular" w:cs="Times New Roman Regular" w:hint="default"/>
          <w:b w:val="0"/>
          <w:bCs w:val="0"/>
          <w:sz w:val="32"/>
          <w:szCs w:val="32"/>
          <w:lang w:val="en-US"/>
        </w:rPr>
        <w:t>年一般公共预算基本支出</w:t>
      </w:r>
      <w:r>
        <w:rPr>
          <w:rFonts w:ascii="Times New Roman Regular" w:eastAsia="仿宋_GB2312" w:hAnsi="Times New Roman Regular" w:cs="Times New Roman Regular" w:hint="default"/>
          <w:b w:val="0"/>
          <w:bCs w:val="0"/>
          <w:sz w:val="32"/>
          <w:szCs w:val="32"/>
        </w:rPr>
        <w:t>230.74</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lang w:val="en-US"/>
        </w:rPr>
        <w:t>其中</w:t>
      </w:r>
      <w:r>
        <w:rPr>
          <w:rFonts w:ascii="Times New Roman Regular" w:eastAsia="仿宋_GB2312" w:hAnsi="Times New Roman Regular" w:cs="Times New Roman Regular" w:hint="eastAsia"/>
          <w:b w:val="0"/>
          <w:bCs w:val="0"/>
          <w:sz w:val="32"/>
          <w:szCs w:val="32"/>
          <w:lang w:val="en-US" w:eastAsia="zh-CN"/>
        </w:rPr>
        <w:t>：</w:t>
      </w:r>
      <w:r>
        <w:rPr>
          <w:rFonts w:ascii="Times New Roman Regular" w:eastAsia="仿宋_GB2312" w:hAnsi="Times New Roman Regular" w:cs="Times New Roman Regular" w:hint="default"/>
          <w:b w:val="0"/>
          <w:bCs w:val="0"/>
          <w:sz w:val="32"/>
          <w:szCs w:val="32"/>
          <w:lang w:val="en-US"/>
        </w:rPr>
        <w:t>人员经费</w:t>
      </w:r>
      <w:r>
        <w:rPr>
          <w:rFonts w:ascii="Times New Roman Regular" w:eastAsia="仿宋_GB2312" w:hAnsi="Times New Roman Regular" w:cs="Times New Roman Regular" w:hint="default"/>
          <w:b w:val="0"/>
          <w:bCs w:val="0"/>
          <w:sz w:val="32"/>
          <w:szCs w:val="32"/>
        </w:rPr>
        <w:t>208.38</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lang w:val="en-US"/>
        </w:rPr>
        <w:t>公用经费</w:t>
      </w:r>
      <w:r>
        <w:rPr>
          <w:rFonts w:ascii="Times New Roman Regular" w:eastAsia="仿宋_GB2312" w:hAnsi="Times New Roman Regular" w:cs="Times New Roman Regular" w:hint="default"/>
          <w:b w:val="0"/>
          <w:bCs w:val="0"/>
          <w:sz w:val="32"/>
          <w:szCs w:val="32"/>
        </w:rPr>
        <w:t>22.36</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eastAsia"/>
          <w:b w:val="0"/>
          <w:bCs w:val="0"/>
          <w:sz w:val="32"/>
          <w:szCs w:val="32"/>
          <w:lang w:val="en-US" w:eastAsia="zh-CN"/>
        </w:rPr>
        <w:t>（一）</w:t>
      </w:r>
      <w:r>
        <w:rPr>
          <w:rFonts w:ascii="Times New Roman Regular" w:eastAsia="仿宋_GB2312" w:hAnsi="Times New Roman Regular" w:cs="Times New Roman Regular" w:hint="default"/>
          <w:b w:val="0"/>
          <w:bCs w:val="0"/>
          <w:sz w:val="32"/>
          <w:szCs w:val="32"/>
          <w:lang w:val="en-US"/>
        </w:rPr>
        <w:t>人员经费</w:t>
      </w:r>
      <w:r>
        <w:rPr>
          <w:rFonts w:ascii="Times New Roman Regular" w:eastAsia="仿宋_GB2312" w:hAnsi="Times New Roman Regular" w:cs="Times New Roman Regular" w:hint="default"/>
          <w:b w:val="0"/>
          <w:bCs w:val="0"/>
          <w:sz w:val="32"/>
          <w:szCs w:val="32"/>
        </w:rPr>
        <w:t>208.38</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lang w:val="en-US"/>
        </w:rPr>
        <w:t>主要包括</w:t>
      </w:r>
      <w:r>
        <w:rPr>
          <w:rFonts w:ascii="Times New Roman Regular" w:eastAsia="仿宋_GB2312" w:hAnsi="Times New Roman Regular" w:cs="Times New Roman Regular" w:hint="default"/>
          <w:b w:val="0"/>
          <w:bCs w:val="0"/>
          <w:sz w:val="32"/>
          <w:szCs w:val="32"/>
        </w:rPr>
        <w:t>：基本工资、津贴补贴、奖金、绩效工资、职业年金缴费、其他工资福利支出、培训费、工会经费。</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eastAsia"/>
          <w:b w:val="0"/>
          <w:bCs w:val="0"/>
          <w:sz w:val="32"/>
          <w:szCs w:val="32"/>
          <w:lang w:val="en-US" w:eastAsia="zh-CN"/>
        </w:rPr>
        <w:t>（二）</w:t>
      </w:r>
      <w:r>
        <w:rPr>
          <w:rFonts w:ascii="Times New Roman Regular" w:eastAsia="仿宋_GB2312" w:hAnsi="Times New Roman Regular" w:cs="Times New Roman Regular" w:hint="default"/>
          <w:b w:val="0"/>
          <w:bCs w:val="0"/>
          <w:sz w:val="32"/>
          <w:szCs w:val="32"/>
          <w:lang w:val="en-US"/>
        </w:rPr>
        <w:t>公用经费</w:t>
      </w:r>
      <w:r>
        <w:rPr>
          <w:rFonts w:ascii="Times New Roman Regular" w:eastAsia="仿宋_GB2312" w:hAnsi="Times New Roman Regular" w:cs="Times New Roman Regular" w:hint="default"/>
          <w:b w:val="0"/>
          <w:bCs w:val="0"/>
          <w:sz w:val="32"/>
          <w:szCs w:val="32"/>
        </w:rPr>
        <w:t>22.36</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lang w:val="en-US"/>
        </w:rPr>
        <w:t>主要包括</w:t>
      </w:r>
      <w:r>
        <w:rPr>
          <w:rFonts w:ascii="Times New Roman Regular" w:eastAsia="仿宋_GB2312" w:hAnsi="Times New Roman Regular" w:cs="Times New Roman Regular" w:hint="default"/>
          <w:b w:val="0"/>
          <w:bCs w:val="0"/>
          <w:sz w:val="32"/>
          <w:szCs w:val="32"/>
        </w:rPr>
        <w:t>：其他社会保障缴费、办公费、印刷费、咨询费、差旅费、维修（护）费、会议费、培训费、公务接待费、专用材料费、专用燃料费、劳务费、委托业务费、其他交通费用、其他商品和服务支出、办公设备购置、其他资本性支出。</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七、</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2024</w:t>
      </w:r>
      <w:r>
        <w:rPr>
          <w:rFonts w:ascii="Times New Roman Regular" w:eastAsia="黑体" w:hAnsi="Times New Roman Regular" w:cs="Times New Roman Regular" w:hint="default"/>
          <w:b w:val="0"/>
          <w:bCs w:val="0"/>
          <w:sz w:val="32"/>
          <w:szCs w:val="32"/>
          <w:lang w:val="en-US"/>
        </w:rPr>
        <w:t>年政府性基金预算支出表的说明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铜陵市铜官区经济与信息化局2024年没有政府性基金预算拨款收入，也没有使用政府性基金预算拨款安排的支出。</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八、</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2024</w:t>
      </w:r>
      <w:r>
        <w:rPr>
          <w:rFonts w:ascii="Times New Roman Regular" w:eastAsia="黑体" w:hAnsi="Times New Roman Regular" w:cs="Times New Roman Regular" w:hint="default"/>
          <w:b w:val="0"/>
          <w:bCs w:val="0"/>
          <w:sz w:val="32"/>
          <w:szCs w:val="32"/>
          <w:lang w:val="en-US"/>
        </w:rPr>
        <w:t>年国有资本经营预算支出表的说明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铜陵市铜官区经济与信息化局2024年没有国有资本经营预算拨款收入，也没有使用国有资本经营预算拨款安排的支出。</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九、</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2024</w:t>
      </w:r>
      <w:r>
        <w:rPr>
          <w:rFonts w:ascii="Times New Roman Regular" w:eastAsia="黑体" w:hAnsi="Times New Roman Regular" w:cs="Times New Roman Regular" w:hint="default"/>
          <w:b w:val="0"/>
          <w:bCs w:val="0"/>
          <w:sz w:val="32"/>
          <w:szCs w:val="32"/>
          <w:lang w:val="en-US"/>
        </w:rPr>
        <w:t>年项目支出表的说明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经济与信息化局2024年预算共安排项目支出241.3万元，比2023年预算减少1340.24万元，下降84.74%，下降原因主要是企业兑现资金项目减少。主要包括：本年财政拨款安排241.3万元（其中，一般公共预算拨款安排241.3万元，政府性基金预算拨款安排0万元，国有资本经营预算拨款安排0万元），财政拨款上年结转安排0万元（其中，一般公共预算拨款安排0万元，政府性基金预算拨款安排0万元，国有资本经营预算拨款安排0万元）、财政专户管理资金安排0万元和单位资金安排0万元。</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十、</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2024</w:t>
      </w:r>
      <w:r>
        <w:rPr>
          <w:rFonts w:ascii="Times New Roman Regular" w:eastAsia="黑体" w:hAnsi="Times New Roman Regular" w:cs="Times New Roman Regular" w:hint="default"/>
          <w:b w:val="0"/>
          <w:bCs w:val="0"/>
          <w:sz w:val="32"/>
          <w:szCs w:val="32"/>
          <w:lang w:val="en-US"/>
        </w:rPr>
        <w:t>年政府采购支出表的说明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铜陵市铜官区经济与信息化局2024年没有使用一般公共预算拨款、政府性基金预算拨款、国有资本经营预算拨款、财政专户管理资金和单位资金安排的政府采购支出。</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十一、</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2024</w:t>
      </w:r>
      <w:r>
        <w:rPr>
          <w:rFonts w:ascii="Times New Roman Regular" w:eastAsia="黑体" w:hAnsi="Times New Roman Regular" w:cs="Times New Roman Regular" w:hint="default"/>
          <w:b w:val="0"/>
          <w:bCs w:val="0"/>
          <w:sz w:val="32"/>
          <w:szCs w:val="32"/>
          <w:lang w:val="en-US"/>
        </w:rPr>
        <w:t>年政府购买服务支出表的说明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铜陵市铜官区经济与信息化局2024年没有安排政府购买服务支出。</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十二、</w:t>
      </w:r>
      <w:r>
        <w:rPr>
          <w:rFonts w:ascii="Times New Roman Regular" w:eastAsia="黑体" w:hAnsi="Times New Roman Regular" w:cs="Times New Roman Regular" w:hint="default"/>
          <w:b w:val="0"/>
          <w:bCs w:val="0"/>
          <w:sz w:val="32"/>
          <w:szCs w:val="32"/>
          <w:lang w:val="en-US"/>
        </w:rPr>
        <w:t>其他重要事项情况说明</w:t>
      </w:r>
    </w:p>
    <w:p>
      <w:pPr>
        <w:pStyle w:val="Heading2"/>
        <w:bidi w:val="0"/>
        <w:rPr>
          <w:rFonts w:ascii="Times New Roman" w:eastAsia="仿宋_GB2312" w:hAnsi="Times New Roman" w:cs="仿宋_GB2312" w:hint="default"/>
          <w:b/>
          <w:bCs/>
          <w:sz w:val="32"/>
          <w:szCs w:val="32"/>
        </w:rPr>
      </w:pPr>
      <w:r>
        <w:rPr>
          <w:rFonts w:ascii="Times New Roman" w:eastAsia="仿宋_GB2312" w:hAnsi="Times New Roman" w:cs="仿宋_GB2312" w:hint="eastAsia"/>
          <w:b/>
          <w:bCs/>
          <w:sz w:val="32"/>
          <w:szCs w:val="32"/>
        </w:rPr>
        <w:t>1.</w:t>
      </w:r>
      <w:r>
        <w:rPr>
          <w:rFonts w:ascii="Times New Roman" w:eastAsia="仿宋_GB2312" w:hAnsi="Times New Roman" w:cs="仿宋_GB2312" w:hint="eastAsia"/>
          <w:b/>
          <w:bCs/>
          <w:sz w:val="32"/>
          <w:szCs w:val="32"/>
          <w:lang w:eastAsia="zh-CN"/>
        </w:rPr>
        <w:t>“</w:t>
      </w:r>
      <w:r>
        <w:rPr>
          <w:rFonts w:ascii="Times New Roman" w:eastAsia="仿宋_GB2312" w:hAnsi="Times New Roman" w:cs="仿宋_GB2312" w:hint="eastAsia"/>
          <w:b/>
          <w:bCs/>
          <w:sz w:val="32"/>
          <w:szCs w:val="32"/>
        </w:rPr>
        <w:t>五松村资委执行委员会补助及工作经费项目</w:t>
      </w:r>
      <w:r>
        <w:rPr>
          <w:rFonts w:ascii="Times New Roman" w:eastAsia="仿宋_GB2312" w:hAnsi="Times New Roman" w:cs="仿宋_GB2312" w:hint="eastAsia"/>
          <w:b/>
          <w:bCs/>
          <w:sz w:val="32"/>
          <w:szCs w:val="32"/>
          <w:lang w:eastAsia="zh-CN"/>
        </w:rPr>
        <w:t>”</w:t>
      </w:r>
      <w:r>
        <w:rPr>
          <w:rFonts w:ascii="Times New Roman" w:eastAsia="仿宋_GB2312" w:hAnsi="Times New Roman" w:cs="仿宋_GB2312" w:hint="eastAsia"/>
          <w:b/>
          <w:bCs/>
          <w:sz w:val="32"/>
          <w:szCs w:val="32"/>
          <w:lang w:val="en-US" w:eastAsia="zh-CN"/>
        </w:rPr>
        <w:t>项目</w:t>
      </w:r>
      <w:r>
        <w:rPr>
          <w:rFonts w:ascii="Times New Roman" w:eastAsia="仿宋_GB2312" w:hAnsi="Times New Roman" w:cs="仿宋_GB2312" w:hint="default"/>
          <w:b/>
          <w:bCs/>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default"/>
          <w:b w:val="0"/>
          <w:bCs w:val="0"/>
          <w:sz w:val="32"/>
          <w:szCs w:val="32"/>
        </w:rPr>
      </w:pPr>
      <w:r>
        <w:rPr>
          <w:rFonts w:ascii="Times New Roman" w:eastAsia="仿宋_GB2312" w:hAnsi="Times New Roman" w:cs="仿宋_GB2312" w:hint="eastAsia"/>
          <w:b w:val="0"/>
          <w:bCs w:val="0"/>
          <w:sz w:val="32"/>
          <w:szCs w:val="32"/>
          <w:lang w:val="en-US" w:eastAsia="zh-CN"/>
        </w:rPr>
        <w:t>（1）</w:t>
      </w:r>
      <w:r>
        <w:rPr>
          <w:rFonts w:ascii="Times New Roman" w:eastAsia="仿宋_GB2312" w:hAnsi="Times New Roman" w:cs="仿宋_GB2312" w:hint="eastAsia"/>
          <w:b w:val="0"/>
          <w:bCs w:val="0"/>
          <w:sz w:val="32"/>
          <w:szCs w:val="32"/>
          <w:lang w:val="en-US"/>
        </w:rPr>
        <w:t>项目概述</w:t>
      </w:r>
      <w:r>
        <w:rPr>
          <w:rFonts w:ascii="Times New Roman" w:eastAsia="仿宋_GB2312" w:hAnsi="Times New Roman" w:cs="仿宋_GB2312" w:hint="default"/>
          <w:b w:val="0"/>
          <w:bCs w:val="0"/>
          <w:sz w:val="32"/>
          <w:szCs w:val="32"/>
        </w:rPr>
        <w:t>。</w:t>
      </w:r>
      <w:r>
        <w:rPr>
          <w:rFonts w:ascii="Times New Roman" w:eastAsia="仿宋_GB2312" w:hAnsi="Times New Roman" w:cs="仿宋_GB2312" w:hint="eastAsia"/>
          <w:b w:val="0"/>
          <w:bCs w:val="0"/>
          <w:sz w:val="32"/>
          <w:szCs w:val="32"/>
        </w:rPr>
        <w:t>五松村资委执行委员会补助及工作经费</w:t>
      </w:r>
      <w:r>
        <w:rPr>
          <w:rFonts w:ascii="Times New Roman" w:eastAsia="仿宋_GB2312" w:hAnsi="Times New Roman" w:cs="仿宋_GB2312" w:hint="default"/>
          <w:b w:val="0"/>
          <w:bCs w:val="0"/>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default"/>
          <w:b w:val="0"/>
          <w:bCs w:val="0"/>
          <w:sz w:val="32"/>
          <w:szCs w:val="32"/>
        </w:rPr>
      </w:pPr>
      <w:r>
        <w:rPr>
          <w:rFonts w:ascii="Times New Roman" w:eastAsia="仿宋_GB2312" w:hAnsi="Times New Roman" w:cs="仿宋_GB2312" w:hint="eastAsia"/>
          <w:b w:val="0"/>
          <w:bCs w:val="0"/>
          <w:sz w:val="32"/>
          <w:szCs w:val="32"/>
          <w:lang w:val="en-US" w:eastAsia="zh-CN"/>
        </w:rPr>
        <w:t>（2）</w:t>
      </w:r>
      <w:r>
        <w:rPr>
          <w:rFonts w:ascii="Times New Roman" w:eastAsia="仿宋_GB2312" w:hAnsi="Times New Roman" w:cs="仿宋_GB2312" w:hint="eastAsia"/>
          <w:b w:val="0"/>
          <w:bCs w:val="0"/>
          <w:sz w:val="32"/>
          <w:szCs w:val="32"/>
          <w:lang w:val="en-US"/>
        </w:rPr>
        <w:t>立项依据</w:t>
      </w:r>
      <w:r>
        <w:rPr>
          <w:rFonts w:ascii="Times New Roman" w:eastAsia="仿宋_GB2312" w:hAnsi="Times New Roman" w:cs="仿宋_GB2312" w:hint="default"/>
          <w:b w:val="0"/>
          <w:bCs w:val="0"/>
          <w:sz w:val="32"/>
          <w:szCs w:val="32"/>
        </w:rPr>
        <w:t>。</w:t>
      </w:r>
      <w:r>
        <w:rPr>
          <w:rFonts w:ascii="Times New Roman" w:eastAsia="仿宋_GB2312" w:hAnsi="Times New Roman" w:cs="仿宋_GB2312" w:hint="eastAsia"/>
          <w:b w:val="0"/>
          <w:bCs w:val="0"/>
          <w:sz w:val="32"/>
          <w:szCs w:val="32"/>
        </w:rPr>
        <w:t>五松村资委执行委员会补助及工作经费，会议纪要</w:t>
      </w:r>
      <w:r>
        <w:rPr>
          <w:rFonts w:ascii="Times New Roman" w:eastAsia="仿宋_GB2312" w:hAnsi="Times New Roman" w:cs="仿宋_GB2312" w:hint="default"/>
          <w:b w:val="0"/>
          <w:bCs w:val="0"/>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default"/>
          <w:b w:val="0"/>
          <w:bCs w:val="0"/>
          <w:sz w:val="32"/>
          <w:szCs w:val="32"/>
        </w:rPr>
      </w:pPr>
      <w:r>
        <w:rPr>
          <w:rFonts w:ascii="Times New Roman" w:eastAsia="仿宋_GB2312" w:hAnsi="Times New Roman" w:cs="仿宋_GB2312" w:hint="eastAsia"/>
          <w:b w:val="0"/>
          <w:bCs w:val="0"/>
          <w:sz w:val="32"/>
          <w:szCs w:val="32"/>
          <w:lang w:val="en-US" w:eastAsia="zh-CN"/>
        </w:rPr>
        <w:t>（3）</w:t>
      </w:r>
      <w:r>
        <w:rPr>
          <w:rFonts w:ascii="Times New Roman" w:eastAsia="仿宋_GB2312" w:hAnsi="Times New Roman" w:cs="仿宋_GB2312" w:hint="eastAsia"/>
          <w:b w:val="0"/>
          <w:bCs w:val="0"/>
          <w:sz w:val="32"/>
          <w:szCs w:val="32"/>
          <w:lang w:val="en-US"/>
        </w:rPr>
        <w:t>实施主体</w:t>
      </w:r>
      <w:r>
        <w:rPr>
          <w:rFonts w:ascii="Times New Roman" w:eastAsia="仿宋_GB2312" w:hAnsi="Times New Roman" w:cs="仿宋_GB2312" w:hint="default"/>
          <w:b w:val="0"/>
          <w:bCs w:val="0"/>
          <w:sz w:val="32"/>
          <w:szCs w:val="32"/>
        </w:rPr>
        <w:t>。</w:t>
      </w:r>
      <w:r>
        <w:rPr>
          <w:rFonts w:ascii="Times New Roman" w:eastAsia="仿宋_GB2312" w:hAnsi="Times New Roman" w:cs="仿宋_GB2312" w:hint="eastAsia"/>
          <w:b w:val="0"/>
          <w:bCs w:val="0"/>
          <w:sz w:val="32"/>
          <w:szCs w:val="32"/>
        </w:rPr>
        <w:t>铜官区经信局</w:t>
      </w:r>
      <w:r>
        <w:rPr>
          <w:rFonts w:ascii="Times New Roman" w:eastAsia="仿宋_GB2312" w:hAnsi="Times New Roman" w:cs="仿宋_GB2312" w:hint="default"/>
          <w:b w:val="0"/>
          <w:bCs w:val="0"/>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default"/>
          <w:b w:val="0"/>
          <w:bCs w:val="0"/>
          <w:sz w:val="32"/>
          <w:szCs w:val="32"/>
        </w:rPr>
      </w:pPr>
      <w:r>
        <w:rPr>
          <w:rFonts w:ascii="Times New Roman" w:eastAsia="仿宋_GB2312" w:hAnsi="Times New Roman" w:cs="仿宋_GB2312" w:hint="eastAsia"/>
          <w:b w:val="0"/>
          <w:bCs w:val="0"/>
          <w:sz w:val="32"/>
          <w:szCs w:val="32"/>
          <w:lang w:val="en-US" w:eastAsia="zh-CN"/>
        </w:rPr>
        <w:t>（4）</w:t>
      </w:r>
      <w:r>
        <w:rPr>
          <w:rFonts w:ascii="Times New Roman" w:eastAsia="仿宋_GB2312" w:hAnsi="Times New Roman" w:cs="仿宋_GB2312" w:hint="eastAsia"/>
          <w:b w:val="0"/>
          <w:bCs w:val="0"/>
          <w:sz w:val="32"/>
          <w:szCs w:val="32"/>
          <w:lang w:val="en-US"/>
        </w:rPr>
        <w:t>起止时间</w:t>
      </w:r>
      <w:r>
        <w:rPr>
          <w:rFonts w:ascii="Times New Roman" w:eastAsia="仿宋_GB2312" w:hAnsi="Times New Roman" w:cs="仿宋_GB2312" w:hint="default"/>
          <w:b w:val="0"/>
          <w:bCs w:val="0"/>
          <w:sz w:val="32"/>
          <w:szCs w:val="32"/>
        </w:rPr>
        <w:t>。</w:t>
      </w:r>
      <w:r>
        <w:rPr>
          <w:rFonts w:ascii="Times New Roman" w:eastAsia="仿宋_GB2312" w:hAnsi="Times New Roman" w:cs="仿宋_GB2312" w:hint="eastAsia"/>
          <w:b w:val="0"/>
          <w:bCs w:val="0"/>
          <w:sz w:val="32"/>
          <w:szCs w:val="32"/>
        </w:rPr>
        <w:t>2024.01-2024.12</w:t>
      </w:r>
      <w:r>
        <w:rPr>
          <w:rFonts w:ascii="Times New Roman" w:eastAsia="仿宋_GB2312" w:hAnsi="Times New Roman" w:cs="仿宋_GB2312" w:hint="default"/>
          <w:b w:val="0"/>
          <w:bCs w:val="0"/>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default"/>
          <w:b w:val="0"/>
          <w:bCs w:val="0"/>
          <w:sz w:val="32"/>
          <w:szCs w:val="32"/>
        </w:rPr>
      </w:pPr>
      <w:r>
        <w:rPr>
          <w:rFonts w:ascii="Times New Roman" w:eastAsia="仿宋_GB2312" w:hAnsi="Times New Roman" w:cs="仿宋_GB2312" w:hint="eastAsia"/>
          <w:b w:val="0"/>
          <w:bCs w:val="0"/>
          <w:sz w:val="32"/>
          <w:szCs w:val="32"/>
          <w:lang w:val="en-US" w:eastAsia="zh-CN"/>
        </w:rPr>
        <w:t>（5）</w:t>
      </w:r>
      <w:r>
        <w:rPr>
          <w:rFonts w:ascii="Times New Roman" w:eastAsia="仿宋_GB2312" w:hAnsi="Times New Roman" w:cs="仿宋_GB2312" w:hint="eastAsia"/>
          <w:b w:val="0"/>
          <w:bCs w:val="0"/>
          <w:sz w:val="32"/>
          <w:szCs w:val="32"/>
          <w:lang w:val="en-US"/>
        </w:rPr>
        <w:t>项目内容</w:t>
      </w:r>
      <w:r>
        <w:rPr>
          <w:rFonts w:ascii="Times New Roman" w:eastAsia="仿宋_GB2312" w:hAnsi="Times New Roman" w:cs="仿宋_GB2312" w:hint="default"/>
          <w:b w:val="0"/>
          <w:bCs w:val="0"/>
          <w:sz w:val="32"/>
          <w:szCs w:val="32"/>
        </w:rPr>
        <w:t>。</w:t>
      </w:r>
      <w:r>
        <w:rPr>
          <w:rFonts w:ascii="Times New Roman" w:eastAsia="仿宋_GB2312" w:hAnsi="Times New Roman" w:cs="仿宋_GB2312" w:hint="eastAsia"/>
          <w:b w:val="0"/>
          <w:bCs w:val="0"/>
          <w:sz w:val="32"/>
          <w:szCs w:val="32"/>
        </w:rPr>
        <w:t>用于五松村资委执行委员会补助及工作经费的拨付</w:t>
      </w:r>
      <w:r>
        <w:rPr>
          <w:rFonts w:ascii="Times New Roman" w:eastAsia="仿宋_GB2312" w:hAnsi="Times New Roman" w:cs="仿宋_GB2312" w:hint="default"/>
          <w:b w:val="0"/>
          <w:bCs w:val="0"/>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default"/>
          <w:b w:val="0"/>
          <w:bCs w:val="0"/>
          <w:sz w:val="32"/>
          <w:szCs w:val="32"/>
        </w:rPr>
      </w:pPr>
      <w:r>
        <w:rPr>
          <w:rFonts w:ascii="Times New Roman" w:eastAsia="仿宋_GB2312" w:hAnsi="Times New Roman" w:cs="仿宋_GB2312" w:hint="eastAsia"/>
          <w:b w:val="0"/>
          <w:bCs w:val="0"/>
          <w:sz w:val="32"/>
          <w:szCs w:val="32"/>
          <w:lang w:val="en-US" w:eastAsia="zh-CN"/>
        </w:rPr>
        <w:t>（6）</w:t>
      </w:r>
      <w:r>
        <w:rPr>
          <w:rFonts w:ascii="Times New Roman" w:eastAsia="仿宋_GB2312" w:hAnsi="Times New Roman" w:cs="仿宋_GB2312" w:hint="eastAsia"/>
          <w:b w:val="0"/>
          <w:bCs w:val="0"/>
          <w:sz w:val="32"/>
          <w:szCs w:val="32"/>
          <w:lang w:val="en-US"/>
        </w:rPr>
        <w:t>年度预算安排</w:t>
      </w:r>
      <w:r>
        <w:rPr>
          <w:rFonts w:ascii="Times New Roman" w:eastAsia="仿宋_GB2312" w:hAnsi="Times New Roman" w:cs="仿宋_GB2312" w:hint="default"/>
          <w:b w:val="0"/>
          <w:bCs w:val="0"/>
          <w:sz w:val="32"/>
          <w:szCs w:val="32"/>
        </w:rPr>
        <w:t>。</w:t>
      </w:r>
      <w:r>
        <w:rPr>
          <w:rFonts w:ascii="Times New Roman" w:eastAsia="仿宋_GB2312" w:hAnsi="Times New Roman" w:cs="仿宋_GB2312" w:hint="eastAsia"/>
          <w:b w:val="0"/>
          <w:bCs w:val="0"/>
          <w:sz w:val="32"/>
          <w:szCs w:val="32"/>
        </w:rPr>
        <w:t>13.16</w:t>
      </w:r>
      <w:r>
        <w:rPr>
          <w:rFonts w:ascii="Times New Roman" w:eastAsia="仿宋_GB2312" w:hAnsi="Times New Roman" w:cs="仿宋_GB2312" w:hint="eastAsia"/>
          <w:b w:val="0"/>
          <w:bCs w:val="0"/>
          <w:sz w:val="32"/>
          <w:szCs w:val="32"/>
          <w:lang w:val="en-US" w:eastAsia="zh-CN"/>
        </w:rPr>
        <w:t>万元</w:t>
      </w:r>
      <w:r>
        <w:rPr>
          <w:rFonts w:ascii="Times New Roman" w:eastAsia="仿宋_GB2312" w:hAnsi="Times New Roman" w:cs="仿宋_GB2312" w:hint="default"/>
          <w:b w:val="0"/>
          <w:bCs w:val="0"/>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default"/>
          <w:b w:val="0"/>
          <w:bCs w:val="0"/>
          <w:sz w:val="32"/>
          <w:szCs w:val="32"/>
        </w:rPr>
        <w:sectPr>
          <w:pgSz w:w="11906" w:h="16838"/>
          <w:pgMar w:top="1440" w:right="1800" w:bottom="1440" w:left="1800" w:header="851" w:footer="992" w:gutter="0"/>
          <w:cols w:num="1" w:space="425"/>
          <w:docGrid w:type="lines" w:linePitch="312" w:charSpace="0"/>
        </w:sectPr>
      </w:pPr>
      <w:r>
        <w:rPr>
          <w:rFonts w:ascii="Times New Roman" w:eastAsia="仿宋_GB2312" w:hAnsi="Times New Roman" w:cs="仿宋_GB2312" w:hint="eastAsia"/>
          <w:b w:val="0"/>
          <w:bCs w:val="0"/>
          <w:sz w:val="32"/>
          <w:szCs w:val="32"/>
          <w:lang w:val="en-US" w:eastAsia="zh-CN"/>
        </w:rPr>
        <w:t>（7）</w:t>
      </w:r>
      <w:r>
        <w:rPr>
          <w:rFonts w:ascii="Times New Roman" w:eastAsia="仿宋_GB2312" w:hAnsi="Times New Roman" w:cs="仿宋_GB2312" w:hint="eastAsia"/>
          <w:b w:val="0"/>
          <w:bCs w:val="0"/>
          <w:sz w:val="32"/>
          <w:szCs w:val="32"/>
          <w:lang w:val="en-US"/>
        </w:rPr>
        <w:t>绩效目标</w:t>
      </w:r>
      <w:r>
        <w:rPr>
          <w:rFonts w:ascii="Times New Roman" w:eastAsia="仿宋_GB2312" w:hAnsi="Times New Roman" w:cs="仿宋_GB2312" w:hint="default"/>
          <w:b w:val="0"/>
          <w:bCs w:val="0"/>
          <w:sz w:val="32"/>
          <w:szCs w:val="32"/>
        </w:rPr>
        <w:t>。</w:t>
      </w: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五松村资委执行委员会补助及工作经费</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13.16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13.16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支付五松村资委执行委员会上半年补助及工作经费</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131600元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131600元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eastAsia"/>
          <w:b/>
          <w:bCs/>
          <w:sz w:val="32"/>
          <w:szCs w:val="32"/>
          <w:lang w:val="en-US"/>
        </w:rPr>
      </w:pPr>
      <w:r>
        <w:rPr>
          <w:rFonts w:ascii="Times New Roman" w:eastAsia="仿宋_GB2312" w:hAnsi="Times New Roman" w:cs="仿宋_GB2312" w:hint="eastAsia"/>
          <w:b/>
          <w:bCs/>
          <w:sz w:val="32"/>
          <w:szCs w:val="32"/>
          <w:lang w:val="en-US" w:eastAsia="zh-CN"/>
        </w:rPr>
        <w:t>（二）</w:t>
      </w:r>
      <w:r>
        <w:rPr>
          <w:rFonts w:ascii="Times New Roman" w:eastAsia="仿宋_GB2312" w:hAnsi="Times New Roman" w:cs="仿宋_GB2312" w:hint="eastAsia"/>
          <w:b/>
          <w:bCs/>
          <w:sz w:val="32"/>
          <w:szCs w:val="32"/>
          <w:lang w:val="en-US"/>
        </w:rPr>
        <w:t>机关运行经费。</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default"/>
          <w:b w:val="0"/>
          <w:bCs w:val="0"/>
          <w:sz w:val="32"/>
          <w:szCs w:val="32"/>
        </w:rPr>
      </w:pPr>
      <w:r>
        <w:rPr>
          <w:rFonts w:ascii="Times New Roman" w:eastAsia="仿宋_GB2312" w:hAnsi="Times New Roman" w:cs="仿宋_GB2312" w:hint="default"/>
          <w:b w:val="0"/>
          <w:bCs w:val="0"/>
          <w:sz w:val="32"/>
          <w:szCs w:val="32"/>
        </w:rPr>
        <w:t>铜陵市铜官区经济与信息化局2024年机关运行经费财政拨款预算25.28万元，比2023年预算增加3.96万元，增长18.57%，增长原因主要是本年预算数：25.28，上年预算数：21.32,部门事务增加。</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eastAsia"/>
          <w:b/>
          <w:bCs/>
          <w:sz w:val="32"/>
          <w:szCs w:val="32"/>
          <w:lang w:val="en-US"/>
        </w:rPr>
      </w:pPr>
      <w:r>
        <w:rPr>
          <w:rFonts w:ascii="Times New Roman" w:eastAsia="仿宋_GB2312" w:hAnsi="Times New Roman" w:cs="仿宋_GB2312" w:hint="eastAsia"/>
          <w:b/>
          <w:bCs/>
          <w:sz w:val="32"/>
          <w:szCs w:val="32"/>
          <w:lang w:val="en-US" w:eastAsia="zh-CN"/>
        </w:rPr>
        <w:t>（三）</w:t>
      </w:r>
      <w:r>
        <w:rPr>
          <w:rFonts w:ascii="Times New Roman" w:eastAsia="仿宋_GB2312" w:hAnsi="Times New Roman" w:cs="仿宋_GB2312" w:hint="eastAsia"/>
          <w:b/>
          <w:bCs/>
          <w:sz w:val="32"/>
          <w:szCs w:val="32"/>
          <w:lang w:val="en-US"/>
        </w:rPr>
        <w:t>政府采购情况</w:t>
      </w:r>
      <w:r>
        <w:rPr>
          <w:rFonts w:ascii="Times New Roman" w:eastAsia="仿宋_GB2312" w:hAnsi="Times New Roman" w:cs="仿宋_GB2312" w:hint="default"/>
          <w:b/>
          <w:bCs/>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eastAsia"/>
          <w:b w:val="0"/>
          <w:bCs w:val="0"/>
          <w:sz w:val="32"/>
          <w:szCs w:val="32"/>
          <w:lang w:val="en-US"/>
        </w:rPr>
      </w:pPr>
      <w:r>
        <w:rPr>
          <w:rFonts w:ascii="Times New Roman" w:eastAsia="仿宋_GB2312" w:hAnsi="Times New Roman" w:cs="仿宋_GB2312" w:hint="default"/>
          <w:b w:val="0"/>
          <w:bCs w:val="0"/>
          <w:sz w:val="32"/>
          <w:szCs w:val="32"/>
        </w:rPr>
        <w:t>铜陵市铜官区经济与信息化局2024</w:t>
      </w:r>
      <w:r>
        <w:rPr>
          <w:rFonts w:ascii="Times New Roman" w:eastAsia="仿宋_GB2312" w:hAnsi="Times New Roman" w:cs="仿宋_GB2312" w:hint="eastAsia"/>
          <w:b w:val="0"/>
          <w:bCs w:val="0"/>
          <w:sz w:val="32"/>
          <w:szCs w:val="32"/>
          <w:lang w:val="en-US"/>
        </w:rPr>
        <w:t>年政府采购预算总额</w:t>
      </w:r>
      <w:r>
        <w:rPr>
          <w:rFonts w:ascii="Times New Roman" w:eastAsia="仿宋_GB2312" w:hAnsi="Times New Roman" w:cs="仿宋_GB2312" w:hint="default"/>
          <w:b w:val="0"/>
          <w:bCs w:val="0"/>
          <w:sz w:val="32"/>
          <w:szCs w:val="32"/>
        </w:rPr>
        <w:t>0</w:t>
      </w:r>
      <w:r>
        <w:rPr>
          <w:rFonts w:ascii="Times New Roman" w:eastAsia="仿宋_GB2312" w:hAnsi="Times New Roman" w:cs="仿宋_GB2312" w:hint="eastAsia"/>
          <w:b w:val="0"/>
          <w:bCs w:val="0"/>
          <w:sz w:val="32"/>
          <w:szCs w:val="32"/>
          <w:lang w:val="en-US"/>
        </w:rPr>
        <w:t>万元。其中：政府采购货物预算0万元，政府采购工程预算0万元，政府采购服务预算0万元。</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eastAsia"/>
          <w:b/>
          <w:bCs/>
          <w:sz w:val="32"/>
          <w:szCs w:val="32"/>
          <w:lang w:val="en-US"/>
        </w:rPr>
      </w:pPr>
      <w:r>
        <w:rPr>
          <w:rFonts w:ascii="Times New Roman" w:eastAsia="仿宋_GB2312" w:hAnsi="Times New Roman" w:cs="仿宋_GB2312" w:hint="eastAsia"/>
          <w:b/>
          <w:bCs/>
          <w:sz w:val="32"/>
          <w:szCs w:val="32"/>
          <w:lang w:val="en-US" w:eastAsia="zh-CN"/>
        </w:rPr>
        <w:t>（四）</w:t>
      </w:r>
      <w:r>
        <w:rPr>
          <w:rFonts w:ascii="Times New Roman" w:eastAsia="仿宋_GB2312" w:hAnsi="Times New Roman" w:cs="仿宋_GB2312" w:hint="eastAsia"/>
          <w:b/>
          <w:bCs/>
          <w:sz w:val="32"/>
          <w:szCs w:val="32"/>
          <w:lang w:val="en-US"/>
        </w:rPr>
        <w:t>国有资产占有使用情况</w:t>
      </w:r>
      <w:r>
        <w:rPr>
          <w:rFonts w:ascii="Times New Roman" w:eastAsia="仿宋_GB2312" w:hAnsi="Times New Roman" w:cs="仿宋_GB2312" w:hint="default"/>
          <w:b/>
          <w:bCs/>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eastAsia"/>
          <w:b w:val="0"/>
          <w:bCs w:val="0"/>
          <w:sz w:val="32"/>
          <w:szCs w:val="32"/>
          <w:lang w:val="en-US"/>
        </w:rPr>
      </w:pPr>
      <w:r>
        <w:rPr>
          <w:rFonts w:ascii="Times New Roman" w:eastAsia="仿宋_GB2312" w:hAnsi="Times New Roman" w:cs="仿宋_GB2312" w:hint="eastAsia"/>
          <w:b w:val="0"/>
          <w:bCs w:val="0"/>
          <w:sz w:val="32"/>
          <w:szCs w:val="32"/>
          <w:lang w:val="en-US"/>
        </w:rPr>
        <w:t>截至</w:t>
      </w:r>
      <w:r>
        <w:rPr>
          <w:rFonts w:ascii="Times New Roman" w:eastAsia="仿宋_GB2312" w:hAnsi="Times New Roman" w:cs="仿宋_GB2312" w:hint="default"/>
          <w:b w:val="0"/>
          <w:bCs w:val="0"/>
          <w:sz w:val="32"/>
          <w:szCs w:val="32"/>
        </w:rPr>
        <w:t>2023</w:t>
      </w:r>
      <w:r>
        <w:rPr>
          <w:rFonts w:ascii="Times New Roman" w:eastAsia="仿宋_GB2312" w:hAnsi="Times New Roman" w:cs="仿宋_GB2312" w:hint="eastAsia"/>
          <w:b w:val="0"/>
          <w:bCs w:val="0"/>
          <w:sz w:val="32"/>
          <w:szCs w:val="32"/>
          <w:lang w:val="en-US"/>
        </w:rPr>
        <w:t>年12月31日，</w:t>
      </w:r>
      <w:r>
        <w:rPr>
          <w:rFonts w:ascii="Times New Roman" w:eastAsia="仿宋_GB2312" w:hAnsi="Times New Roman" w:cs="仿宋_GB2312" w:hint="default"/>
          <w:b w:val="0"/>
          <w:bCs w:val="0"/>
          <w:sz w:val="32"/>
          <w:szCs w:val="32"/>
        </w:rPr>
        <w:t>铜陵市铜官区经济与信息化局</w:t>
      </w:r>
      <w:r>
        <w:rPr>
          <w:rFonts w:ascii="Times New Roman" w:eastAsia="仿宋_GB2312" w:hAnsi="Times New Roman" w:cs="仿宋_GB2312" w:hint="eastAsia"/>
          <w:b w:val="0"/>
          <w:bCs w:val="0"/>
          <w:sz w:val="32"/>
          <w:szCs w:val="32"/>
          <w:lang w:val="en-US"/>
        </w:rPr>
        <w:t>共有车辆</w:t>
      </w:r>
      <w:r>
        <w:rPr>
          <w:rFonts w:ascii="Times New Roman" w:eastAsia="仿宋_GB2312" w:hAnsi="Times New Roman" w:cs="仿宋_GB2312" w:hint="default"/>
          <w:b w:val="0"/>
          <w:bCs w:val="0"/>
          <w:sz w:val="32"/>
          <w:szCs w:val="32"/>
        </w:rPr>
        <w:t>0</w:t>
      </w:r>
      <w:r>
        <w:rPr>
          <w:rFonts w:ascii="Times New Roman" w:eastAsia="仿宋_GB2312" w:hAnsi="Times New Roman" w:cs="仿宋_GB2312" w:hint="eastAsia"/>
          <w:b w:val="0"/>
          <w:bCs w:val="0"/>
          <w:sz w:val="32"/>
          <w:szCs w:val="32"/>
          <w:lang w:val="en-US"/>
        </w:rPr>
        <w:t>辆，</w:t>
      </w:r>
      <w:r>
        <w:rPr>
          <w:rFonts w:ascii="Times New Roman" w:eastAsia="仿宋_GB2312" w:hAnsi="Times New Roman" w:cs="仿宋_GB2312" w:hint="eastAsia"/>
          <w:b w:val="0"/>
          <w:bCs w:val="0"/>
          <w:sz w:val="32"/>
          <w:szCs w:val="32"/>
          <w:lang w:val="en-US"/>
        </w:rPr>
        <w:t>单位价值50万元以上的通用设备</w:t>
      </w:r>
      <w:r>
        <w:rPr>
          <w:rFonts w:ascii="Times New Roman" w:eastAsia="仿宋_GB2312" w:hAnsi="Times New Roman" w:cs="仿宋_GB2312" w:hint="default"/>
          <w:b w:val="0"/>
          <w:bCs w:val="0"/>
          <w:sz w:val="32"/>
          <w:szCs w:val="32"/>
        </w:rPr>
        <w:t>0</w:t>
      </w:r>
      <w:r>
        <w:rPr>
          <w:rFonts w:ascii="Times New Roman" w:eastAsia="仿宋_GB2312" w:hAnsi="Times New Roman" w:cs="仿宋_GB2312" w:hint="eastAsia"/>
          <w:b w:val="0"/>
          <w:bCs w:val="0"/>
          <w:sz w:val="32"/>
          <w:szCs w:val="32"/>
          <w:lang w:val="en-US"/>
        </w:rPr>
        <w:t>台（套）。</w:t>
      </w:r>
    </w:p>
    <w:p>
      <w:pPr>
        <w:keepNext w:val="0"/>
        <w:keepLines w:val="0"/>
        <w:pageBreakBefore w:val="0"/>
        <w:widowControl w:val="0"/>
        <w:numPr>
          <w:ilvl w:val="0"/>
          <w:numId w:val="0"/>
        </w:numPr>
        <w:kinsoku/>
        <w:wordWrap w:val="0"/>
        <w:overflowPunct/>
        <w:topLinePunct w:val="0"/>
        <w:autoSpaceDE/>
        <w:autoSpaceDN/>
        <w:bidi w:val="0"/>
        <w:adjustRightInd/>
        <w:snapToGrid/>
        <w:ind w:firstLine="420" w:firstLineChars="200"/>
        <w:textAlignment w:val="auto"/>
        <w:rPr>
          <w:rFonts w:ascii="Times New Roman" w:eastAsia="仿宋_GB2312" w:hAnsi="Times New Roman" w:cs="仿宋_GB2312" w:hint="eastAsia"/>
          <w:b w:val="0"/>
          <w:bCs w:val="0"/>
          <w:sz w:val="32"/>
          <w:szCs w:val="32"/>
          <w:lang w:val="en-US"/>
        </w:rPr>
      </w:pPr>
      <w:r>
        <w:rPr>
          <w:rFonts w:ascii="Times New Roman" w:eastAsia="仿宋_GB2312" w:hAnsi="Times New Roman" w:cs="仿宋_GB2312" w:hint="default"/>
          <w:b w:val="0"/>
          <w:bCs w:val="0"/>
          <w:sz w:val="32"/>
          <w:szCs w:val="32"/>
        </w:rPr>
        <w:t>2024</w:t>
      </w:r>
      <w:r>
        <w:rPr>
          <w:rFonts w:ascii="Times New Roman" w:eastAsia="仿宋_GB2312" w:hAnsi="Times New Roman" w:cs="仿宋_GB2312" w:hint="eastAsia"/>
          <w:b w:val="0"/>
          <w:bCs w:val="0"/>
          <w:sz w:val="32"/>
          <w:szCs w:val="32"/>
          <w:lang w:val="en-US"/>
        </w:rPr>
        <w:t>年</w:t>
      </w:r>
      <w:r>
        <w:rPr>
          <w:rFonts w:ascii="Times New Roman" w:eastAsia="仿宋_GB2312" w:hAnsi="Times New Roman" w:cs="仿宋_GB2312" w:hint="default"/>
          <w:b w:val="0"/>
          <w:bCs w:val="0"/>
          <w:sz w:val="32"/>
          <w:szCs w:val="32"/>
        </w:rPr>
        <w:t>部门</w:t>
      </w:r>
      <w:r>
        <w:rPr>
          <w:rFonts w:ascii="Times New Roman" w:eastAsia="仿宋_GB2312" w:hAnsi="Times New Roman" w:cs="仿宋_GB2312" w:hint="eastAsia"/>
          <w:b w:val="0"/>
          <w:bCs w:val="0"/>
          <w:sz w:val="32"/>
          <w:szCs w:val="32"/>
          <w:lang w:val="en-US"/>
        </w:rPr>
        <w:t>预算安排购置公务用车</w:t>
      </w:r>
      <w:r>
        <w:rPr>
          <w:rFonts w:ascii="Times New Roman" w:eastAsia="仿宋_GB2312" w:hAnsi="Times New Roman" w:cs="仿宋_GB2312" w:hint="default"/>
          <w:b w:val="0"/>
          <w:bCs w:val="0"/>
          <w:sz w:val="32"/>
          <w:szCs w:val="32"/>
        </w:rPr>
        <w:t>0</w:t>
      </w:r>
      <w:r>
        <w:rPr>
          <w:rFonts w:ascii="Times New Roman" w:eastAsia="仿宋_GB2312" w:hAnsi="Times New Roman" w:cs="仿宋_GB2312" w:hint="eastAsia"/>
          <w:b w:val="0"/>
          <w:bCs w:val="0"/>
          <w:sz w:val="32"/>
          <w:szCs w:val="32"/>
          <w:lang w:val="en-US"/>
        </w:rPr>
        <w:t>辆，购置费</w:t>
      </w:r>
      <w:r>
        <w:rPr>
          <w:rFonts w:ascii="Times New Roman" w:eastAsia="仿宋_GB2312" w:hAnsi="Times New Roman" w:cs="仿宋_GB2312" w:hint="default"/>
          <w:b w:val="0"/>
          <w:bCs w:val="0"/>
          <w:sz w:val="32"/>
          <w:szCs w:val="32"/>
        </w:rPr>
        <w:t>0</w:t>
      </w:r>
      <w:r>
        <w:rPr>
          <w:rFonts w:ascii="Times New Roman" w:eastAsia="仿宋_GB2312" w:hAnsi="Times New Roman" w:cs="仿宋_GB2312" w:hint="eastAsia"/>
          <w:b w:val="0"/>
          <w:bCs w:val="0"/>
          <w:sz w:val="32"/>
          <w:szCs w:val="32"/>
          <w:lang w:val="en-US"/>
        </w:rPr>
        <w:t>万元，安排购置单位价值50万元以上的通用设备</w:t>
      </w:r>
      <w:r>
        <w:rPr>
          <w:rFonts w:ascii="Times New Roman" w:eastAsia="仿宋_GB2312" w:hAnsi="Times New Roman" w:cs="仿宋_GB2312" w:hint="default"/>
          <w:b w:val="0"/>
          <w:bCs w:val="0"/>
          <w:sz w:val="32"/>
          <w:szCs w:val="32"/>
        </w:rPr>
        <w:t>0</w:t>
      </w:r>
      <w:r>
        <w:rPr>
          <w:rFonts w:ascii="Times New Roman" w:eastAsia="仿宋_GB2312" w:hAnsi="Times New Roman" w:cs="仿宋_GB2312" w:hint="eastAsia"/>
          <w:b w:val="0"/>
          <w:bCs w:val="0"/>
          <w:sz w:val="32"/>
          <w:szCs w:val="32"/>
          <w:lang w:val="en-US"/>
        </w:rPr>
        <w:t>台（套），购置费</w:t>
      </w:r>
      <w:r>
        <w:rPr>
          <w:rFonts w:ascii="Times New Roman" w:eastAsia="仿宋_GB2312" w:hAnsi="Times New Roman" w:cs="仿宋_GB2312" w:hint="default"/>
          <w:b w:val="0"/>
          <w:bCs w:val="0"/>
          <w:sz w:val="32"/>
          <w:szCs w:val="32"/>
        </w:rPr>
        <w:t>0</w:t>
      </w:r>
      <w:r>
        <w:rPr>
          <w:rFonts w:ascii="Times New Roman" w:eastAsia="仿宋_GB2312" w:hAnsi="Times New Roman" w:cs="仿宋_GB2312" w:hint="eastAsia"/>
          <w:b w:val="0"/>
          <w:bCs w:val="0"/>
          <w:sz w:val="32"/>
          <w:szCs w:val="32"/>
          <w:lang w:val="en-US"/>
        </w:rPr>
        <w:t>万元。</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eastAsia"/>
          <w:b/>
          <w:bCs/>
          <w:sz w:val="32"/>
          <w:szCs w:val="32"/>
          <w:lang w:val="en-US"/>
        </w:rPr>
      </w:pPr>
      <w:r>
        <w:rPr>
          <w:rFonts w:ascii="Times New Roman" w:eastAsia="仿宋_GB2312" w:hAnsi="Times New Roman" w:cs="仿宋_GB2312" w:hint="eastAsia"/>
          <w:b/>
          <w:bCs/>
          <w:sz w:val="32"/>
          <w:szCs w:val="32"/>
          <w:lang w:val="en-US" w:eastAsia="zh-CN"/>
        </w:rPr>
        <w:t>（五）</w:t>
      </w:r>
      <w:r>
        <w:rPr>
          <w:rFonts w:ascii="Times New Roman" w:eastAsia="仿宋_GB2312" w:hAnsi="Times New Roman" w:cs="仿宋_GB2312" w:hint="eastAsia"/>
          <w:b/>
          <w:bCs/>
          <w:sz w:val="32"/>
          <w:szCs w:val="32"/>
          <w:lang w:val="en-US"/>
        </w:rPr>
        <w:t>绩效目标设置情况</w:t>
      </w:r>
      <w:r>
        <w:rPr>
          <w:rFonts w:ascii="Times New Roman" w:eastAsia="仿宋_GB2312" w:hAnsi="Times New Roman" w:cs="仿宋_GB2312" w:hint="default"/>
          <w:b/>
          <w:bCs/>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ascii="Times New Roman" w:eastAsia="仿宋_GB2312" w:hAnsi="Times New Roman" w:cs="仿宋_GB2312" w:hint="eastAsia"/>
          <w:b w:val="0"/>
          <w:bCs w:val="0"/>
          <w:sz w:val="32"/>
          <w:szCs w:val="32"/>
          <w:lang w:val="en-US"/>
        </w:rPr>
        <w:sectPr>
          <w:pgSz w:w="11906" w:h="16838"/>
          <w:pgMar w:top="1440" w:right="1800" w:bottom="1440" w:left="1800" w:header="851" w:footer="992" w:gutter="0"/>
          <w:cols w:num="1" w:space="425"/>
          <w:docGrid w:type="lines" w:linePitch="312" w:charSpace="0"/>
        </w:sectPr>
      </w:pPr>
      <w:r>
        <w:rPr>
          <w:rFonts w:ascii="Times New Roman" w:eastAsia="仿宋_GB2312" w:hAnsi="Times New Roman" w:cs="仿宋_GB2312" w:hint="default"/>
          <w:b w:val="0"/>
          <w:bCs w:val="0"/>
          <w:sz w:val="32"/>
          <w:szCs w:val="32"/>
        </w:rPr>
        <w:t>2024</w:t>
      </w:r>
      <w:r>
        <w:rPr>
          <w:rFonts w:ascii="Times New Roman" w:eastAsia="仿宋_GB2312" w:hAnsi="Times New Roman" w:cs="仿宋_GB2312" w:hint="eastAsia"/>
          <w:b w:val="0"/>
          <w:bCs w:val="0"/>
          <w:sz w:val="32"/>
          <w:szCs w:val="32"/>
          <w:lang w:val="en-US"/>
        </w:rPr>
        <w:t>年，</w:t>
      </w:r>
      <w:r>
        <w:rPr>
          <w:rFonts w:ascii="Times New Roman" w:eastAsia="仿宋_GB2312" w:hAnsi="Times New Roman" w:cs="仿宋_GB2312" w:hint="default"/>
          <w:b w:val="0"/>
          <w:bCs w:val="0"/>
          <w:sz w:val="32"/>
          <w:szCs w:val="32"/>
        </w:rPr>
        <w:t>铜陵市铜官区经济与信息化局20</w:t>
      </w:r>
      <w:r>
        <w:rPr>
          <w:rFonts w:ascii="Times New Roman" w:eastAsia="仿宋_GB2312" w:hAnsi="Times New Roman" w:cs="仿宋_GB2312" w:hint="eastAsia"/>
          <w:b w:val="0"/>
          <w:bCs w:val="0"/>
          <w:sz w:val="32"/>
          <w:szCs w:val="32"/>
          <w:lang w:val="en-US"/>
        </w:rPr>
        <w:t>个项目实行了绩效目标管理，涉及一般公共预算当年财政拨款</w:t>
      </w:r>
      <w:r>
        <w:rPr>
          <w:rFonts w:ascii="Times New Roman" w:eastAsia="仿宋_GB2312" w:hAnsi="Times New Roman" w:cs="仿宋_GB2312" w:hint="default"/>
          <w:b w:val="0"/>
          <w:bCs w:val="0"/>
          <w:sz w:val="32"/>
          <w:szCs w:val="32"/>
        </w:rPr>
        <w:t>241.3</w:t>
      </w:r>
      <w:r>
        <w:rPr>
          <w:rFonts w:ascii="Times New Roman" w:eastAsia="仿宋_GB2312" w:hAnsi="Times New Roman" w:cs="仿宋_GB2312" w:hint="eastAsia"/>
          <w:b w:val="0"/>
          <w:bCs w:val="0"/>
          <w:sz w:val="32"/>
          <w:szCs w:val="32"/>
          <w:lang w:val="en-US"/>
        </w:rPr>
        <w:t>万元、政府性基金预算当年财政拨款</w:t>
      </w:r>
      <w:r>
        <w:rPr>
          <w:rFonts w:ascii="Times New Roman" w:eastAsia="仿宋_GB2312" w:hAnsi="Times New Roman" w:cs="仿宋_GB2312" w:hint="default"/>
          <w:b w:val="0"/>
          <w:bCs w:val="0"/>
          <w:sz w:val="32"/>
          <w:szCs w:val="32"/>
        </w:rPr>
        <w:t>0</w:t>
      </w:r>
      <w:r>
        <w:rPr>
          <w:rFonts w:ascii="Times New Roman" w:eastAsia="仿宋_GB2312" w:hAnsi="Times New Roman" w:cs="仿宋_GB2312" w:hint="eastAsia"/>
          <w:b w:val="0"/>
          <w:bCs w:val="0"/>
          <w:sz w:val="32"/>
          <w:szCs w:val="32"/>
          <w:lang w:val="en-US"/>
        </w:rPr>
        <w:t>万元、国有资本经营预算当年财政拨款</w:t>
      </w:r>
      <w:r>
        <w:rPr>
          <w:rFonts w:ascii="Times New Roman" w:eastAsia="仿宋_GB2312" w:hAnsi="Times New Roman" w:cs="仿宋_GB2312" w:hint="default"/>
          <w:b w:val="0"/>
          <w:bCs w:val="0"/>
          <w:sz w:val="32"/>
          <w:szCs w:val="32"/>
        </w:rPr>
        <w:t>0</w:t>
      </w:r>
      <w:r>
        <w:rPr>
          <w:rFonts w:ascii="Times New Roman" w:eastAsia="仿宋_GB2312" w:hAnsi="Times New Roman" w:cs="仿宋_GB2312" w:hint="eastAsia"/>
          <w:b w:val="0"/>
          <w:bCs w:val="0"/>
          <w:sz w:val="32"/>
          <w:szCs w:val="32"/>
          <w:lang w:val="en-US"/>
        </w:rPr>
        <w:t>万元、财政专户管理资金当年安排</w:t>
      </w:r>
      <w:r>
        <w:rPr>
          <w:rFonts w:ascii="Times New Roman" w:eastAsia="仿宋_GB2312" w:hAnsi="Times New Roman" w:cs="仿宋_GB2312" w:hint="default"/>
          <w:b w:val="0"/>
          <w:bCs w:val="0"/>
          <w:sz w:val="32"/>
          <w:szCs w:val="32"/>
        </w:rPr>
        <w:t>0</w:t>
      </w:r>
      <w:r>
        <w:rPr>
          <w:rFonts w:ascii="Times New Roman" w:eastAsia="仿宋_GB2312" w:hAnsi="Times New Roman" w:cs="仿宋_GB2312" w:hint="eastAsia"/>
          <w:b w:val="0"/>
          <w:bCs w:val="0"/>
          <w:sz w:val="32"/>
          <w:szCs w:val="32"/>
          <w:lang w:val="en-US"/>
        </w:rPr>
        <w:t>万元和单位资金</w:t>
      </w:r>
      <w:r>
        <w:rPr>
          <w:rFonts w:ascii="Times New Roman" w:eastAsia="仿宋_GB2312" w:hAnsi="Times New Roman" w:cs="仿宋_GB2312" w:hint="eastAsia"/>
          <w:b w:val="0"/>
          <w:bCs w:val="0"/>
          <w:sz w:val="32"/>
          <w:szCs w:val="32"/>
          <w:lang w:val="en-US" w:eastAsia="zh-CN"/>
        </w:rPr>
        <w:t>当年</w:t>
      </w:r>
      <w:r>
        <w:rPr>
          <w:rFonts w:ascii="Times New Roman" w:eastAsia="仿宋_GB2312" w:hAnsi="Times New Roman" w:cs="仿宋_GB2312" w:hint="eastAsia"/>
          <w:b w:val="0"/>
          <w:bCs w:val="0"/>
          <w:sz w:val="32"/>
          <w:szCs w:val="32"/>
          <w:lang w:val="en-US"/>
        </w:rPr>
        <w:t>安排</w:t>
      </w:r>
      <w:r>
        <w:rPr>
          <w:rFonts w:ascii="Times New Roman" w:eastAsia="仿宋_GB2312" w:hAnsi="Times New Roman" w:cs="仿宋_GB2312" w:hint="default"/>
          <w:b w:val="0"/>
          <w:bCs w:val="0"/>
          <w:sz w:val="32"/>
          <w:szCs w:val="32"/>
        </w:rPr>
        <w:t>0</w:t>
      </w:r>
      <w:r>
        <w:rPr>
          <w:rFonts w:ascii="Times New Roman" w:eastAsia="仿宋_GB2312" w:hAnsi="Times New Roman" w:cs="仿宋_GB2312" w:hint="eastAsia"/>
          <w:b w:val="0"/>
          <w:bCs w:val="0"/>
          <w:sz w:val="32"/>
          <w:szCs w:val="32"/>
          <w:lang w:val="en-US"/>
        </w:rPr>
        <w:t>万元。</w:t>
      </w:r>
    </w:p>
    <w:p>
      <w:pPr>
        <w:keepNext w:val="0"/>
        <w:keepLines w:val="0"/>
        <w:pageBreakBefore w:val="0"/>
        <w:widowControl w:val="0"/>
        <w:numPr>
          <w:ilvl w:val="0"/>
          <w:numId w:val="0"/>
        </w:numPr>
        <w:kinsoku/>
        <w:wordWrap/>
        <w:overflowPunct/>
        <w:topLinePunct w:val="0"/>
        <w:autoSpaceDE/>
        <w:autoSpaceDN/>
        <w:bidi w:val="0"/>
        <w:adjustRightInd/>
        <w:snapToGrid/>
        <w:spacing w:after="312" w:afterLines="100"/>
        <w:jc w:val="center"/>
        <w:textAlignment w:val="auto"/>
        <w:rPr>
          <w:rFonts w:ascii="Times New Roman" w:eastAsia="黑体" w:hAnsi="Times New Roman" w:cs="黑体" w:hint="eastAsia"/>
          <w:sz w:val="36"/>
          <w:szCs w:val="36"/>
          <w:lang w:val="en-US"/>
        </w:rPr>
      </w:pPr>
      <w:r>
        <w:rPr>
          <w:rFonts w:ascii="Times New Roman" w:eastAsia="黑体" w:hAnsi="Times New Roman" w:cs="黑体" w:hint="eastAsia"/>
          <w:sz w:val="36"/>
          <w:szCs w:val="36"/>
          <w:lang w:val="en-US" w:eastAsia="zh-CN"/>
        </w:rPr>
        <w:t xml:space="preserve">第四部分 </w:t>
      </w:r>
      <w:r>
        <w:rPr>
          <w:rFonts w:ascii="Times New Roman" w:eastAsia="黑体" w:hAnsi="Times New Roman" w:cs="黑体" w:hint="eastAsia"/>
          <w:sz w:val="36"/>
          <w:szCs w:val="36"/>
          <w:lang w:val="en-US"/>
        </w:rPr>
        <w:t>名</w:t>
      </w:r>
      <w:r>
        <w:rPr>
          <w:rFonts w:ascii="Times New Roman" w:eastAsia="黑体" w:hAnsi="Times New Roman" w:cs="黑体" w:hint="eastAsia"/>
          <w:sz w:val="36"/>
          <w:szCs w:val="36"/>
          <w:lang w:val="en-US" w:eastAsia="zh-CN"/>
        </w:rPr>
        <w:t>词</w:t>
      </w:r>
      <w:r>
        <w:rPr>
          <w:rFonts w:ascii="Times New Roman" w:eastAsia="黑体" w:hAnsi="Times New Roman" w:cs="黑体" w:hint="eastAsia"/>
          <w:sz w:val="36"/>
          <w:szCs w:val="36"/>
          <w:lang w:val="en-US"/>
        </w:rPr>
        <w:t>解释</w:t>
      </w:r>
    </w:p>
    <w:p>
      <w:pPr>
        <w:jc w:val="both"/>
      </w:pPr>
      <w:r>
        <w:rPr>
          <w:rFonts w:ascii="Times New Roman" w:eastAsia="仿宋_GB2312" w:hAnsi="Times New Roman"/>
          <w:b/>
          <w:sz w:val="32"/>
        </w:rPr>
        <w:t>　　一、财政拨款收入：</w:t>
      </w:r>
      <w:r>
        <w:rPr>
          <w:rFonts w:ascii="Times New Roman" w:eastAsia="仿宋_GB2312" w:hAnsi="Times New Roman"/>
          <w:b w:val="0"/>
          <w:sz w:val="32"/>
        </w:rPr>
        <w:t>指部门或单位从同级财政部门取得的财政预算资金。</w:t>
      </w:r>
    </w:p>
    <w:p>
      <w:pPr>
        <w:jc w:val="both"/>
      </w:pPr>
      <w:r>
        <w:rPr>
          <w:rFonts w:ascii="Times New Roman" w:eastAsia="仿宋_GB2312" w:hAnsi="Times New Roman"/>
          <w:b/>
          <w:sz w:val="32"/>
        </w:rPr>
        <w:t>　　二、事业收入：</w:t>
      </w:r>
      <w:r>
        <w:rPr>
          <w:rFonts w:ascii="Times New Roman" w:eastAsia="仿宋_GB2312" w:hAnsi="Times New Roman"/>
          <w:b w:val="0"/>
          <w:sz w:val="32"/>
        </w:rPr>
        <w:t>指事业单位开展专业业务活动及辅助活动所取得的收入。</w:t>
      </w:r>
    </w:p>
    <w:p>
      <w:pPr>
        <w:jc w:val="both"/>
      </w:pPr>
      <w:r>
        <w:rPr>
          <w:rFonts w:ascii="Times New Roman" w:eastAsia="仿宋_GB2312" w:hAnsi="Times New Roman"/>
          <w:b/>
          <w:sz w:val="32"/>
        </w:rPr>
        <w:t>　　三、财政专户管理资金：</w:t>
      </w:r>
      <w:r>
        <w:rPr>
          <w:rFonts w:ascii="Times New Roman" w:eastAsia="仿宋_GB2312" w:hAnsi="Times New Roman"/>
          <w:b w:val="0"/>
          <w:sz w:val="32"/>
        </w:rPr>
        <w:t>指按照非税收入管理相关规定，纳入财政专户管理的教育收费等。</w:t>
      </w:r>
    </w:p>
    <w:p>
      <w:pPr>
        <w:jc w:val="both"/>
      </w:pPr>
      <w:r>
        <w:rPr>
          <w:rFonts w:ascii="Times New Roman" w:eastAsia="仿宋_GB2312" w:hAnsi="Times New Roman"/>
          <w:b/>
          <w:sz w:val="32"/>
        </w:rPr>
        <w:t>　　四、事业单位经营收入：</w:t>
      </w:r>
      <w:r>
        <w:rPr>
          <w:rFonts w:ascii="Times New Roman" w:eastAsia="仿宋_GB2312" w:hAnsi="Times New Roman"/>
          <w:b w:val="0"/>
          <w:sz w:val="32"/>
        </w:rPr>
        <w:t>指事业单位在专业业务活动及其辅助活动之外开展非独立核算经营活动取得的收入。</w:t>
      </w:r>
    </w:p>
    <w:p>
      <w:pPr>
        <w:jc w:val="both"/>
      </w:pPr>
      <w:r>
        <w:rPr>
          <w:rFonts w:ascii="Times New Roman" w:eastAsia="仿宋_GB2312" w:hAnsi="Times New Roman"/>
          <w:b/>
          <w:sz w:val="32"/>
        </w:rPr>
        <w:t>　　五、附属单位上缴收入：</w:t>
      </w:r>
      <w:r>
        <w:rPr>
          <w:rFonts w:ascii="Times New Roman" w:eastAsia="仿宋_GB2312" w:hAnsi="Times New Roman"/>
          <w:b w:val="0"/>
          <w:sz w:val="32"/>
        </w:rPr>
        <w:t>本单位所属下级单位上缴给本单位的全部收入。</w:t>
      </w:r>
    </w:p>
    <w:p>
      <w:pPr>
        <w:jc w:val="both"/>
      </w:pPr>
      <w:r>
        <w:rPr>
          <w:rFonts w:ascii="Times New Roman" w:eastAsia="仿宋_GB2312" w:hAnsi="Times New Roman"/>
          <w:b/>
          <w:sz w:val="32"/>
        </w:rPr>
        <w:t>　　六、上年结转：</w:t>
      </w:r>
      <w:r>
        <w:rPr>
          <w:rFonts w:ascii="Times New Roman" w:eastAsia="仿宋_GB2312" w:hAnsi="Times New Roman"/>
          <w:b w:val="0"/>
          <w:sz w:val="32"/>
        </w:rPr>
        <w:t>指以前年度安排、结转到本年仍按原用途继续使用的资金。</w:t>
      </w:r>
    </w:p>
    <w:p>
      <w:pPr>
        <w:jc w:val="both"/>
      </w:pPr>
      <w:r>
        <w:rPr>
          <w:rFonts w:ascii="Times New Roman" w:eastAsia="仿宋_GB2312" w:hAnsi="Times New Roman"/>
          <w:b/>
          <w:sz w:val="32"/>
        </w:rPr>
        <w:t>　　七、结转下年：</w:t>
      </w:r>
      <w:r>
        <w:rPr>
          <w:rFonts w:ascii="Times New Roman" w:eastAsia="仿宋_GB2312" w:hAnsi="Times New Roman"/>
          <w:b w:val="0"/>
          <w:sz w:val="32"/>
        </w:rPr>
        <w:t>指以前年度预算安排、因客观条件发生变化无法按原计划实施，需以后年度按原用途继续使用的资金。</w:t>
      </w:r>
    </w:p>
    <w:p>
      <w:pPr>
        <w:jc w:val="both"/>
      </w:pPr>
      <w:r>
        <w:rPr>
          <w:rFonts w:ascii="Times New Roman" w:eastAsia="仿宋_GB2312" w:hAnsi="Times New Roman"/>
          <w:b/>
          <w:sz w:val="32"/>
        </w:rPr>
        <w:t>　　八、基本支出：</w:t>
      </w:r>
      <w:r>
        <w:rPr>
          <w:rFonts w:ascii="Times New Roman" w:eastAsia="仿宋_GB2312" w:hAnsi="Times New Roman"/>
          <w:b w:val="0"/>
          <w:sz w:val="32"/>
        </w:rPr>
        <w:t>指为保障机构正常运转、完成日常工作任务而发生的人员支出和公用支出。</w:t>
      </w:r>
    </w:p>
    <w:p>
      <w:pPr>
        <w:jc w:val="both"/>
      </w:pPr>
      <w:r>
        <w:rPr>
          <w:rFonts w:ascii="Times New Roman" w:eastAsia="仿宋_GB2312" w:hAnsi="Times New Roman"/>
          <w:b/>
          <w:sz w:val="32"/>
        </w:rPr>
        <w:t>　　九、项目支出：</w:t>
      </w:r>
      <w:r>
        <w:rPr>
          <w:rFonts w:ascii="Times New Roman" w:eastAsia="仿宋_GB2312" w:hAnsi="Times New Roman"/>
          <w:b w:val="0"/>
          <w:sz w:val="32"/>
        </w:rPr>
        <w:t>指除基本支出之外的支出，主要用于完成特定的工作任务和事业发展目标。</w:t>
      </w:r>
    </w:p>
    <w:p>
      <w:pPr>
        <w:jc w:val="both"/>
      </w:pPr>
      <w:r>
        <w:rPr>
          <w:rFonts w:ascii="Times New Roman" w:eastAsia="仿宋_GB2312" w:hAnsi="Times New Roman"/>
          <w:b/>
          <w:sz w:val="32"/>
        </w:rPr>
        <w:t>　　十、机关运行经费：</w:t>
      </w:r>
      <w:r>
        <w:rPr>
          <w:rFonts w:ascii="Times New Roman" w:eastAsia="仿宋_GB2312" w:hAnsi="Times New Roman"/>
          <w:b w:val="0"/>
          <w:sz w:val="32"/>
        </w:rPr>
        <w:t>为保障行政单位（包括参照公务员法管理的事业单位）运行用于购买货物和服务的各项资金，包括办公及印刷费、邮电费、差旅费、会议费、福利费、日常维修费、一般设备购置费、办公用房水电费、办公用房取暖费、办公用房物业管理费、公务用车运行维护费以及其他费用。</w:t>
      </w:r>
    </w:p>
    <w:p>
      <w:pPr>
        <w:jc w:val="both"/>
        <w:sectPr>
          <w:pgSz w:w="11906" w:h="16838"/>
          <w:pgMar w:top="1440" w:right="1800" w:bottom="1440" w:left="1800" w:header="851" w:footer="992" w:gutter="0"/>
          <w:cols w:num="1" w:space="425"/>
          <w:docGrid w:type="lines" w:linePitch="312" w:charSpace="0"/>
        </w:sectPr>
      </w:pPr>
      <w:r>
        <w:rPr>
          <w:rFonts w:ascii="Times New Roman" w:eastAsia="仿宋_GB2312" w:hAnsi="Times New Roman"/>
          <w:b/>
          <w:sz w:val="32"/>
        </w:rPr>
        <w:t>　　十一、“三公”经费：</w:t>
      </w:r>
      <w:r>
        <w:rPr>
          <w:rFonts w:ascii="Times New Roman" w:eastAsia="仿宋_GB2312" w:hAnsi="Times New Roman"/>
          <w:b w:val="0"/>
          <w:sz w:val="32"/>
        </w:rPr>
        <w:t>纳入财政预决算管理的“三公”经费，是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及燃料费、维修费、过桥过路费、保险费、安全奖励费用等支出；公务接待费反映单位按规定开支的各类公务接待（含外宾接待）支出。</w:t>
      </w:r>
    </w:p>
    <w:p>
      <w:pPr>
        <w:pStyle w:val="Normal1"/>
        <w:jc w:val="center"/>
        <w:rPr>
          <w:rFonts w:ascii="宋体" w:eastAsia="宋体" w:hAnsi="宋体" w:cs="宋体" w:hint="eastAsia"/>
          <w:b/>
          <w:bCs/>
          <w:sz w:val="32"/>
          <w:szCs w:val="32"/>
          <w:lang w:val="en-US"/>
        </w:rPr>
      </w:pPr>
      <w:r>
        <w:rPr>
          <w:rFonts w:ascii="宋体" w:eastAsia="宋体" w:hAnsi="宋体" w:cs="宋体" w:hint="eastAsia"/>
          <w:b/>
          <w:bCs/>
          <w:sz w:val="32"/>
          <w:szCs w:val="32"/>
          <w:lang w:val="en-US" w:eastAsia="zh-CN"/>
        </w:rPr>
        <w:t>铜陵市铜官区经济与信息化局</w:t>
      </w:r>
      <w:r>
        <w:rPr>
          <w:rFonts w:ascii="宋体" w:eastAsia="宋体" w:hAnsi="宋体" w:cs="宋体" w:hint="default"/>
          <w:b/>
          <w:bCs/>
          <w:sz w:val="32"/>
          <w:szCs w:val="32"/>
          <w:lang w:eastAsia="zh-CN"/>
        </w:rPr>
        <w:t>2024</w:t>
      </w:r>
      <w:r>
        <w:rPr>
          <w:rFonts w:ascii="宋体" w:eastAsia="宋体" w:hAnsi="宋体" w:cs="宋体" w:hint="eastAsia"/>
          <w:b/>
          <w:bCs/>
          <w:sz w:val="32"/>
          <w:szCs w:val="32"/>
          <w:lang w:val="en-US"/>
        </w:rPr>
        <w:t>年度项目支出</w:t>
      </w:r>
      <w:r>
        <w:rPr>
          <w:rFonts w:ascii="宋体" w:eastAsia="宋体" w:hAnsi="宋体" w:cs="宋体" w:hint="eastAsia"/>
          <w:b/>
          <w:bCs/>
          <w:sz w:val="32"/>
          <w:szCs w:val="32"/>
          <w:lang w:val="en-US" w:eastAsia="zh-CN"/>
        </w:rPr>
        <w:t>绩效</w:t>
      </w:r>
      <w:r>
        <w:rPr>
          <w:rFonts w:ascii="宋体" w:eastAsia="宋体" w:hAnsi="宋体" w:cs="宋体" w:hint="eastAsia"/>
          <w:b/>
          <w:bCs/>
          <w:sz w:val="32"/>
          <w:szCs w:val="32"/>
          <w:lang w:val="en-US"/>
        </w:rPr>
        <w:t>目标</w:t>
      </w:r>
    </w:p>
    <w:p>
      <w:pPr>
        <w:pStyle w:val="Normal1"/>
        <w:jc w:val="center"/>
        <w:rPr>
          <w:rFonts w:hint="eastAsia"/>
          <w:lang w:val="en-US" w:eastAsia="zh-CN"/>
        </w:rPr>
      </w:pPr>
    </w:p>
    <w:tbl>
      <w:tblPr>
        <w:tblStyle w:val="TableGrid0"/>
        <w:tblW w:w="1000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48"/>
        <w:gridCol w:w="6029"/>
        <w:gridCol w:w="2523"/>
      </w:tblGrid>
      <w:tr>
        <w:tblPrEx>
          <w:tblW w:w="1000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0000" w:type="dxa"/>
            <w:gridSpan w:val="3"/>
          </w:tcPr>
          <w:p>
            <w:pPr>
              <w:pStyle w:val="Normal1"/>
              <w:jc w:val="center"/>
              <w:rPr>
                <w:rFonts w:eastAsiaTheme="minorEastAsia" w:hint="default"/>
                <w:b/>
                <w:bCs/>
                <w:sz w:val="24"/>
                <w:szCs w:val="24"/>
                <w:vertAlign w:val="baseline"/>
                <w:lang w:val="en-US"/>
              </w:rPr>
            </w:pPr>
            <w:r>
              <w:rPr>
                <w:rFonts w:hint="eastAsia"/>
                <w:b/>
                <w:bCs/>
                <w:sz w:val="24"/>
                <w:szCs w:val="24"/>
                <w:vertAlign w:val="baseline"/>
                <w:lang w:val="en-US"/>
              </w:rPr>
              <w:t>项目支出绩效目标公开清单</w:t>
            </w:r>
          </w:p>
        </w:tc>
      </w:tr>
      <w:tr>
        <w:tblPrEx>
          <w:tblW w:w="10000" w:type="dxa"/>
          <w:tblInd w:w="-459" w:type="dxa"/>
          <w:tblCellMar>
            <w:top w:w="0" w:type="dxa"/>
            <w:left w:w="108" w:type="dxa"/>
            <w:bottom w:w="0" w:type="dxa"/>
            <w:right w:w="108" w:type="dxa"/>
          </w:tblCellMar>
        </w:tblPrEx>
        <w:tc>
          <w:tcPr>
            <w:tcW w:w="1448" w:type="dxa"/>
          </w:tcPr>
          <w:p>
            <w:pPr>
              <w:pStyle w:val="Normal1"/>
              <w:jc w:val="center"/>
              <w:rPr>
                <w:rFonts w:hint="default"/>
                <w:b/>
                <w:bCs/>
                <w:sz w:val="24"/>
                <w:szCs w:val="24"/>
                <w:vertAlign w:val="baseline"/>
                <w:lang w:val="en-US" w:eastAsia="zh-CN"/>
              </w:rPr>
            </w:pPr>
            <w:r>
              <w:rPr>
                <w:rFonts w:hint="eastAsia"/>
                <w:b/>
                <w:bCs/>
                <w:sz w:val="24"/>
                <w:szCs w:val="24"/>
                <w:vertAlign w:val="baseline"/>
                <w:lang w:val="en-US" w:eastAsia="zh-CN"/>
              </w:rPr>
              <w:t>序号</w:t>
            </w:r>
          </w:p>
        </w:tc>
        <w:tc>
          <w:tcPr>
            <w:tcW w:w="6029" w:type="dxa"/>
          </w:tcPr>
          <w:p>
            <w:pPr>
              <w:pStyle w:val="Normal1"/>
              <w:jc w:val="center"/>
              <w:rPr>
                <w:rFonts w:hint="default"/>
                <w:b/>
                <w:bCs/>
                <w:sz w:val="24"/>
                <w:szCs w:val="24"/>
                <w:vertAlign w:val="baseline"/>
                <w:lang w:val="en-US" w:eastAsia="zh-CN"/>
              </w:rPr>
            </w:pPr>
            <w:r>
              <w:rPr>
                <w:rFonts w:hint="eastAsia"/>
                <w:b/>
                <w:bCs/>
                <w:sz w:val="24"/>
                <w:szCs w:val="24"/>
                <w:vertAlign w:val="baseline"/>
                <w:lang w:val="en-US" w:eastAsia="zh-CN"/>
              </w:rPr>
              <w:t>项目名称</w:t>
            </w:r>
          </w:p>
        </w:tc>
        <w:tc>
          <w:tcPr>
            <w:tcW w:w="2523" w:type="dxa"/>
          </w:tcPr>
          <w:p>
            <w:pPr>
              <w:pStyle w:val="Normal1"/>
              <w:jc w:val="center"/>
              <w:rPr>
                <w:rFonts w:hint="default"/>
                <w:b/>
                <w:bCs/>
                <w:sz w:val="24"/>
                <w:szCs w:val="24"/>
                <w:vertAlign w:val="baseline"/>
                <w:lang w:eastAsia="zh-CN"/>
              </w:rPr>
            </w:pPr>
            <w:r>
              <w:rPr>
                <w:rFonts w:hint="eastAsia"/>
                <w:b/>
                <w:bCs/>
                <w:sz w:val="24"/>
                <w:szCs w:val="24"/>
                <w:vertAlign w:val="baseline"/>
                <w:lang w:val="en-US"/>
              </w:rPr>
              <w:t>预算</w:t>
            </w:r>
            <w:r>
              <w:rPr>
                <w:rFonts w:hint="eastAsia"/>
                <w:b/>
                <w:bCs/>
                <w:sz w:val="24"/>
                <w:szCs w:val="24"/>
                <w:vertAlign w:val="baseline"/>
                <w:lang w:val="en-US" w:eastAsia="zh-CN"/>
              </w:rPr>
              <w:t>金额</w:t>
            </w:r>
            <w:r>
              <w:rPr>
                <w:rFonts w:hint="default"/>
                <w:b/>
                <w:bCs/>
                <w:sz w:val="24"/>
                <w:szCs w:val="24"/>
                <w:vertAlign w:val="baseline"/>
                <w:lang w:eastAsia="zh-CN"/>
              </w:rPr>
              <w:t>（</w:t>
            </w:r>
            <w:r>
              <w:rPr>
                <w:rFonts w:hint="eastAsia"/>
                <w:b/>
                <w:bCs/>
                <w:sz w:val="24"/>
                <w:szCs w:val="24"/>
                <w:vertAlign w:val="baseline"/>
                <w:lang w:val="en-US"/>
              </w:rPr>
              <w:t>单位</w:t>
            </w:r>
            <w:r>
              <w:rPr>
                <w:rFonts w:hint="default"/>
                <w:b/>
                <w:bCs/>
                <w:sz w:val="24"/>
                <w:szCs w:val="24"/>
                <w:vertAlign w:val="baseline"/>
              </w:rPr>
              <w:t>：</w:t>
            </w:r>
            <w:r>
              <w:rPr>
                <w:rFonts w:hint="eastAsia"/>
                <w:b/>
                <w:bCs/>
                <w:sz w:val="24"/>
                <w:szCs w:val="24"/>
                <w:vertAlign w:val="baseline"/>
                <w:lang w:val="en-US"/>
              </w:rPr>
              <w:t>万元</w:t>
            </w:r>
            <w:r>
              <w:rPr>
                <w:rFonts w:hint="default"/>
                <w:b/>
                <w:bCs/>
                <w:sz w:val="24"/>
                <w:szCs w:val="24"/>
                <w:vertAlign w:val="baseline"/>
                <w:lang w:eastAsia="zh-CN"/>
              </w:rPr>
              <w:t>）</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rPr>
                <w:rFonts w:hint="default"/>
                <w:vertAlign w:val="baseline"/>
                <w:lang w:val="en-US" w:eastAsia="zh-CN"/>
              </w:rPr>
            </w:pPr>
            <w:r>
              <w:rPr>
                <w:rFonts w:ascii="Times New Roman" w:eastAsia="仿宋_GB2312" w:hAnsi="Times New Roman"/>
                <w:b w:val="0"/>
                <w:sz w:val="32"/>
              </w:rPr>
              <w:t>1</w:t>
            </w:r>
          </w:p>
        </w:tc>
        <w:tc>
          <w:tcPr>
            <w:tcW w:w="6029" w:type="dxa"/>
            <w:tcMar>
              <w:left w:w="20" w:type="dxa"/>
              <w:right w:w="20" w:type="dxa"/>
            </w:tcMar>
            <w:vAlign w:val="center"/>
          </w:tcPr>
          <w:p>
            <w:pPr>
              <w:pStyle w:val="Normal1"/>
              <w:spacing w:before="57" w:after="57" w:line="240" w:lineRule="auto"/>
              <w:jc w:val="left"/>
              <w:rPr>
                <w:rFonts w:hint="default"/>
                <w:vertAlign w:val="baseline"/>
                <w:lang w:val="en-US" w:eastAsia="zh-CN"/>
              </w:rPr>
            </w:pPr>
            <w:r>
              <w:rPr>
                <w:rFonts w:ascii="Times New Roman" w:eastAsia="仿宋_GB2312" w:hAnsi="Times New Roman"/>
                <w:b w:val="0"/>
                <w:sz w:val="32"/>
              </w:rPr>
              <w:t>“四送一服”专项资金</w:t>
            </w:r>
          </w:p>
        </w:tc>
        <w:tc>
          <w:tcPr>
            <w:tcW w:w="2523" w:type="dxa"/>
            <w:tcMar>
              <w:left w:w="20" w:type="dxa"/>
              <w:right w:w="20" w:type="dxa"/>
            </w:tcMar>
            <w:vAlign w:val="center"/>
          </w:tcPr>
          <w:p>
            <w:pPr>
              <w:pStyle w:val="Normal1"/>
              <w:spacing w:before="57" w:after="57" w:line="240" w:lineRule="auto"/>
              <w:jc w:val="right"/>
              <w:rPr>
                <w:rFonts w:hint="default"/>
                <w:vertAlign w:val="baseline"/>
                <w:lang w:val="en-US" w:eastAsia="zh-CN"/>
              </w:rPr>
            </w:pPr>
            <w:r>
              <w:rPr>
                <w:rFonts w:ascii="Times New Roman" w:eastAsia="仿宋_GB2312" w:hAnsi="Times New Roman"/>
                <w:b w:val="0"/>
                <w:sz w:val="32"/>
              </w:rPr>
              <w:t>5.0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2</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陈加良补贴</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2.4</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3</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陈加良改制补助</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2.4</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4</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纺织用管厂职工社会保险费</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16.31</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5</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工矿企业安全生产、环境保护等工作经费</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0.0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6</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工业(技改)项目专家评审</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0.0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7</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经济运行与项目谋划、重大项目评审</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5.0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8</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拉丝厂社会保险费</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2.92</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9</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立新留守处管理经费</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10.0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10</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刘厥玉工资补差</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5.0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11</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民营经济发展专项资金</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2.4</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12</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企业改制工作经费</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2.4</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13</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三金厂职工社会保险费</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88.77</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14</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狮子山改制企业留守站</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56.11</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15</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塑料薄膜厂社会保险费</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1.23</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16</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五松村资委执行委员会补助及工作经费</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13.16</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17</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乡村振兴结对帮扶资金</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4.0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18</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信访改制维稳经费</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0.0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19</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雅园红光旅社五松居民组等工资</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17.8</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1"/>
              <w:spacing w:before="57" w:after="57" w:line="240" w:lineRule="auto"/>
              <w:jc w:val="center"/>
            </w:pPr>
            <w:r>
              <w:rPr>
                <w:rFonts w:ascii="Times New Roman" w:eastAsia="仿宋_GB2312" w:hAnsi="Times New Roman"/>
                <w:b w:val="0"/>
                <w:sz w:val="32"/>
              </w:rPr>
              <w:t>20</w:t>
            </w:r>
          </w:p>
        </w:tc>
        <w:tc>
          <w:tcPr>
            <w:tcW w:w="6029" w:type="dxa"/>
            <w:tcMar>
              <w:left w:w="20" w:type="dxa"/>
              <w:right w:w="20" w:type="dxa"/>
            </w:tcMar>
            <w:vAlign w:val="center"/>
          </w:tcPr>
          <w:p>
            <w:pPr>
              <w:pStyle w:val="Normal1"/>
              <w:spacing w:before="57" w:after="57" w:line="240" w:lineRule="auto"/>
            </w:pPr>
            <w:r>
              <w:rPr>
                <w:rFonts w:ascii="Times New Roman" w:eastAsia="仿宋_GB2312" w:hAnsi="Times New Roman"/>
                <w:b w:val="0"/>
                <w:sz w:val="32"/>
              </w:rPr>
              <w:t>营商环境专项工作经费</w:t>
            </w:r>
          </w:p>
        </w:tc>
        <w:tc>
          <w:tcPr>
            <w:tcW w:w="2523" w:type="dxa"/>
            <w:tcMar>
              <w:left w:w="20" w:type="dxa"/>
              <w:right w:w="20" w:type="dxa"/>
            </w:tcMar>
            <w:vAlign w:val="center"/>
          </w:tcPr>
          <w:p>
            <w:pPr>
              <w:pStyle w:val="Normal1"/>
              <w:spacing w:before="57" w:after="57" w:line="240" w:lineRule="auto"/>
              <w:jc w:val="right"/>
            </w:pPr>
            <w:r>
              <w:rPr>
                <w:rFonts w:ascii="Times New Roman" w:eastAsia="仿宋_GB2312" w:hAnsi="Times New Roman"/>
                <w:b w:val="0"/>
                <w:sz w:val="32"/>
              </w:rPr>
              <w:t>3.0</w:t>
            </w:r>
          </w:p>
        </w:tc>
      </w:tr>
    </w:tbl>
    <w:p>
      <w:pPr>
        <w:sectPr>
          <w:pgSz w:w="11906" w:h="16838"/>
          <w:pgMar w:top="1440" w:right="1800" w:bottom="1440" w:left="1800" w:header="851" w:footer="992" w:gutter="0"/>
          <w:cols w:num="1" w:space="425"/>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“四送一服”专项资金</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5.00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5.00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用于四送一服用于配合省“四送一服”第十三工作组每月走访我区企业各项开支和四月“四送一服”集中活动月工作开支</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陈加良补贴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2.40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2.40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及时足额发放陈加良补贴</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参保人员</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24000元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足额发放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24000元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陈加良补贴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2.40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2.40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及时足额发放陈加良补贴</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参保人员</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24000元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足额发放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24000元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纺织用管厂职工社会保险费</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16.31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16.31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用于完成用于完成该改制单位社保费、 大额医疗金缴纳该改制单位社保费、 大额医疗金缴纳</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参保人员</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163114.56元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足额发放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163114.56元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工矿企业安全生产、环境保护等工作经费</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用于工矿企业安全生产、环境保护等专家评审费以及事故检测费用</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50000元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50000元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工业(技改)项目专家评审</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对企业申报重点项目、涉及重大耗能类项目、铸造产能置换项目、沿江项目、“两高”类项目实施分门分类的专家评审。</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50000元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50000元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经济运行与项目谋划、重大项目评审</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5.00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5.00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为做好工矿企业的监督管理和服务工作，用于工矿企业行业经济运行调度及项目评审。</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300000元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增 质量指标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300000元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拉丝厂社会保险费</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2.92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2.92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完成改制单位拉丝厂协保人员社保费退休人员  大额医疗保险金的缴纳</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参保人员</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29179.32元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足额发放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29179.32元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立新留守处管理经费</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10.00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10.00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立新留守处管理经费10万元，用于用于生活补贴和管理经费支出。</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刘厥玉补贴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left"/>
              <w:rPr>
                <w:rFonts w:ascii="宋体" w:hAnsi="宋体" w:hint="eastAsia"/>
                <w:color w:val="000000"/>
                <w:sz w:val="18"/>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民营经济发展专项资金</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用于发展民营经济领导小组办公室工作经费，包括办公经费、宣传经费、座谈会经费等</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50000元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50000元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企业改制工作经费</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10.00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10.00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企业改制工作经费</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三金厂职工社会保险费</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88.77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88.77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用于三金厂改制单位退养人员、 协保人员社会保险费及退休人员大额医疗金的缴纳</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参保人员</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887678.40元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足额发放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887678.40元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狮子山改制企业留守站</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56.11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56.11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完成改制单位狮子山改制企业留守站协保人员 社保费及退休人员大额医疗金等缴纳</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企业职工</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561139.68元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足额发放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561139.68元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塑料薄膜厂社会保险费</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1.23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1.23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完成改制单位塑料薄膜厂 协保人员社保费缴纳</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参保人员</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12262.92元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足额发放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12262.92元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五松村资委执行委员会补助及工作经费</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13.16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13.16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支付五松村资委执行委员会上半年补助及工作经费</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131600元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131600元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乡村振兴结对帮扶资金</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4.00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4.00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《关于进一步做好县域结对和定点帮扶工作的通知》（铜乡振【2021】14号）《中共铜官区委 铜官区人民政府 关于印发《创建乡村振兴先行示范区工作方案》的通知）</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40000.00元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40000.00元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信访改制维稳经费</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信访改制维稳经费</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雅园红光旅社五松居民组等工资</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17.80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17.80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完成改制单位雅园（春隆公司)退养人员社保费及退休人员大额医疗金缴纳及 红光旅社医疗保险及五松居民组工资等</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参保人员</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178041.4元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足额发放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178041.4元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pPr>
        <w:sectPr>
          <w:pgSz w:w="12240" w:h="15840"/>
          <w:pgMar w:top="1440" w:right="1800" w:bottom="1440" w:left="1800" w:header="720" w:footer="720" w:gutter="0"/>
          <w:lnNumType w:countBy="0" w:distance="360"/>
          <w:cols w:num="1" w:space="720"/>
          <w:docGrid w:type="lines" w:linePitch="312" w:charSpace="0"/>
        </w:sectPr>
      </w:pPr>
    </w:p>
    <w:p>
      <w:pPr>
        <w:sectPr>
          <w:pgSz w:w="11906" w:h="16838"/>
          <w:pgMar w:top="1440" w:right="1800" w:bottom="1440" w:left="1800" w:header="851" w:footer="992" w:gutter="0"/>
          <w:cols w:num="1" w:space="425"/>
          <w:docGrid w:type="lines" w:linePitch="312" w:charSpace="0"/>
        </w:sectPr>
      </w:pPr>
    </w:p>
    <w:tbl>
      <w:tblPr>
        <w:tblStyle w:val="TableNormal"/>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509"/>
        <w:gridCol w:w="510"/>
        <w:gridCol w:w="649"/>
        <w:gridCol w:w="764"/>
        <w:gridCol w:w="3082"/>
        <w:gridCol w:w="2136"/>
        <w:gridCol w:w="2742"/>
      </w:tblGrid>
      <w:tr>
        <w:tblPrEx>
          <w:tblW w:w="10392" w:type="dxa"/>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rPr>
          <w:trHeight w:val="681"/>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b/>
                <w:color w:val="000000"/>
                <w:sz w:val="32"/>
                <w:szCs w:val="24"/>
              </w:rPr>
            </w:pPr>
            <w:r>
              <w:rPr>
                <w:rFonts w:ascii="宋体" w:eastAsia="宋体" w:hAnsi="宋体" w:cs="宋体" w:hint="eastAsia"/>
                <w:b/>
                <w:bCs/>
                <w:i w:val="0"/>
                <w:iCs w:val="0"/>
                <w:color w:val="000000"/>
                <w:kern w:val="0"/>
                <w:sz w:val="32"/>
                <w:szCs w:val="32"/>
                <w:u w:val="none"/>
                <w:lang w:val="en-US" w:eastAsia="zh-CN" w:bidi="ar"/>
              </w:rPr>
              <w:t>项目支出绩效目标表</w:t>
            </w:r>
          </w:p>
        </w:tc>
      </w:tr>
      <w:tr>
        <w:tblPrEx>
          <w:tblW w:w="10392" w:type="dxa"/>
          <w:tblInd w:w="78" w:type="dxa"/>
          <w:tblLayout w:type="fixed"/>
          <w:tblCellMar>
            <w:top w:w="0" w:type="dxa"/>
            <w:left w:w="108" w:type="dxa"/>
            <w:bottom w:w="0" w:type="dxa"/>
            <w:right w:w="108" w:type="dxa"/>
          </w:tblCellMar>
        </w:tblPrEx>
        <w:trPr>
          <w:trHeight w:val="279"/>
        </w:trPr>
        <w:tc>
          <w:tcPr>
            <w:tcW w:w="10392" w:type="dxa"/>
            <w:gridSpan w:val="7"/>
            <w:tcBorders>
              <w:top w:val="nil"/>
              <w:left w:val="nil"/>
              <w:bottom w:val="nil"/>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（2024年度）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项目名称</w:t>
            </w:r>
          </w:p>
        </w:tc>
        <w:tc>
          <w:tcPr>
            <w:tcW w:w="8724" w:type="dxa"/>
            <w:gridSpan w:val="4"/>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营商环境专项工作经费</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主管部门及代码</w:t>
            </w:r>
          </w:p>
        </w:tc>
        <w:tc>
          <w:tcPr>
            <w:tcW w:w="3846" w:type="dxa"/>
            <w:gridSpan w:val="2"/>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[085]铜陵市铜官区经济与信息化局</w:t>
            </w:r>
          </w:p>
        </w:tc>
        <w:tc>
          <w:tcPr>
            <w:tcW w:w="2136" w:type="dxa"/>
            <w:tcBorders>
              <w:top w:val="nil"/>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实施单位</w:t>
            </w:r>
          </w:p>
        </w:tc>
        <w:tc>
          <w:tcPr>
            <w:tcW w:w="2742" w:type="dxa"/>
            <w:tcBorders>
              <w:top w:val="nil"/>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铜陵市铜官区经济与信息化局本级</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项目来源</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本级申报项目</w:t>
            </w:r>
          </w:p>
        </w:tc>
        <w:tc>
          <w:tcPr>
            <w:tcW w:w="2136"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项目期</w:t>
            </w:r>
          </w:p>
        </w:tc>
        <w:tc>
          <w:tcPr>
            <w:tcW w:w="2742" w:type="dxa"/>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10年</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val="restart"/>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项目资金</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（万元）</w:t>
            </w: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年度资金总额：</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3.00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其中：财政拨款</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3.00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上年结转</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441"/>
        </w:trPr>
        <w:tc>
          <w:tcPr>
            <w:tcW w:w="1668" w:type="dxa"/>
            <w:gridSpan w:val="3"/>
            <w:vMerge/>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3846"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 xml:space="preserve">         其他资金</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righ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 xml:space="preserve">      0.00 </w:t>
            </w:r>
          </w:p>
        </w:tc>
      </w:tr>
      <w:tr>
        <w:tblPrEx>
          <w:tblW w:w="10392" w:type="dxa"/>
          <w:tblInd w:w="78" w:type="dxa"/>
          <w:tblLayout w:type="fixed"/>
          <w:tblCellMar>
            <w:top w:w="0" w:type="dxa"/>
            <w:left w:w="108" w:type="dxa"/>
            <w:bottom w:w="0" w:type="dxa"/>
            <w:right w:w="108" w:type="dxa"/>
          </w:tblCellMar>
        </w:tblPrEx>
        <w:trPr>
          <w:trHeight w:val="660"/>
        </w:trPr>
        <w:tc>
          <w:tcPr>
            <w:tcW w:w="509"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年度</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目标</w:t>
            </w:r>
          </w:p>
        </w:tc>
        <w:tc>
          <w:tcPr>
            <w:tcW w:w="9883" w:type="dxa"/>
            <w:gridSpan w:val="6"/>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left"/>
              <w:textAlignment w:val="center"/>
              <w:rPr>
                <w:rFonts w:ascii="宋体" w:hAnsi="宋体" w:hint="eastAsia"/>
                <w:color w:val="000000"/>
                <w:sz w:val="18"/>
                <w:szCs w:val="24"/>
              </w:rPr>
            </w:pPr>
            <w:r>
              <w:rPr>
                <w:rFonts w:ascii="宋体" w:eastAsia="宋体" w:hAnsi="宋体" w:cs="宋体" w:hint="eastAsia"/>
                <w:i w:val="0"/>
                <w:iCs w:val="0"/>
                <w:color w:val="000000"/>
                <w:kern w:val="0"/>
                <w:sz w:val="18"/>
                <w:szCs w:val="18"/>
                <w:u w:val="none"/>
                <w:lang w:val="en-US" w:eastAsia="zh-CN" w:bidi="ar"/>
              </w:rPr>
              <w:t>营商环境专项工作经费，用于“政企银”沙龙活动，“亲清有约”助企服务日活动。</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val="restart"/>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绩</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效</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标</w:t>
            </w: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一级</w:t>
            </w:r>
            <w:r>
              <w:rPr>
                <w:rFonts w:ascii="宋体" w:eastAsia="宋体" w:hAnsi="宋体" w:cs="宋体" w:hint="eastAsia"/>
                <w:i w:val="0"/>
                <w:iCs w:val="0"/>
                <w:color w:val="000000"/>
                <w:kern w:val="0"/>
                <w:sz w:val="20"/>
                <w:szCs w:val="20"/>
                <w:u w:val="none"/>
                <w:lang w:val="en-US" w:eastAsia="zh-CN" w:bidi="ar"/>
              </w:rPr>
              <w:br/>
            </w:r>
            <w:r>
              <w:rPr>
                <w:rFonts w:ascii="宋体" w:eastAsia="宋体" w:hAnsi="宋体" w:cs="宋体" w:hint="eastAsia"/>
                <w:i w:val="0"/>
                <w:iCs w:val="0"/>
                <w:color w:val="000000"/>
                <w:kern w:val="0"/>
                <w:sz w:val="20"/>
                <w:szCs w:val="20"/>
                <w:u w:val="none"/>
                <w:lang w:val="en-US" w:eastAsia="zh-CN" w:bidi="ar"/>
              </w:rPr>
              <w:t>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二级指标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三级指标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指标值</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产出指标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数量指标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200000元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质量指标</w:t>
            </w: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200000元</w:t>
            </w: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时效指标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48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成本指标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val="restart"/>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效益指标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经济效益指标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社会效益指标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生态效益指标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96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vMerge/>
            <w:tcBorders>
              <w:top w:val="single" w:sz="6" w:space="0" w:color="auto"/>
              <w:left w:val="nil"/>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可持续影响指标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r>
        <w:tblPrEx>
          <w:tblW w:w="10392" w:type="dxa"/>
          <w:tblInd w:w="78" w:type="dxa"/>
          <w:tblLayout w:type="fixed"/>
          <w:tblCellMar>
            <w:top w:w="0" w:type="dxa"/>
            <w:left w:w="108" w:type="dxa"/>
            <w:bottom w:w="0" w:type="dxa"/>
            <w:right w:w="108" w:type="dxa"/>
          </w:tblCellMar>
        </w:tblPrEx>
        <w:trPr>
          <w:trHeight w:val="720"/>
        </w:trPr>
        <w:tc>
          <w:tcPr>
            <w:tcW w:w="509" w:type="dxa"/>
            <w:vMerge/>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c>
          <w:tcPr>
            <w:tcW w:w="510" w:type="dxa"/>
            <w:tcBorders>
              <w:top w:val="single" w:sz="6" w:space="0" w:color="auto"/>
              <w:left w:val="nil"/>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1413" w:type="dxa"/>
            <w:gridSpan w:val="2"/>
            <w:tcBorders>
              <w:top w:val="single" w:sz="6" w:space="0" w:color="auto"/>
              <w:left w:val="single" w:sz="6" w:space="0" w:color="auto"/>
              <w:bottom w:val="single" w:sz="6" w:space="0" w:color="auto"/>
              <w:right w:val="nil"/>
              <w:tl2br w:val="nil"/>
              <w:tr2bl w:val="nil"/>
            </w:tcBorders>
            <w:noWrap w:val="0"/>
            <w:vAlign w:val="center"/>
          </w:tcPr>
          <w:p>
            <w:pPr>
              <w:pStyle w:val="Normal0"/>
              <w:keepNext w:val="0"/>
              <w:keepLines w:val="0"/>
              <w:widowControl/>
              <w:suppressLineNumbers w:val="0"/>
              <w:jc w:val="center"/>
              <w:textAlignment w:val="center"/>
              <w:rPr>
                <w:rFonts w:ascii="宋体" w:hAnsi="宋体" w:hint="eastAsia"/>
                <w:color w:val="000000"/>
                <w:sz w:val="20"/>
                <w:szCs w:val="24"/>
              </w:rPr>
            </w:pPr>
            <w:r>
              <w:rPr>
                <w:rFonts w:ascii="宋体" w:eastAsia="宋体" w:hAnsi="宋体" w:cs="宋体" w:hint="eastAsia"/>
                <w:i w:val="0"/>
                <w:iCs w:val="0"/>
                <w:color w:val="000000"/>
                <w:kern w:val="0"/>
                <w:sz w:val="20"/>
                <w:szCs w:val="20"/>
                <w:u w:val="none"/>
                <w:lang w:val="en-US" w:eastAsia="zh-CN" w:bidi="ar"/>
              </w:rPr>
              <w:t>满意度指标</w:t>
            </w:r>
          </w:p>
        </w:tc>
        <w:tc>
          <w:tcPr>
            <w:tcW w:w="3082" w:type="dxa"/>
            <w:tcBorders>
              <w:top w:val="single" w:sz="6" w:space="0" w:color="auto"/>
              <w:left w:val="single" w:sz="6" w:space="0" w:color="auto"/>
              <w:bottom w:val="single" w:sz="6" w:space="0" w:color="auto"/>
              <w:right w:val="nil"/>
              <w:tl2br w:val="nil"/>
              <w:tr2bl w:val="nil"/>
            </w:tcBorders>
            <w:noWrap w:val="0"/>
            <w:vAlign w:val="center"/>
          </w:tcPr>
          <w:p>
            <w:pPr>
              <w:pStyle w:val="Normal0"/>
              <w:jc w:val="center"/>
              <w:rPr>
                <w:rFonts w:ascii="宋体" w:hAnsi="宋体" w:hint="eastAsia"/>
                <w:color w:val="000000"/>
                <w:sz w:val="20"/>
                <w:szCs w:val="24"/>
              </w:rPr>
            </w:pPr>
          </w:p>
        </w:tc>
        <w:tc>
          <w:tcPr>
            <w:tcW w:w="4878" w:type="dxa"/>
            <w:gridSpan w:val="2"/>
            <w:tcBorders>
              <w:top w:val="single" w:sz="6" w:space="0" w:color="auto"/>
              <w:left w:val="single" w:sz="6" w:space="0" w:color="auto"/>
              <w:bottom w:val="single" w:sz="6" w:space="0" w:color="auto"/>
              <w:right w:val="single" w:sz="6" w:space="0" w:color="auto"/>
              <w:tl2br w:val="nil"/>
              <w:tr2bl w:val="nil"/>
            </w:tcBorders>
            <w:noWrap w:val="0"/>
            <w:vAlign w:val="center"/>
          </w:tcPr>
          <w:p>
            <w:pPr>
              <w:pStyle w:val="Normal0"/>
              <w:jc w:val="center"/>
              <w:rPr>
                <w:rFonts w:ascii="宋体" w:hAnsi="宋体" w:hint="eastAsia"/>
                <w:color w:val="000000"/>
                <w:sz w:val="20"/>
                <w:szCs w:val="24"/>
              </w:rPr>
            </w:pPr>
          </w:p>
        </w:tc>
      </w:tr>
    </w:tbl>
    <w:p/>
    <w:sectPr>
      <w:pgSz w:w="12240" w:h="15840"/>
      <w:pgMar w:top="1440" w:right="1800" w:bottom="1440" w:left="1800" w:header="720" w:footer="720" w:gutter="0"/>
      <w:lnNumType w:countBy="0" w:distance="360"/>
      <w:cols w:num="1" w:space="72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方正小标宋_GBK">
    <w:panose1 w:val="03000509000000000000"/>
    <w:charset w:val="86"/>
    <w:family w:val="auto"/>
    <w:pitch w:val="default"/>
    <w:sig w:usb0="00000001" w:usb1="080E0000" w:usb2="00000000" w:usb3="00000000" w:csb0="00040000" w:csb1="00000000"/>
  </w:font>
  <w:font w:name="华文中宋">
    <w:altName w:val="汉仪书宋二KW"/>
    <w:panose1 w:val="02010600040101010101"/>
    <w:charset w:val="00"/>
    <w:family w:val="auto"/>
    <w:pitch w:val="default"/>
    <w:sig w:usb0="00000000" w:usb1="00000000" w:usb2="00000010" w:usb3="00000000" w:csb0="0004009F" w:csb1="00000000"/>
  </w:font>
  <w:font w:name="TimesNewRoman">
    <w:altName w:val="Times New Roman"/>
    <w:panose1 w:val="02020603050405020304"/>
    <w:charset w:val="00"/>
    <w:family w:val="auto"/>
    <w:pitch w:val="default"/>
    <w:sig w:usb0="00000000" w:usb1="00000000" w:usb2="00000029" w:usb3="00000000" w:csb0="600001FF" w:csb1="FFFF0000"/>
  </w:font>
  <w:font w:name="仿宋_GB2312">
    <w:altName w:val="方正仿宋_GBK"/>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Helvetica Neue">
    <w:panose1 w:val="02000503000000020004"/>
    <w:charset w:val="00"/>
    <w:family w:val="auto"/>
    <w:pitch w:val="default"/>
    <w:sig w:usb0="E50002FF" w:usb1="500079DB" w:usb2="00000010" w:usb3="00000000" w:csb0="00000000" w:csb1="00000000"/>
  </w:font>
  <w:font w:name="t">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tahoma">
    <w:panose1 w:val="020B0804030504040204"/>
    <w:charset w:val="00"/>
    <w:family w:val="auto"/>
    <w:pitch w:val="default"/>
    <w:sig w:usb0="E1002AFF" w:usb1="C000605B" w:usb2="00000029" w:usb3="00000000" w:csb0="200101FF" w:csb1="20280000"/>
  </w:font>
  <w:font w:name="T5">
    <w:altName w:val="苹方-简"/>
    <w:panose1 w:val="00000000000000000000"/>
    <w:charset w:val="00"/>
    <w:family w:val="auto"/>
    <w:pitch w:val="default"/>
    <w:sig w:usb0="00000000" w:usb1="00000000" w:usb2="00000000" w:usb3="00000000" w:csb0="00000000" w:csb1="00000000"/>
  </w:font>
  <w:font w:name="Ti">
    <w:altName w:val="苹方-简"/>
    <w:panose1 w:val="00000000000000000000"/>
    <w:charset w:val="00"/>
    <w:family w:val="auto"/>
    <w:pitch w:val="default"/>
    <w:sig w:usb0="00000000" w:usb1="00000000" w:usb2="00000000" w:usb3="00000000" w:csb0="00000000" w:csb1="00000000"/>
  </w:font>
  <w:font w:name="Tim">
    <w:altName w:val="苹方-简"/>
    <w:panose1 w:val="00000000000000000000"/>
    <w:charset w:val="00"/>
    <w:family w:val="auto"/>
    <w:pitch w:val="default"/>
    <w:sig w:usb0="00000000" w:usb1="00000000" w:usb2="00000000" w:usb3="00000000" w:csb0="00000000" w:csb1="00000000"/>
  </w:font>
  <w:font w:name="方正小标宋简体">
    <w:panose1 w:val="02010601030101010101"/>
    <w:charset w:val="86"/>
    <w:family w:val="auto"/>
    <w:pitch w:val="default"/>
    <w:sig w:usb0="00000001" w:usb1="080E0000" w:usb2="00000000" w:usb3="00000000" w:csb0="00040000"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503050405090304"/>
    <w:charset w:val="00"/>
    <w:family w:val="auto"/>
    <w:pitch w:val="default"/>
    <w:sig w:usb0="E0000AFF" w:usb1="00007843" w:usb2="00000001" w:usb3="00000000" w:csb0="400001BF" w:csb1="DFF70000"/>
  </w:font>
  <w:font w:name="楷体_GB2312">
    <w:altName w:val="汉仪楷体简"/>
    <w:panose1 w:val="00000000000000000000"/>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table" w:customStyle="1" w:styleId="TableGrid">
    <w:name w:val="Table Grid"/>
    <w:tblPr/>
  </w:style>
  <w:style w:type="paragraph" w:customStyle="1" w:styleId="Normal0">
    <w:name w:val="Normal_0"/>
    <w:pPr>
      <w:jc w:val="both"/>
    </w:pPr>
    <w:rPr>
      <w:rFonts w:eastAsia="宋体" w:asciiTheme="minorHAnsi" w:hAnsiTheme="minorHAnsi" w:cstheme="minorBidi"/>
      <w:kern w:val="2"/>
      <w:sz w:val="21"/>
    </w:rPr>
  </w:style>
  <w:style w:type="paragraph" w:customStyle="1" w:styleId="Normal1">
    <w:name w:val="Normal_1"/>
    <w:autoRedefine/>
    <w:qFormat/>
    <w:pPr>
      <w:widowControl w:val="0"/>
      <w:jc w:val="both"/>
    </w:pPr>
    <w:rPr>
      <w:rFonts w:asciiTheme="minorHAnsi" w:eastAsiaTheme="minorEastAsia" w:hAnsiTheme="minorHAnsi" w:cstheme="minorBidi"/>
      <w:kern w:val="2"/>
      <w:sz w:val="21"/>
      <w:szCs w:val="24"/>
      <w:lang w:val="en-US" w:eastAsia="zh-CN" w:bidi="ar-SA"/>
    </w:rPr>
  </w:style>
  <w:style w:type="table" w:customStyle="1" w:styleId="TableGrid0">
    <w:name w:val="Table Grid_0"/>
    <w:basedOn w:val="TableNormal"/>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no"?><Relationships xmlns="http://schemas.openxmlformats.org/package/2006/relationships"><Relationship Id="rId1" Target="settings.xml" Type="http://schemas.openxmlformats.org/officeDocument/2006/relationships/settings"/><Relationship Id="rId2" Target="webSettings.xml" Type="http://schemas.openxmlformats.org/officeDocument/2006/relationships/webSettings"/><Relationship Id="rId3" Target="fontTable.xml" Type="http://schemas.openxmlformats.org/officeDocument/2006/relationships/fontTable"/><Relationship Id="rId4" Target="theme/theme1.xml" Type="http://schemas.openxmlformats.org/officeDocument/2006/relationships/theme"/><Relationship Id="rId5" Target="styles.xml" Type="http://schemas.openxmlformats.org/officeDocument/2006/relationships/styles"/></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6</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2022-12-25T23:09:00Z</dcterms:created>
  <dc:creator>瘾</dc:creator>
  <cp:lastModifiedBy>瘾</cp:lastModifiedBy>
  <dcterms:modified xsi:type="dcterms:W3CDTF">2024-02-19T17:06:54Z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13986BB21243E0B12573A46318DFA49D</vt:lpwstr>
  </property>
  <property fmtid="{D5CDD505-2E9C-101B-9397-08002B2CF9AE}" pid="3" name="KSOProductBuildVer">
    <vt:lpwstr>2052-6.2.2.8394</vt:lpwstr>
  </property>
</Properties>
</file>