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420"/>
        <w:jc w:val="center"/>
        <w:textAlignment w:val="auto"/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333333"/>
          <w:spacing w:val="0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333333"/>
          <w:spacing w:val="0"/>
          <w:sz w:val="36"/>
          <w:szCs w:val="36"/>
          <w:lang w:val="en-US" w:eastAsia="zh-CN"/>
        </w:rPr>
        <w:t>铜官区民政局2023年政府信息公开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420"/>
        <w:jc w:val="center"/>
        <w:textAlignment w:val="auto"/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333333"/>
          <w:spacing w:val="0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333333"/>
          <w:spacing w:val="0"/>
          <w:sz w:val="36"/>
          <w:szCs w:val="36"/>
          <w:lang w:val="en-US" w:eastAsia="zh-CN"/>
        </w:rPr>
        <w:t>工作年度报告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42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</w:rPr>
        <w:t>根据《中华人民共和国政府信息公开条例》（国务院令第711号）和《国务院办公厅政府信息与政务公开办公室关于印发〈中华人民共和国政府信息公开工作年度报告格式〉的通知》（国办公开办函〔2021〕30号）要求，编制本年度报告。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 w:firstLine="640" w:firstLineChars="200"/>
        <w:jc w:val="both"/>
        <w:textAlignment w:val="auto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一、总体情况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  <w:lang w:val="en-US" w:eastAsia="zh-CN"/>
        </w:rPr>
        <w:t>（一）主动公开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  <w:lang w:val="en-US" w:eastAsia="zh-CN"/>
        </w:rPr>
        <w:t>2023年，我单位全年主动公开各类政务信息327条。其中，主动公开社会救助领域46条，养老服务领域15条，决策部署落实情况25条，行政许可信息15条，行政处罚信息0条，行政处罚信息0条，行政确认信息8条，按时公开部门、本级和下属单位年度预决算、专项资金等信息45条，公开本年度建议提案办理情况和答复信息10条。开展“双随机、一公开”工作，制定抽查计划、细则，随机抽取检查人员，及时公开检查结果。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  <w:lang w:val="en-US" w:eastAsia="zh-CN"/>
        </w:rPr>
        <w:t>（二）依申请公开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  <w:lang w:val="en-US" w:eastAsia="zh-CN"/>
        </w:rPr>
        <w:t>本年度共受理政府信息公开申请0件，已完成0件。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  <w:lang w:val="en-US" w:eastAsia="zh-CN"/>
        </w:rPr>
        <w:t>（三）政府信息管理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 w:rightChars="0"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  <w:lang w:val="en-US" w:eastAsia="zh-CN"/>
        </w:rPr>
        <w:t>全面贯彻落实《中华人民共和国政府信息公开条例》，遵循“以公开为原则，以不公开为例外”的基本要求，不断扩大公开范围、细化公开内容。严格执行“分级审核、先审后发”，安排专人对所公开事项内容进行审核把关，切实提高信息发布的质量，确保公开内容的合法性、准确性、严肃性。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 w:righ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（四）政府信息公开平台建设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 w:righ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主要依托政务公开网站发布工作动态、通知公告等信息，做到及时更新发布栏目内容，方便社会公众快速、准确获取所需信息，坚持做好公开平台的日常维护和管理。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 w:righ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（五）监督保障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公开监督方式，使得群众能有效互动。高度重视政府信息公开工作,一是落实专人负责的领导体制和工作机制,明确专人负责公开内容的收集、初审、发布等积极有效措施保障工作的顺利完成；二是工作网络健全,工作机构完善,把推行政府信息公开列入重要议事日程；三是加强政务公开培训工作,落实专人参加政府信息公开培训。</w:t>
      </w:r>
      <w:bookmarkStart w:id="0" w:name="_GoBack"/>
      <w:bookmarkEnd w:id="0"/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 w:firstLine="640" w:firstLineChars="200"/>
        <w:jc w:val="both"/>
        <w:textAlignment w:val="auto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二、主动公开政府信息情况</w:t>
      </w:r>
    </w:p>
    <w:tbl>
      <w:tblPr>
        <w:tblStyle w:val="5"/>
        <w:tblW w:w="974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435"/>
        <w:gridCol w:w="2435"/>
        <w:gridCol w:w="2435"/>
        <w:gridCol w:w="243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第二十条第（一）项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信息内容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本年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制发件数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本年废止件数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现行有效件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规章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行政规范性文件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第二十条第（五）项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本年处理决定数量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行政许可</w:t>
            </w:r>
          </w:p>
        </w:tc>
        <w:tc>
          <w:tcPr>
            <w:tcW w:w="730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15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第二十条第（六）项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本年处理决定数量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行政处罚</w:t>
            </w:r>
          </w:p>
        </w:tc>
        <w:tc>
          <w:tcPr>
            <w:tcW w:w="7305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行政强制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第二十条第（八）项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本年收费金额（单位：万元）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行政事业性收费</w:t>
            </w:r>
          </w:p>
        </w:tc>
        <w:tc>
          <w:tcPr>
            <w:tcW w:w="730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</w:tr>
    </w:tbl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420"/>
        <w:jc w:val="both"/>
        <w:textAlignment w:val="auto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三、收到和处理政府信息公开申请情况</w:t>
      </w:r>
    </w:p>
    <w:tbl>
      <w:tblPr>
        <w:tblStyle w:val="5"/>
        <w:tblW w:w="9748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75"/>
        <w:gridCol w:w="959"/>
        <w:gridCol w:w="3191"/>
        <w:gridCol w:w="689"/>
        <w:gridCol w:w="689"/>
        <w:gridCol w:w="689"/>
        <w:gridCol w:w="689"/>
        <w:gridCol w:w="689"/>
        <w:gridCol w:w="689"/>
        <w:gridCol w:w="689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150" w:type="dxa"/>
            <w:gridSpan w:val="3"/>
            <w:vMerge w:val="restart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（本列数据的勾稽关系为：第一项加第二项之和，等于第三项加第四项之和）</w:t>
            </w:r>
          </w:p>
        </w:tc>
        <w:tc>
          <w:tcPr>
            <w:tcW w:w="4998" w:type="dxa"/>
            <w:gridSpan w:val="7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申请人情况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150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714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自然人</w:t>
            </w:r>
          </w:p>
        </w:tc>
        <w:tc>
          <w:tcPr>
            <w:tcW w:w="3570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法人或其他组织</w:t>
            </w:r>
          </w:p>
        </w:tc>
        <w:tc>
          <w:tcPr>
            <w:tcW w:w="714" w:type="dxa"/>
            <w:vMerge w:val="restart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总计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150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714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商业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企业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科研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机构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社会公益组织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法律服务机构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其他</w:t>
            </w:r>
          </w:p>
        </w:tc>
        <w:tc>
          <w:tcPr>
            <w:tcW w:w="714" w:type="dxa"/>
            <w:vMerge w:val="continue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3" w:hRule="atLeast"/>
          <w:jc w:val="center"/>
        </w:trPr>
        <w:tc>
          <w:tcPr>
            <w:tcW w:w="5150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一、本年新收政府信息公开申请数量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5" w:hRule="atLeast"/>
          <w:jc w:val="center"/>
        </w:trPr>
        <w:tc>
          <w:tcPr>
            <w:tcW w:w="5150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二、上年结转政府信息公开申请数量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三、本年度办理结果</w:t>
            </w:r>
          </w:p>
        </w:tc>
        <w:tc>
          <w:tcPr>
            <w:tcW w:w="4365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（一）予以公开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4365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（二）部分公开（区分处理的，只计这一情形，不计其他情形）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959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（三）不予公开</w:t>
            </w:r>
          </w:p>
        </w:tc>
        <w:tc>
          <w:tcPr>
            <w:tcW w:w="340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1.属于国家秘密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4" w:hRule="atLeast"/>
          <w:jc w:val="center"/>
        </w:trPr>
        <w:tc>
          <w:tcPr>
            <w:tcW w:w="78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95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40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2.其他法律行政法规禁止公开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95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40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3.危及“三安全一稳定”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95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40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4.保护第三方合法权益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4" w:hRule="atLeast"/>
          <w:jc w:val="center"/>
        </w:trPr>
        <w:tc>
          <w:tcPr>
            <w:tcW w:w="78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95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40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5.属于三类内部事务信息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95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40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6.属于四类过程性信息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95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40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7.属于行政执法案卷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95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40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8.属于行政查询事项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959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（四）无法提供</w:t>
            </w:r>
          </w:p>
        </w:tc>
        <w:tc>
          <w:tcPr>
            <w:tcW w:w="340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1.本机关不掌握相关政府信息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95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40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2.没有现成信息需要另行制作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95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40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3.补正后申请内容仍不明确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959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（五）不予处理</w:t>
            </w:r>
          </w:p>
        </w:tc>
        <w:tc>
          <w:tcPr>
            <w:tcW w:w="340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1.信访举报投诉类申请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95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40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2.重复申请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95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40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3.要求提供公开出版物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95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40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4.无正当理由大量反复申请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9" w:hRule="atLeast"/>
          <w:jc w:val="center"/>
        </w:trPr>
        <w:tc>
          <w:tcPr>
            <w:tcW w:w="78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95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40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5.要求行政机关确认或重新出具已获取信息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959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（六）其他处理</w:t>
            </w:r>
          </w:p>
        </w:tc>
        <w:tc>
          <w:tcPr>
            <w:tcW w:w="340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1.申请人无正当理由逾期不补正、行政机关不再处理其政府信息公开申请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95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40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2.申请人逾期未按收费通知要求缴纳费用、行政机关不再处理其政府信息公开申请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95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40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3.其他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4365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（七）总计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150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四、结转下年度继续办理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aps w:val="0"/>
                <w:color w:val="212529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</w:tbl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42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四、政府信息公开行政复议、行政诉讼情况</w:t>
      </w:r>
    </w:p>
    <w:tbl>
      <w:tblPr>
        <w:tblStyle w:val="5"/>
        <w:tblW w:w="9748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49"/>
        <w:gridCol w:w="649"/>
        <w:gridCol w:w="649"/>
        <w:gridCol w:w="649"/>
        <w:gridCol w:w="649"/>
        <w:gridCol w:w="649"/>
        <w:gridCol w:w="649"/>
        <w:gridCol w:w="650"/>
        <w:gridCol w:w="650"/>
        <w:gridCol w:w="650"/>
        <w:gridCol w:w="651"/>
        <w:gridCol w:w="651"/>
        <w:gridCol w:w="651"/>
        <w:gridCol w:w="651"/>
        <w:gridCol w:w="651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245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行政复议</w:t>
            </w:r>
          </w:p>
        </w:tc>
        <w:tc>
          <w:tcPr>
            <w:tcW w:w="6503" w:type="dxa"/>
            <w:gridSpan w:val="10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行政诉讼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4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结果维持</w:t>
            </w:r>
          </w:p>
        </w:tc>
        <w:tc>
          <w:tcPr>
            <w:tcW w:w="64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结果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纠正</w:t>
            </w:r>
          </w:p>
        </w:tc>
        <w:tc>
          <w:tcPr>
            <w:tcW w:w="64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其他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结果</w:t>
            </w:r>
          </w:p>
        </w:tc>
        <w:tc>
          <w:tcPr>
            <w:tcW w:w="64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尚未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审结</w:t>
            </w:r>
          </w:p>
        </w:tc>
        <w:tc>
          <w:tcPr>
            <w:tcW w:w="64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总计</w:t>
            </w:r>
          </w:p>
        </w:tc>
        <w:tc>
          <w:tcPr>
            <w:tcW w:w="324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未经复议直接起诉</w:t>
            </w:r>
          </w:p>
        </w:tc>
        <w:tc>
          <w:tcPr>
            <w:tcW w:w="3255" w:type="dxa"/>
            <w:gridSpan w:val="5"/>
            <w:tcBorders>
              <w:top w:val="single" w:color="auto" w:sz="8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复议后起诉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4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64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64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64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64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6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结果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维持</w:t>
            </w:r>
          </w:p>
        </w:tc>
        <w:tc>
          <w:tcPr>
            <w:tcW w:w="6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结果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纠正</w:t>
            </w:r>
          </w:p>
        </w:tc>
        <w:tc>
          <w:tcPr>
            <w:tcW w:w="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其他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结果</w:t>
            </w:r>
          </w:p>
        </w:tc>
        <w:tc>
          <w:tcPr>
            <w:tcW w:w="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尚未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审结</w:t>
            </w:r>
          </w:p>
        </w:tc>
        <w:tc>
          <w:tcPr>
            <w:tcW w:w="650" w:type="dxa"/>
            <w:tcBorders>
              <w:top w:val="single" w:color="auto" w:sz="8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总计</w:t>
            </w:r>
          </w:p>
        </w:tc>
        <w:tc>
          <w:tcPr>
            <w:tcW w:w="6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结果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维持</w:t>
            </w:r>
          </w:p>
        </w:tc>
        <w:tc>
          <w:tcPr>
            <w:tcW w:w="6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结果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纠正</w:t>
            </w:r>
          </w:p>
        </w:tc>
        <w:tc>
          <w:tcPr>
            <w:tcW w:w="6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其他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结果</w:t>
            </w:r>
          </w:p>
        </w:tc>
        <w:tc>
          <w:tcPr>
            <w:tcW w:w="6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尚未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审结</w:t>
            </w:r>
          </w:p>
        </w:tc>
        <w:tc>
          <w:tcPr>
            <w:tcW w:w="6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总计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2" w:hRule="atLeast"/>
          <w:jc w:val="center"/>
        </w:trPr>
        <w:tc>
          <w:tcPr>
            <w:tcW w:w="649" w:type="dxa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49" w:type="dxa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49" w:type="dxa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49" w:type="dxa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49" w:type="dxa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49" w:type="dxa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49" w:type="dxa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50" w:type="dxa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50" w:type="dxa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5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5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5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5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5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5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</w:tbl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420"/>
        <w:jc w:val="both"/>
        <w:textAlignment w:val="auto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五、存在的主要问题及改进情况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0" w:beforeAutospacing="0" w:after="150" w:afterAutospacing="0" w:line="30" w:lineRule="atLeast"/>
        <w:ind w:left="0" w:right="0" w:firstLine="0"/>
        <w:jc w:val="left"/>
        <w:rPr>
          <w:rFonts w:ascii="Arial" w:hAnsi="Arial" w:cs="Arial"/>
          <w:i w:val="0"/>
          <w:iCs w:val="0"/>
          <w:caps w:val="0"/>
          <w:color w:val="424242"/>
          <w:spacing w:val="0"/>
          <w:sz w:val="27"/>
          <w:szCs w:val="27"/>
        </w:rPr>
      </w:pPr>
      <w:r>
        <w:rPr>
          <w:rFonts w:hint="default" w:ascii="Arial" w:hAnsi="Arial" w:cs="Arial"/>
          <w:i w:val="0"/>
          <w:iCs w:val="0"/>
          <w:caps w:val="0"/>
          <w:color w:val="424242"/>
          <w:spacing w:val="0"/>
          <w:sz w:val="27"/>
          <w:szCs w:val="27"/>
          <w:shd w:val="clear" w:fill="FFFFFF"/>
        </w:rPr>
        <w:t>　</w:t>
      </w:r>
      <w:r>
        <w:rPr>
          <w:rFonts w:hint="eastAsia" w:ascii="Arial" w:hAnsi="Arial" w:cs="Arial"/>
          <w:i w:val="0"/>
          <w:iCs w:val="0"/>
          <w:caps w:val="0"/>
          <w:color w:val="424242"/>
          <w:spacing w:val="0"/>
          <w:sz w:val="27"/>
          <w:szCs w:val="27"/>
          <w:shd w:val="clear" w:fill="FFFFFF"/>
          <w:lang w:val="en-US" w:eastAsia="zh-CN"/>
        </w:rPr>
        <w:t xml:space="preserve"> </w:t>
      </w: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  <w:lang w:val="en-US" w:eastAsia="zh-CN"/>
        </w:rPr>
        <w:t>202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  <w:lang w:val="en-US" w:eastAsia="zh-CN"/>
        </w:rPr>
        <w:t>3</w:t>
      </w: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  <w:lang w:val="en-US" w:eastAsia="zh-CN"/>
        </w:rPr>
        <w:t>年，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  <w:lang w:val="en-US" w:eastAsia="zh-CN"/>
        </w:rPr>
        <w:t>区民政局</w:t>
      </w: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  <w:lang w:val="en-US" w:eastAsia="zh-CN"/>
        </w:rPr>
        <w:t>在推动政府信息公开工作中，还存在政务公开内容不够全面、媒体作用有待充分发挥、政策解读形式相对单一等问题，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  <w:lang w:val="en-US" w:eastAsia="zh-CN"/>
        </w:rPr>
        <w:t>接</w:t>
      </w: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  <w:lang w:val="en-US" w:eastAsia="zh-CN"/>
        </w:rPr>
        <w:t>下来将以担当意识落实新时代对政府信息公开提出的更广、更高要求，加强责任意识，切实提高政府信息公开便民服务水平。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0" w:beforeAutospacing="0" w:after="150" w:afterAutospacing="0" w:line="30" w:lineRule="atLeast"/>
        <w:ind w:left="0" w:right="0" w:firstLine="0"/>
        <w:jc w:val="left"/>
        <w:rPr>
          <w:rFonts w:hint="default" w:ascii="仿宋_GB2312" w:hAnsi="仿宋_GB2312" w:eastAsia="仿宋_GB2312" w:cs="仿宋_GB2312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  <w:lang w:val="en-US" w:eastAsia="zh-CN"/>
        </w:rPr>
      </w:pPr>
      <w:r>
        <w:rPr>
          <w:rFonts w:hint="default" w:ascii="Arial" w:hAnsi="Arial" w:cs="Arial"/>
          <w:i w:val="0"/>
          <w:iCs w:val="0"/>
          <w:caps w:val="0"/>
          <w:color w:val="424242"/>
          <w:spacing w:val="0"/>
          <w:sz w:val="27"/>
          <w:szCs w:val="27"/>
          <w:shd w:val="clear" w:fill="FFFFFF"/>
          <w:lang w:eastAsia="zh-CN"/>
        </w:rPr>
        <w:t>　　</w:t>
      </w:r>
      <w:r>
        <w:rPr>
          <w:rFonts w:hint="default" w:ascii="仿宋_GB2312" w:hAnsi="仿宋_GB2312" w:eastAsia="仿宋_GB2312" w:cs="仿宋_GB2312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  <w:lang w:val="en-US" w:eastAsia="zh-CN"/>
        </w:rPr>
        <w:t>一是加强对政府信息公开平台的监督管理。</w:t>
      </w: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  <w:lang w:val="en-US" w:eastAsia="zh-CN"/>
        </w:rPr>
        <w:t>按照上级部署要求，结合新形势、新要求，进一步完善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  <w:lang w:val="en-US" w:eastAsia="zh-CN"/>
        </w:rPr>
        <w:t>政务</w:t>
      </w: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  <w:lang w:val="en-US" w:eastAsia="zh-CN"/>
        </w:rPr>
        <w:t>公开制度，优化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  <w:lang w:val="en-US" w:eastAsia="zh-CN"/>
        </w:rPr>
        <w:t>政务</w:t>
      </w: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  <w:lang w:val="en-US" w:eastAsia="zh-CN"/>
        </w:rPr>
        <w:t>公开内部审批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  <w:lang w:val="en-US" w:eastAsia="zh-CN"/>
        </w:rPr>
        <w:t>制度</w:t>
      </w: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  <w:lang w:val="en-US" w:eastAsia="zh-CN"/>
        </w:rPr>
        <w:t>，提高公开办理效率和质量，加强政府信息公开平台的监督管理，确保做到政府信息及时、主动公开。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0" w:beforeAutospacing="0" w:after="150" w:afterAutospacing="0" w:line="30" w:lineRule="atLeast"/>
        <w:ind w:left="0" w:right="0" w:firstLine="0"/>
        <w:jc w:val="left"/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  <w:lang w:val="en-US" w:eastAsia="zh-CN"/>
        </w:rPr>
      </w:pPr>
      <w:r>
        <w:rPr>
          <w:rFonts w:hint="default" w:ascii="Arial" w:hAnsi="Arial" w:cs="Arial"/>
          <w:b/>
          <w:bCs/>
          <w:i w:val="0"/>
          <w:iCs w:val="0"/>
          <w:caps w:val="0"/>
          <w:color w:val="424242"/>
          <w:spacing w:val="0"/>
          <w:sz w:val="27"/>
          <w:szCs w:val="27"/>
          <w:shd w:val="clear" w:fill="FFFFFF"/>
          <w:lang w:eastAsia="zh-CN"/>
        </w:rPr>
        <w:t>　　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  <w:lang w:val="en-US" w:eastAsia="zh-CN"/>
        </w:rPr>
        <w:t>二</w:t>
      </w:r>
      <w:r>
        <w:rPr>
          <w:rFonts w:hint="default" w:ascii="仿宋_GB2312" w:hAnsi="仿宋_GB2312" w:eastAsia="仿宋_GB2312" w:cs="仿宋_GB2312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  <w:lang w:val="en-US" w:eastAsia="zh-CN"/>
        </w:rPr>
        <w:t>是加大政策解读宣传力度。</w:t>
      </w: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  <w:lang w:val="en-US" w:eastAsia="zh-CN"/>
        </w:rPr>
        <w:t>督促各相关科室综合运用图文动画、短视频等多种形式，推进政策解读内容更加深入、形式更加丰富。不断创新解读方式，提升解读信息传递效率，使政策解读可视、可读、可感，更贴近民心民意。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 w:firstLine="640" w:firstLineChars="200"/>
        <w:jc w:val="both"/>
        <w:textAlignment w:val="auto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六、其他需要报告的事项</w:t>
      </w:r>
    </w:p>
    <w:p>
      <w:pPr>
        <w:pStyle w:val="8"/>
        <w:widowControl/>
        <w:spacing w:beforeAutospacing="0" w:afterAutospacing="0" w:line="446" w:lineRule="auto"/>
        <w:ind w:firstLine="640" w:firstLineChars="200"/>
        <w:jc w:val="both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按照《国务院办公厅关于印发〈政府信息公开信息处理费管理办法〉的通知》（国办函〔2020〕109号）规定的按件、按量收费标准，本年度没有产生信息公开处理费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。</w:t>
      </w:r>
    </w:p>
    <w:p>
      <w:pPr>
        <w:pStyle w:val="8"/>
        <w:widowControl/>
        <w:spacing w:beforeAutospacing="0" w:afterAutospacing="0" w:line="446" w:lineRule="auto"/>
        <w:ind w:firstLine="640" w:firstLineChars="200"/>
        <w:jc w:val="both"/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</w:pPr>
    </w:p>
    <w:p>
      <w:pPr>
        <w:pStyle w:val="8"/>
        <w:widowControl/>
        <w:spacing w:beforeAutospacing="0" w:afterAutospacing="0" w:line="446" w:lineRule="auto"/>
        <w:ind w:firstLine="480" w:firstLineChars="200"/>
        <w:jc w:val="right"/>
      </w:pPr>
    </w:p>
    <w:p>
      <w:pPr>
        <w:pStyle w:val="8"/>
        <w:widowControl/>
        <w:spacing w:beforeAutospacing="0" w:afterAutospacing="0" w:line="446" w:lineRule="auto"/>
        <w:ind w:firstLine="480" w:firstLineChars="200"/>
        <w:jc w:val="right"/>
      </w:pPr>
    </w:p>
    <w:p>
      <w:pPr>
        <w:pStyle w:val="8"/>
        <w:widowControl/>
        <w:spacing w:beforeAutospacing="0" w:afterAutospacing="0" w:line="446" w:lineRule="auto"/>
        <w:ind w:firstLine="480" w:firstLineChars="200"/>
        <w:jc w:val="right"/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>2024年1月19日</w:t>
      </w:r>
    </w:p>
    <w:p>
      <w:pPr>
        <w:pStyle w:val="8"/>
        <w:widowControl/>
        <w:spacing w:beforeAutospacing="0" w:afterAutospacing="0" w:line="446" w:lineRule="auto"/>
        <w:jc w:val="both"/>
        <w:rPr>
          <w:rFonts w:hint="default"/>
          <w:lang w:val="en-US" w:eastAsia="zh-CN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QwOWM0ODIyMmIzNDZjZGY5YzgyZTUxMGIyMDhhMWMifQ=="/>
  </w:docVars>
  <w:rsids>
    <w:rsidRoot w:val="414234B4"/>
    <w:rsid w:val="414234B4"/>
    <w:rsid w:val="47AD75B9"/>
    <w:rsid w:val="57BA5404"/>
    <w:rsid w:val="6BE83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autoRedefine/>
    <w:qFormat/>
    <w:uiPriority w:val="0"/>
    <w:pPr>
      <w:keepNext/>
      <w:keepLines/>
      <w:spacing w:line="416" w:lineRule="auto"/>
      <w:outlineLvl w:val="1"/>
    </w:pPr>
    <w:rPr>
      <w:rFonts w:ascii="Cambria" w:hAnsi="Cambria"/>
      <w:b/>
      <w:bCs/>
      <w:sz w:val="32"/>
      <w:szCs w:val="32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qFormat/>
    <w:uiPriority w:val="0"/>
    <w:pPr>
      <w:jc w:val="left"/>
    </w:pPr>
  </w:style>
  <w:style w:type="paragraph" w:styleId="4">
    <w:name w:val="Normal (Web)"/>
    <w:basedOn w:val="1"/>
    <w:autoRedefine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Strong"/>
    <w:basedOn w:val="6"/>
    <w:autoRedefine/>
    <w:qFormat/>
    <w:uiPriority w:val="0"/>
    <w:rPr>
      <w:b/>
    </w:rPr>
  </w:style>
  <w:style w:type="paragraph" w:customStyle="1" w:styleId="8">
    <w:name w:val="普通(网站) Char"/>
    <w:basedOn w:val="1"/>
    <w:autoRedefine/>
    <w:qFormat/>
    <w:uiPriority w:val="0"/>
    <w:pPr>
      <w:spacing w:beforeAutospacing="1" w:afterAutospacing="1"/>
      <w:jc w:val="left"/>
    </w:pPr>
    <w:rPr>
      <w:rFonts w:hint="eastAsia" w:ascii="宋体" w:hAnsi="宋体" w:eastAsia="宋体" w:cs="Times New Roman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1335</TotalTime>
  <ScaleCrop>false</ScaleCrop>
  <LinksUpToDate>false</LinksUpToDate>
  <CharactersWithSpaces>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2024-01-19T08:22:00Z</dcterms:created>
  <dc:creator>薇薇</dc:creator>
  <cp:lastModifiedBy>薇薇</cp:lastModifiedBy>
  <dcterms:modified xsi:type="dcterms:W3CDTF">2024-01-23T08:10:42Z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4614E27EC67043C9B3F1DF893A3CF773_11</vt:lpwstr>
  </property>
</Properties>
</file>