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0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30"/>
          <w:szCs w:val="30"/>
          <w:highlight w:val="none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</w:rPr>
        <w:t>铜官区城管执法局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  <w:lang w:val="en-US" w:eastAsia="zh-CN"/>
        </w:rPr>
        <w:t>3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auto"/>
          <w:spacing w:val="0"/>
          <w:sz w:val="44"/>
          <w:szCs w:val="44"/>
          <w:highlight w:val="none"/>
          <w:shd w:val="clear" w:fill="FFFFFF"/>
        </w:rPr>
        <w:t>年度政府信息公开工作报告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540" w:lineRule="atLeast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firstLine="640" w:firstLineChars="200"/>
        <w:jc w:val="both"/>
        <w:textAlignment w:val="auto"/>
        <w:rPr>
          <w:rStyle w:val="10"/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根据《中华人民共和国政府信息公开条例》（国务院令第711号）和《国务院办公厅政府信息与政务公开办公室关于印发〈中华人民共和国政府信息公开工作年度报告格式〉的通知》（国办公开办函〔2021〕30号）要求，编制本年度报告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一、总体情况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</w:pP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2023年，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区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城管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执法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局以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打造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全国最干净城市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”工作为抓手，统筹实施城市管理、环境卫生、智慧城管建设等各项工作，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建立健全工作机制，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规范城市秩序，提高城市治理水平。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本报告中使用数据统计期限为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</w:rPr>
        <w:t>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日至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</w:rPr>
        <w:t>12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</w:rPr>
        <w:t>31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日。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3" w:firstLineChars="200"/>
        <w:jc w:val="both"/>
        <w:textAlignment w:val="auto"/>
        <w:rPr>
          <w:rStyle w:val="10"/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（一）加大政府信息主动公开力度</w:t>
      </w:r>
      <w:r>
        <w:rPr>
          <w:rFonts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。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2023年1-12月，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区城管执法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主动公开信息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285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条，包含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政策法规、重大决策预公开、人事信息、规划计划、建议提案办理、机构领导、机构设置、权责清单和动态调整情况、招标采购、新闻发布、城市综合执法领域、政策解读、回应关切、监督保障等内容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。并按要求在最短的时间内予以公开，确保了网上政务信息的及时更新和充实。及时发布政策性文件与解读方案、让群众更好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知晓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城市管理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政策和改革举措。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right="0" w:rightChars="0" w:firstLine="643" w:firstLineChars="200"/>
        <w:jc w:val="both"/>
        <w:textAlignment w:val="auto"/>
        <w:rPr>
          <w:rStyle w:val="10"/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二</w:t>
      </w: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提升依申请公开水平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。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建立依申请公开系统管理机制，对受理登记、审核、办理、调查、答复、归档、行政复议诉讼等环节同步管理，实现全链条可查可控。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及时按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政府信息公开申请答复规范格式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进行答复，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进一步规范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本单位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依申请公开工作。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2023年，区城管执法局依申请公开数为0件。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right" w:pos="8306"/>
        </w:tabs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20" w:lineRule="exact"/>
        <w:ind w:leftChars="0" w:firstLine="643" w:firstLineChars="200"/>
        <w:textAlignment w:val="auto"/>
        <w:rPr>
          <w:rStyle w:val="10"/>
          <w:rFonts w:hint="eastAsia" w:ascii="仿宋_GB2312" w:hAnsi="仿宋_GB2312" w:eastAsia="仿宋_GB2312" w:cs="仿宋_GB2312"/>
          <w:sz w:val="32"/>
          <w:szCs w:val="32"/>
        </w:rPr>
      </w:pPr>
      <w:r>
        <w:rPr>
          <w:rStyle w:val="10"/>
          <w:rFonts w:hint="eastAsia" w:ascii="楷体" w:hAnsi="楷体" w:eastAsia="楷体" w:cs="楷体"/>
          <w:b/>
          <w:bCs/>
          <w:sz w:val="32"/>
          <w:szCs w:val="32"/>
        </w:rPr>
        <w:t>（三）</w:t>
      </w:r>
      <w:r>
        <w:rPr>
          <w:rStyle w:val="10"/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健全</w:t>
      </w:r>
      <w:r>
        <w:rPr>
          <w:rStyle w:val="10"/>
          <w:rFonts w:hint="eastAsia" w:ascii="楷体" w:hAnsi="楷体" w:eastAsia="楷体" w:cs="楷体"/>
          <w:b/>
          <w:bCs/>
          <w:sz w:val="32"/>
          <w:szCs w:val="32"/>
        </w:rPr>
        <w:t>政府信息</w:t>
      </w:r>
      <w:r>
        <w:rPr>
          <w:rStyle w:val="10"/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公开</w:t>
      </w:r>
      <w:r>
        <w:rPr>
          <w:rStyle w:val="10"/>
          <w:rFonts w:hint="eastAsia" w:ascii="楷体" w:hAnsi="楷体" w:eastAsia="楷体" w:cs="楷体"/>
          <w:b/>
          <w:bCs/>
          <w:sz w:val="32"/>
          <w:szCs w:val="32"/>
        </w:rPr>
        <w:t>管理</w:t>
      </w:r>
      <w:r>
        <w:rPr>
          <w:rStyle w:val="10"/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机制</w:t>
      </w:r>
      <w:r>
        <w:rPr>
          <w:rStyle w:val="10"/>
          <w:rFonts w:hint="eastAsia" w:ascii="楷体" w:hAnsi="楷体" w:eastAsia="楷体" w:cs="楷体"/>
          <w:b/>
          <w:bCs/>
          <w:sz w:val="32"/>
          <w:szCs w:val="32"/>
        </w:rPr>
        <w:t>。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为提升政务公开工作质量，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区城管执法局进一步健全政府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信息主动公开、依申请公开和保密审查等相关制度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审核严格把关，形成“机构、人员、职责、维护”良性运行机制，保证全局政府信息公开工作务实有序推进。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Style w:val="10"/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（四）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加强政府信息公开平台建设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eastAsia="zh-CN"/>
        </w:rPr>
        <w:t>。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通过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优化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政府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信息公开栏目、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优化界面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提供word或PDF多格式下载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等方式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，方便群众查阅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扩大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市容管理、违法建设、生活垃圾分类等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各项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信息公开的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知晓度和影响力。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Style w:val="10"/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（五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强化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政府信息公开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监督保障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eastAsia="zh-CN"/>
        </w:rPr>
        <w:t>。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区城管执法局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认真抓好政务公开第三方评估发现问题自查自纠工作，针对自查发现的问题，认真分析原因、提出整改措施、明确整改责任部门及整改时限，立行立改，确保整改到位。结合实际制定年度政务公开工作要点，明确分工，细化责任，形成“主要领导亲自抓，分管领导具体抓，办公室专人抓，各部门分别抓”的政务公开工作格局，确保落实到位。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积极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eastAsia="zh-CN"/>
        </w:rPr>
        <w:t>参加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政务公开工作培训会，集中学习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eastAsia="zh-CN"/>
        </w:rPr>
        <w:t>相关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政务公开信息审核发布管理制度。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2023年，区城管执法局</w:t>
      </w:r>
      <w:r>
        <w:rPr>
          <w:rStyle w:val="10"/>
          <w:rFonts w:hint="eastAsia" w:ascii="仿宋_GB2312" w:hAnsi="仿宋_GB2312" w:eastAsia="仿宋_GB2312" w:cs="仿宋_GB2312"/>
          <w:sz w:val="32"/>
          <w:szCs w:val="32"/>
        </w:rPr>
        <w:t>未出现因信息公开不到位需要进行责任追究的情况。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二、主动公开政府信息情况</w:t>
      </w:r>
    </w:p>
    <w:tbl>
      <w:tblPr>
        <w:tblStyle w:val="7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第二十条第（一）项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现行有效件数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第二十条第（五）项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第二十条第（六）项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本年处理决定数量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104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第二十条第（八）项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本年收费金额（单位：万元）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</w:tr>
    </w:tbl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/>
        <w:jc w:val="both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三、收到和处理政府信息公开申请情况</w:t>
      </w:r>
    </w:p>
    <w:tbl>
      <w:tblPr>
        <w:tblStyle w:val="7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1"/>
        <w:gridCol w:w="1074"/>
        <w:gridCol w:w="3112"/>
        <w:gridCol w:w="683"/>
        <w:gridCol w:w="683"/>
        <w:gridCol w:w="683"/>
        <w:gridCol w:w="683"/>
        <w:gridCol w:w="683"/>
        <w:gridCol w:w="683"/>
        <w:gridCol w:w="683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781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83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自然人</w:t>
            </w:r>
          </w:p>
        </w:tc>
        <w:tc>
          <w:tcPr>
            <w:tcW w:w="34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法人或其他组织</w:t>
            </w:r>
          </w:p>
        </w:tc>
        <w:tc>
          <w:tcPr>
            <w:tcW w:w="683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83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企业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机构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社会公益组织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法律服务机构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其他</w:t>
            </w:r>
          </w:p>
        </w:tc>
        <w:tc>
          <w:tcPr>
            <w:tcW w:w="683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三、本年度办理结果</w:t>
            </w:r>
          </w:p>
        </w:tc>
        <w:tc>
          <w:tcPr>
            <w:tcW w:w="418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（一）予以公开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186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（三）不予公开</w:t>
            </w: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1.属于国家秘密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2.其他法律行政法规禁止公开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3.危及“三安全一稳定”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4.保护第三方合法权益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5.属于三类内部事务信息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6.属于四类过程性信息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7.属于行政执法案卷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8.属于行政查询事项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（四）无法提供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1.本机关不掌握相关政府信息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2.没有现成信息需要另行制作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3.补正后申请内容仍不明确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（五）不予处理</w:t>
            </w:r>
          </w:p>
        </w:tc>
        <w:tc>
          <w:tcPr>
            <w:tcW w:w="3112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1.信访举报投诉类申请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2.重复申请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3.要求提供公开出版物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4.无正当理由大量反复申请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（六）其他处理</w:t>
            </w: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1074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311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3.其他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1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4186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（七）总计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67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四、结转下年度继续办理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8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</w:t>
            </w:r>
          </w:p>
        </w:tc>
      </w:tr>
    </w:tbl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right="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四、政府信息公开行政复议、行政诉讼情况</w:t>
      </w:r>
    </w:p>
    <w:tbl>
      <w:tblPr>
        <w:tblStyle w:val="7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尚未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kern w:val="2"/>
                <w:sz w:val="3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0 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right="0" w:firstLine="0"/>
              <w:jc w:val="center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highlight w:val="none"/>
                <w:lang w:val="en-US" w:eastAsia="zh-CN" w:bidi="ar"/>
              </w:rPr>
              <w:t> 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0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firstLine="640" w:firstLineChars="20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五、存在的主要问题及改进情况</w:t>
      </w: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2023年，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区城管执法局</w:t>
      </w:r>
      <w:r>
        <w:rPr>
          <w:rFonts w:hint="eastAsia" w:ascii="仿宋_GB2312" w:hAnsi="仿宋_GB2312" w:eastAsia="仿宋_GB2312" w:cs="仿宋_GB2312"/>
          <w:sz w:val="32"/>
          <w:szCs w:val="32"/>
        </w:rPr>
        <w:t>在政府信息公开工作上虽然取得了一定成效，但仍存在一些不足之处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如政策解读质量还不够高，政务公开业务水平仍需持续提升等。</w:t>
      </w: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下一步，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区城管执法局</w:t>
      </w:r>
      <w:r>
        <w:rPr>
          <w:rFonts w:hint="eastAsia" w:ascii="仿宋_GB2312" w:hAnsi="仿宋_GB2312" w:eastAsia="仿宋_GB2312" w:cs="仿宋_GB2312"/>
          <w:sz w:val="32"/>
          <w:szCs w:val="32"/>
        </w:rPr>
        <w:t>将通过以下措施加以改进：</w:t>
      </w: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一是积极探索多样化政策解读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结合城管工作实际，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不断丰富解读材料形式，探索通过音频、图文等方式进行政策解读，提高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城管部门政策</w:t>
      </w:r>
      <w:r>
        <w:rPr>
          <w:rFonts w:hint="eastAsia" w:ascii="仿宋_GB2312" w:hAnsi="仿宋_GB2312" w:eastAsia="仿宋_GB2312" w:cs="仿宋_GB2312"/>
          <w:sz w:val="32"/>
          <w:szCs w:val="32"/>
        </w:rPr>
        <w:t>解读质量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</w:rPr>
        <w:t>解读实效。</w:t>
      </w:r>
    </w:p>
    <w:p>
      <w:pPr>
        <w:pStyle w:val="5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</w:rPr>
        <w:t>是加强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内部</w:t>
      </w:r>
      <w:r>
        <w:rPr>
          <w:rFonts w:hint="eastAsia" w:ascii="仿宋_GB2312" w:hAnsi="仿宋_GB2312" w:eastAsia="仿宋_GB2312" w:cs="仿宋_GB2312"/>
          <w:sz w:val="32"/>
          <w:szCs w:val="32"/>
        </w:rPr>
        <w:t>业务培训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积极组织开展政府信息公开业务学习和培训，进一步增强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干部职工政府信息公开责任意识，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压实各方责任，</w:t>
      </w:r>
      <w:r>
        <w:rPr>
          <w:rFonts w:hint="eastAsia" w:ascii="仿宋_GB2312" w:hAnsi="仿宋_GB2312" w:eastAsia="仿宋_GB2312" w:cs="仿宋_GB2312"/>
          <w:sz w:val="32"/>
          <w:szCs w:val="32"/>
        </w:rPr>
        <w:t>努力提高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本单位</w:t>
      </w:r>
      <w:r>
        <w:rPr>
          <w:rFonts w:hint="eastAsia" w:ascii="仿宋_GB2312" w:hAnsi="仿宋_GB2312" w:eastAsia="仿宋_GB2312" w:cs="仿宋_GB2312"/>
          <w:sz w:val="32"/>
          <w:szCs w:val="32"/>
        </w:rPr>
        <w:t>政府信息公开业务水平。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lef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黑体" w:hAnsi="宋体" w:eastAsia="黑体" w:cs="黑体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六、</w:t>
      </w:r>
      <w:r>
        <w:rPr>
          <w:rFonts w:hint="eastAsia" w:ascii="黑体" w:hAnsi="宋体" w:eastAsia="黑体" w:cs="黑体"/>
          <w:i w:val="0"/>
          <w:iCs w:val="0"/>
          <w:caps w:val="0"/>
          <w:color w:val="auto"/>
          <w:spacing w:val="0"/>
          <w:kern w:val="0"/>
          <w:sz w:val="32"/>
          <w:szCs w:val="32"/>
          <w:highlight w:val="none"/>
          <w:shd w:val="clear" w:fill="FFFFFF"/>
          <w:lang w:val="en-US" w:eastAsia="zh-CN" w:bidi="ar"/>
        </w:rPr>
        <w:t>其他需要报告的事项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640"/>
        <w:jc w:val="both"/>
        <w:textAlignment w:val="auto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按照《国务院办公厅关于印发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 w:val="32"/>
          <w:szCs w:val="32"/>
          <w:highlight w:val="none"/>
          <w:lang w:val="en-US" w:eastAsia="zh-CN"/>
        </w:rPr>
        <w:t>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政府信息公开信息处理费管理办法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 w:val="32"/>
          <w:szCs w:val="32"/>
          <w:highlight w:val="none"/>
          <w:lang w:val="en-US" w:eastAsia="zh-CN"/>
        </w:rPr>
        <w:t>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的通知》（国办函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 w:val="32"/>
          <w:szCs w:val="32"/>
          <w:highlight w:val="none"/>
          <w:lang w:val="en-US" w:eastAsia="zh-CN"/>
        </w:rPr>
        <w:t>〔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2020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 w:val="32"/>
          <w:szCs w:val="32"/>
          <w:highlight w:val="none"/>
          <w:lang w:val="en-US" w:eastAsia="zh-CN"/>
        </w:rPr>
        <w:t>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highlight w:val="none"/>
          <w:lang w:val="en-US" w:eastAsia="zh-CN"/>
        </w:rPr>
        <w:t>109号）规定的按件、按量收费标准，本年度没有产生信息公开处理费。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</w:rPr>
        <w:t> 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 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640"/>
        <w:jc w:val="right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64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铜官区城市管理行政执法局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480" w:firstLine="640"/>
        <w:jc w:val="right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202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4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年1月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  <w:lang w:val="en-US" w:eastAsia="zh-CN"/>
        </w:rPr>
        <w:t>22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auto"/>
          <w:spacing w:val="0"/>
          <w:sz w:val="32"/>
          <w:szCs w:val="32"/>
          <w:highlight w:val="none"/>
          <w:shd w:val="clear" w:fill="FFFFFF"/>
        </w:rPr>
        <w:t>日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ascii="Calibri" w:hAnsi="Calibri" w:eastAsia="微软雅黑" w:cs="Calibri"/>
          <w:i w:val="0"/>
          <w:iCs w:val="0"/>
          <w:caps w:val="0"/>
          <w:color w:val="auto"/>
          <w:spacing w:val="0"/>
          <w:kern w:val="0"/>
          <w:sz w:val="21"/>
          <w:szCs w:val="21"/>
          <w:highlight w:val="none"/>
          <w:shd w:val="clear" w:fill="FFFFFF"/>
          <w:lang w:val="en-US" w:eastAsia="zh-CN" w:bidi="ar"/>
        </w:rPr>
        <w:t> </w:t>
      </w:r>
    </w:p>
    <w:p>
      <w:pPr>
        <w:rPr>
          <w:color w:val="auto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RlNTk3OWY1OTU3MzdmZGQ2NDY0MmIzZTUyZDE3YTIifQ=="/>
  </w:docVars>
  <w:rsids>
    <w:rsidRoot w:val="44936E36"/>
    <w:rsid w:val="05E25E11"/>
    <w:rsid w:val="067104B9"/>
    <w:rsid w:val="067D2943"/>
    <w:rsid w:val="070A5B7C"/>
    <w:rsid w:val="084560A8"/>
    <w:rsid w:val="0E465AFE"/>
    <w:rsid w:val="12944636"/>
    <w:rsid w:val="129D74B9"/>
    <w:rsid w:val="14C61437"/>
    <w:rsid w:val="175207E1"/>
    <w:rsid w:val="177B5E34"/>
    <w:rsid w:val="185F0A15"/>
    <w:rsid w:val="1A0601C9"/>
    <w:rsid w:val="1B9F6634"/>
    <w:rsid w:val="1C314E69"/>
    <w:rsid w:val="21EF5245"/>
    <w:rsid w:val="2574595C"/>
    <w:rsid w:val="25BE3C38"/>
    <w:rsid w:val="278921E0"/>
    <w:rsid w:val="2F7304AD"/>
    <w:rsid w:val="32D3340D"/>
    <w:rsid w:val="342C40ED"/>
    <w:rsid w:val="350940B2"/>
    <w:rsid w:val="375765FF"/>
    <w:rsid w:val="37C77005"/>
    <w:rsid w:val="3A1C0065"/>
    <w:rsid w:val="3BEE61FC"/>
    <w:rsid w:val="3CC35E8C"/>
    <w:rsid w:val="3DFE00AC"/>
    <w:rsid w:val="409F7D44"/>
    <w:rsid w:val="41AE076E"/>
    <w:rsid w:val="41F10116"/>
    <w:rsid w:val="43BE0808"/>
    <w:rsid w:val="44936E36"/>
    <w:rsid w:val="450F4C4C"/>
    <w:rsid w:val="46F31C70"/>
    <w:rsid w:val="48F51046"/>
    <w:rsid w:val="499C1DC7"/>
    <w:rsid w:val="4BBF1667"/>
    <w:rsid w:val="4C151E79"/>
    <w:rsid w:val="50244780"/>
    <w:rsid w:val="551D72B1"/>
    <w:rsid w:val="57037864"/>
    <w:rsid w:val="572E3B80"/>
    <w:rsid w:val="58BD2DDD"/>
    <w:rsid w:val="59950EC7"/>
    <w:rsid w:val="5D0802F2"/>
    <w:rsid w:val="5FCA799A"/>
    <w:rsid w:val="612E452C"/>
    <w:rsid w:val="64A53FA6"/>
    <w:rsid w:val="684B1FCC"/>
    <w:rsid w:val="68CD1B86"/>
    <w:rsid w:val="707152F4"/>
    <w:rsid w:val="715462AD"/>
    <w:rsid w:val="71C715FB"/>
    <w:rsid w:val="76A669D8"/>
    <w:rsid w:val="77FD506E"/>
    <w:rsid w:val="7B064216"/>
    <w:rsid w:val="7E7F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4">
    <w:name w:val="heading 4"/>
    <w:basedOn w:val="1"/>
    <w:next w:val="1"/>
    <w:autoRedefine/>
    <w:qFormat/>
    <w:uiPriority w:val="0"/>
    <w:pPr>
      <w:keepNext/>
      <w:keepLines/>
      <w:spacing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10"/>
    <w:autoRedefine/>
    <w:qFormat/>
    <w:uiPriority w:val="0"/>
    <w:pPr>
      <w:jc w:val="left"/>
    </w:p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autoRedefine/>
    <w:qFormat/>
    <w:uiPriority w:val="0"/>
    <w:rPr>
      <w:b/>
    </w:rPr>
  </w:style>
  <w:style w:type="character" w:customStyle="1" w:styleId="10">
    <w:name w:val="批注文字 Char"/>
    <w:link w:val="5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2022-01-05T09:04:00Z</dcterms:created>
  <dc:creator>潜水</dc:creator>
  <cp:lastModifiedBy>潜水</cp:lastModifiedBy>
  <dcterms:modified xsi:type="dcterms:W3CDTF">2024-01-22T03:20:00Z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C3453C45555A4674A8F321CCAA64EBA0</vt:lpwstr>
  </property>
</Properties>
</file>