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0" w:firstLineChars="100"/>
        <w:jc w:val="both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铜陵市铜官区卫健委2023年政府信息公开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工作年度报告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根据《中华人民共和国政府信息公开条例》（国务院令第711号）和《国务院办公厅政府信息与政务公开办公室关于印发&lt;中华人民共和国政府信息公开工作年度报告格式&gt;的通知》（国办公开办函〔2021〕30号）要求，编制本年度报告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总体情况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2023年度，铜官区卫生健康委认真落实国家、省、市关于政府信息公开工作的有关部署和指示，不断提升政府信息与政务公开工作效能，为社会群众提供准确、全面、有效的政府信息服务，不断提升全区人民群众的满意度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主动公开情况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本年度铜官区卫健委坚持规范有序做好政府信息主动公开工作，将政府信息公开工作作为委重点工作开展。2023年全年累计发布政务公开信息607条，其中政策法规15条，重大决策预公开14条；主动公开规划计划、决策部署落实情况信息19条；主动公开人大代表建议办理14条、政协委员提案信息10条；主动公开财务预决算、财政专项经费管理使用和“三公”经费信息9条，公开专项资金情况9条；主动公开行政权力运行情况83条，全年行政许可决定数量301条，行政处罚数量18条，行政强制数量0条，信息公开畅通有序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规范公正做好依申请公开工作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本年度，铜官区卫健委实事求是、依法依规继续做好政府信息公开申请公开办理工作，全年未收到政府信息公开申请。 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严格审核做好政府信息管理工作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铜官区卫健委积极做好政府信息管理工作，严落实政府信息工作审核制度，严格信息内容审核纠错，做好集中统一公开，保障卫健信息公开的准确有效。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提质增效加强政府信息公开平台建设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铜官区卫健委严格规范落实《中华人民共和国政府信息公开条例》，不断提升委属各科室、单位工作人员的政府信息公开意识，保障相关目录信息更新的及时有效。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落实责任做好政府信息公开监督保障工作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2023年度，铜官区卫健委进一步加强政务信息公开的监督保障工作，明确专人负责此项工作，同时积极参加市、区组织的政府信息工作培训，不断提升经办人员业务水平和能力。2023年全年累计发布包括政务公开制度、专项工作、工作推进、信息公开新条例贯彻落实等信息9条；全年政务信息公开考核得分排名位列区直部门前列；同时，区卫健委积极对照政务信息公开考核要求，补齐短板，落实整改责任，保障信息公开全面、准确、畅通。2023年铜官区卫健委积极接受有关单位和广大群众监督，该年未发生政务公开责任追究和社会评议情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二、主动公开政府信息情况</w:t>
      </w:r>
    </w:p>
    <w:tbl>
      <w:tblPr>
        <w:tblStyle w:val="6"/>
        <w:tblW w:w="0" w:type="auto"/>
        <w:jc w:val="center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39"/>
        <w:gridCol w:w="2240"/>
        <w:gridCol w:w="2240"/>
        <w:gridCol w:w="2240"/>
      </w:tblGrid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第二十条第（一）项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信息内容</w:t>
            </w:r>
          </w:p>
        </w:tc>
        <w:tc>
          <w:tcPr>
            <w:tcW w:w="243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本年制发件数</w:t>
            </w:r>
          </w:p>
        </w:tc>
        <w:tc>
          <w:tcPr>
            <w:tcW w:w="243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本年废止件数</w:t>
            </w:r>
          </w:p>
        </w:tc>
        <w:tc>
          <w:tcPr>
            <w:tcW w:w="243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现行有效件数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  <w:jc w:val="center"/>
        </w:trPr>
        <w:tc>
          <w:tcPr>
            <w:tcW w:w="2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第二十条第（五）项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本年处理决定数量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  <w:lang w:val="en-US" w:eastAsia="zh-CN"/>
              </w:rPr>
              <w:t>301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第二十条第（六）项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本年处理决定数量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  <w:lang w:val="en-US" w:eastAsia="zh-CN"/>
              </w:rPr>
              <w:t>18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第二十条第（八）项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本年收费金额（单位：万元）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三、收到和处理政府信息公开申请情况</w:t>
      </w:r>
    </w:p>
    <w:tbl>
      <w:tblPr>
        <w:tblStyle w:val="6"/>
        <w:tblW w:w="0" w:type="auto"/>
        <w:jc w:val="center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6"/>
        <w:gridCol w:w="1074"/>
        <w:gridCol w:w="2690"/>
        <w:gridCol w:w="638"/>
        <w:gridCol w:w="638"/>
        <w:gridCol w:w="638"/>
        <w:gridCol w:w="639"/>
        <w:gridCol w:w="639"/>
        <w:gridCol w:w="639"/>
        <w:gridCol w:w="639"/>
      </w:tblGrid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vMerge w:val="restart"/>
            <w:tcBorders>
              <w:top w:val="single" w:color="000000" w:sz="8" w:space="0"/>
              <w:left w:val="single" w:color="000000" w:sz="8" w:space="0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（本列数据的勾稽关系为：第一项加第二项之和，等于第三项加第四项之和）</w:t>
            </w:r>
          </w:p>
        </w:tc>
        <w:tc>
          <w:tcPr>
            <w:tcW w:w="4781" w:type="dxa"/>
            <w:gridSpan w:val="7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申请人情况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vMerge w:val="continue"/>
            <w:tcBorders>
              <w:top w:val="single" w:color="000000" w:sz="8" w:space="0"/>
              <w:left w:val="single" w:color="000000" w:sz="8" w:space="0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683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自然人</w:t>
            </w:r>
          </w:p>
        </w:tc>
        <w:tc>
          <w:tcPr>
            <w:tcW w:w="3415" w:type="dxa"/>
            <w:gridSpan w:val="5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法人或其他组织</w:t>
            </w:r>
          </w:p>
        </w:tc>
        <w:tc>
          <w:tcPr>
            <w:tcW w:w="683" w:type="dxa"/>
            <w:vMerge w:val="restart"/>
            <w:tcBorders>
              <w:top w:val="single" w:color="000000" w:sz="8" w:space="0"/>
              <w:left w:val="nil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总计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vMerge w:val="continue"/>
            <w:tcBorders>
              <w:top w:val="single" w:color="000000" w:sz="8" w:space="0"/>
              <w:left w:val="single" w:color="000000" w:sz="8" w:space="0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683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商业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企业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科研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机构</w:t>
            </w:r>
          </w:p>
        </w:tc>
        <w:tc>
          <w:tcPr>
            <w:tcW w:w="68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社会公益组织</w:t>
            </w:r>
          </w:p>
        </w:tc>
        <w:tc>
          <w:tcPr>
            <w:tcW w:w="68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法律服务机构</w:t>
            </w:r>
          </w:p>
        </w:tc>
        <w:tc>
          <w:tcPr>
            <w:tcW w:w="68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其他</w:t>
            </w:r>
          </w:p>
        </w:tc>
        <w:tc>
          <w:tcPr>
            <w:tcW w:w="683" w:type="dxa"/>
            <w:vMerge w:val="continue"/>
            <w:tcBorders>
              <w:top w:val="single" w:color="000000" w:sz="8" w:space="0"/>
              <w:left w:val="nil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一、本年新收政府信息公开申请数量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二、上年结转政府信息公开申请数量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三、本年度办理结果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（一）予以公开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（二）部分公开（区分处理的，只计这一情形，不计其他情形）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（三）不予公开</w:t>
            </w:r>
          </w:p>
        </w:tc>
        <w:tc>
          <w:tcPr>
            <w:tcW w:w="3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1.属于国家秘密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2.其他法律行政法规禁止公开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3.危及“三安全一稳定”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4.保护第三方合法权益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5.属于三类内部事务信息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6.属于四类过程性信息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7.属于行政执法案卷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8.属于行政查询事项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（四）无法提供</w:t>
            </w:r>
          </w:p>
        </w:tc>
        <w:tc>
          <w:tcPr>
            <w:tcW w:w="3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1.本机关不掌握相关政府信息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2.没有现成信息需要另行制作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3.补正后申请内容仍不明确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（五）不予处理</w:t>
            </w:r>
          </w:p>
        </w:tc>
        <w:tc>
          <w:tcPr>
            <w:tcW w:w="31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1.信访举报投诉类申请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2.重复申请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000000" w:sz="8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3.要求提供公开出版物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4.无正当理由大量反复申请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5.要求行政机关确认或重新出具已获取信息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（六）其他处理</w:t>
            </w:r>
          </w:p>
        </w:tc>
        <w:tc>
          <w:tcPr>
            <w:tcW w:w="3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1.申请人无正当理由逾期不补正、行政机关不再处理其政府信息公开申请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2.申请人逾期未按收费通知要求缴纳费用、行政机关不再处理其政府信息公开申请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3.其他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（七）总计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四、结转下年度继续办理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四、政府信息公开行政复议、行政诉讼情况</w:t>
      </w:r>
    </w:p>
    <w:tbl>
      <w:tblPr>
        <w:tblStyle w:val="6"/>
        <w:tblW w:w="0" w:type="auto"/>
        <w:jc w:val="center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03"/>
        <w:gridCol w:w="603"/>
        <w:gridCol w:w="603"/>
        <w:gridCol w:w="603"/>
        <w:gridCol w:w="604"/>
        <w:gridCol w:w="604"/>
        <w:gridCol w:w="604"/>
        <w:gridCol w:w="604"/>
        <w:gridCol w:w="604"/>
        <w:gridCol w:w="604"/>
        <w:gridCol w:w="605"/>
        <w:gridCol w:w="605"/>
        <w:gridCol w:w="605"/>
        <w:gridCol w:w="605"/>
        <w:gridCol w:w="605"/>
      </w:tblGrid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行政诉讼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结果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其他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尚未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复议后起诉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结果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维持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结果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纠正</w:t>
            </w:r>
          </w:p>
        </w:tc>
        <w:tc>
          <w:tcPr>
            <w:tcW w:w="6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其他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结果</w:t>
            </w:r>
          </w:p>
        </w:tc>
        <w:tc>
          <w:tcPr>
            <w:tcW w:w="6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尚未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审结</w:t>
            </w:r>
          </w:p>
        </w:tc>
        <w:tc>
          <w:tcPr>
            <w:tcW w:w="6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总计</w:t>
            </w:r>
          </w:p>
        </w:tc>
        <w:tc>
          <w:tcPr>
            <w:tcW w:w="65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结果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维持</w:t>
            </w:r>
          </w:p>
        </w:tc>
        <w:tc>
          <w:tcPr>
            <w:tcW w:w="65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结果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纠正</w:t>
            </w:r>
          </w:p>
        </w:tc>
        <w:tc>
          <w:tcPr>
            <w:tcW w:w="65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其他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结果</w:t>
            </w:r>
          </w:p>
        </w:tc>
        <w:tc>
          <w:tcPr>
            <w:tcW w:w="65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尚未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审结</w:t>
            </w:r>
          </w:p>
        </w:tc>
        <w:tc>
          <w:tcPr>
            <w:tcW w:w="65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总计</w:t>
            </w:r>
          </w:p>
        </w:tc>
      </w:tr>
      <w:tr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64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  <w:tc>
          <w:tcPr>
            <w:tcW w:w="6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存在的主要问题及改进情况　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2023年，我委按照政务信息公开有关工作要求，严格要求，取得了一些成效，但仍存在一些不足：一是委属各科室、单位对于政府信息公开的意识还需要进一步加强；二是政府信息公开的形式和内容可以进一步丰富，目前较为单一；三是政府信息公开工作人员缺乏稳定性，会在一定程度上影响政府信息公开的质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2024年，铜官区卫健委将在前期工作取得长足进步的基础上，进一步做好政府信息公开工作：一是进一步明确政府信息公开工作的重要性，建立完善相关责任制度，加强委属科室、单位的沟通衔接，提升信息公开发布渠道的畅通性，保障信息公开的准确、及时、有效；二是借鉴学习先进经验，丰富卫生健康领域信息公开形式，提升政府信息公开的有效性；三是加强政府信息公开工作队伍建设，补齐人员短板，提升业务能力，形成高效、稳定的信息公开人才队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六、其他需要报告的事项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按照《国务院办公厅关于印发〈政府信息公开信息处理费管理办法〉的通知》（国办函〔2020〕109号）规定的按件、按量收费标准，本年度没有产生信息公开处理费。   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> 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铜官区卫生健康委员会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" w:hAnsi="仿宋" w:eastAsia="仿宋" w:cs="仿宋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2023年1月16日  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0BFD189-54B0-48C7-B7E0-1B78012688D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70D39331-A11D-4B73-A6AE-BA32C343EDEB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3294A2BB-3900-4F33-9DE5-2662A9B9F72C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9DDD648D-6F61-4CD9-9741-7A5F42D8291F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93FE225A-75B2-43C1-B633-3D65926B892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65F67B11-F821-4806-970C-E3B06D0ADEC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7" w:fontKey="{BC7C177C-D08F-4D77-9C83-3A552D4A82B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F738AC"/>
    <w:multiLevelType w:val="singleLevel"/>
    <w:tmpl w:val="40F738AC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68AFD4D1"/>
    <w:multiLevelType w:val="singleLevel"/>
    <w:tmpl w:val="68AFD4D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66F08EE"/>
    <w:multiLevelType w:val="singleLevel"/>
    <w:tmpl w:val="766F08E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0MmQ3MGE4ZDBlNzZjZmVlMDRkMWM5MDFkN2Q4MjAifQ=="/>
  </w:docVars>
  <w:rsids>
    <w:rsidRoot w:val="0C26069E"/>
    <w:rsid w:val="004E3F76"/>
    <w:rsid w:val="00EA32C5"/>
    <w:rsid w:val="02B43861"/>
    <w:rsid w:val="03D137F8"/>
    <w:rsid w:val="04423D59"/>
    <w:rsid w:val="05B41169"/>
    <w:rsid w:val="06EB0A9B"/>
    <w:rsid w:val="096936AB"/>
    <w:rsid w:val="09BE0882"/>
    <w:rsid w:val="0C26069E"/>
    <w:rsid w:val="0FF705D0"/>
    <w:rsid w:val="12244F80"/>
    <w:rsid w:val="17255A22"/>
    <w:rsid w:val="17E3720A"/>
    <w:rsid w:val="1B2F39F0"/>
    <w:rsid w:val="1D4961E3"/>
    <w:rsid w:val="20124027"/>
    <w:rsid w:val="205A458A"/>
    <w:rsid w:val="20857532"/>
    <w:rsid w:val="2099122F"/>
    <w:rsid w:val="20D504B9"/>
    <w:rsid w:val="20EF2BFD"/>
    <w:rsid w:val="22DA4F77"/>
    <w:rsid w:val="22DD3655"/>
    <w:rsid w:val="24FB7DC2"/>
    <w:rsid w:val="26D251BE"/>
    <w:rsid w:val="28B55928"/>
    <w:rsid w:val="3148438F"/>
    <w:rsid w:val="3598340C"/>
    <w:rsid w:val="37907BFA"/>
    <w:rsid w:val="3A8A4699"/>
    <w:rsid w:val="3A920D71"/>
    <w:rsid w:val="3EF5058E"/>
    <w:rsid w:val="42AF24B2"/>
    <w:rsid w:val="449A2CFC"/>
    <w:rsid w:val="479A4225"/>
    <w:rsid w:val="4C675BBA"/>
    <w:rsid w:val="4DF25C03"/>
    <w:rsid w:val="4F0009A6"/>
    <w:rsid w:val="4F6939F7"/>
    <w:rsid w:val="51622DF4"/>
    <w:rsid w:val="557650C0"/>
    <w:rsid w:val="58367E0B"/>
    <w:rsid w:val="58C3686E"/>
    <w:rsid w:val="5A2651E0"/>
    <w:rsid w:val="5B987D76"/>
    <w:rsid w:val="5CF27905"/>
    <w:rsid w:val="5DF66D9E"/>
    <w:rsid w:val="5F297285"/>
    <w:rsid w:val="5F8C2318"/>
    <w:rsid w:val="61F45CEA"/>
    <w:rsid w:val="64885A74"/>
    <w:rsid w:val="65735178"/>
    <w:rsid w:val="66B71094"/>
    <w:rsid w:val="696F3EA8"/>
    <w:rsid w:val="6BF84629"/>
    <w:rsid w:val="6D3E42BD"/>
    <w:rsid w:val="6F1308A4"/>
    <w:rsid w:val="705C33D8"/>
    <w:rsid w:val="7578254D"/>
    <w:rsid w:val="75B42DEF"/>
    <w:rsid w:val="77A2538C"/>
    <w:rsid w:val="78762B5D"/>
    <w:rsid w:val="79A21340"/>
    <w:rsid w:val="79C30024"/>
    <w:rsid w:val="7BF10551"/>
    <w:rsid w:val="7D334955"/>
    <w:rsid w:val="7E1F6B85"/>
    <w:rsid w:val="7E7404E9"/>
    <w:rsid w:val="7F4528FB"/>
    <w:rsid w:val="7F6147D8"/>
    <w:rsid w:val="7FAA1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autoRedefine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2319</Words>
  <Characters>2391</Characters>
  <Lines>0</Lines>
  <Paragraphs>0</Paragraphs>
  <TotalTime>28</TotalTime>
  <ScaleCrop>false</ScaleCrop>
  <LinksUpToDate>false</LinksUpToDate>
  <CharactersWithSpaces>2406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2024-01-16T01:10:00Z</dcterms:created>
  <dc:creator>小益</dc:creator>
  <cp:lastModifiedBy>小益</cp:lastModifiedBy>
  <dcterms:modified xsi:type="dcterms:W3CDTF">2024-02-21T07:32:11Z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65AD2DF643894FE3ACBF5F4D098F720E_13</vt:lpwstr>
  </property>
</Properties>
</file>