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default" w:ascii="Times New Roman" w:hAnsi="Times New Roman" w:eastAsia="方正小标宋简体" w:cs="Times New Roman"/>
          <w:spacing w:val="-11"/>
          <w:sz w:val="44"/>
          <w:szCs w:val="44"/>
          <w:lang w:val="en-US" w:eastAsia="zh-CN"/>
        </w:rPr>
      </w:pPr>
      <w:r>
        <w:rPr>
          <w:rFonts w:hint="default" w:ascii="Times New Roman" w:hAnsi="Times New Roman" w:eastAsia="方正小标宋简体" w:cs="Times New Roman"/>
          <w:spacing w:val="-11"/>
          <w:sz w:val="44"/>
          <w:szCs w:val="44"/>
          <w:lang w:val="en-US" w:eastAsia="zh-CN"/>
        </w:rPr>
        <w:t>铜官区人民政府办公室2023年政府信息公开</w:t>
      </w:r>
    </w:p>
    <w:p>
      <w:pPr>
        <w:bidi w:val="0"/>
        <w:jc w:val="center"/>
        <w:rPr>
          <w:rFonts w:hint="eastAsia" w:ascii="Times New Roman" w:hAnsi="Times New Roman" w:eastAsia="方正小标宋简体" w:cs="Times New Roman"/>
          <w:lang w:val="en-US" w:eastAsia="zh-CN"/>
        </w:rPr>
      </w:pPr>
      <w:r>
        <w:rPr>
          <w:rFonts w:hint="default" w:ascii="Times New Roman" w:hAnsi="Times New Roman" w:eastAsia="方正小标宋简体" w:cs="Times New Roman"/>
          <w:spacing w:val="-11"/>
          <w:sz w:val="44"/>
          <w:szCs w:val="44"/>
          <w:lang w:val="en-US" w:eastAsia="zh-CN"/>
        </w:rPr>
        <w:t>工作年度报告</w:t>
      </w:r>
    </w:p>
    <w:p>
      <w:pPr>
        <w:bidi w:val="0"/>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中华人民共和国政府信息公开条例》（国务院令第711号）和《国务院办公厅政府信息与政务公开办公室关于印发〈中华人民共和国政府信息公开工作年度报告格式〉的通知》（国办公开办函〔2021〕30号）要求，编制本年度报告。</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报告中所列数据的统计期限为202</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年1月1日至202</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12月31日。报告的电子版可在铜官区人民政府政务公开平台（http://www.tltg.gov.cn/openness/）查看并下载。如对本年度报告有疑问，请与铜官区人民政府办公室联系（地址：铜官区木鱼山大道666号，电话：0562-6861612）。</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一、总体情况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2023年，铜官区人民政府办公室全面贯彻落实党的二十大和二十届二中全会精神，严格遵守《中华人民共和国政府信息公开条例》各项规定，围绕全区重点工作，大力推进决策、执行、管理、服务、结果“五公开”，深入推进政府信息公开工作。现将工作总体情况概述如下：</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（一）主动公开情况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2023年，我办共主动公开政府信息</w:t>
      </w:r>
      <w:r>
        <w:rPr>
          <w:rFonts w:hint="eastAsia" w:ascii="Times New Roman" w:hAnsi="Times New Roman" w:eastAsia="仿宋_GB2312" w:cs="Times New Roman"/>
          <w:sz w:val="32"/>
          <w:szCs w:val="32"/>
          <w:lang w:val="en-US" w:eastAsia="zh-CN"/>
        </w:rPr>
        <w:t>1859</w:t>
      </w:r>
      <w:r>
        <w:rPr>
          <w:rFonts w:hint="default" w:ascii="Times New Roman" w:hAnsi="Times New Roman" w:eastAsia="仿宋_GB2312" w:cs="Times New Roman"/>
          <w:sz w:val="32"/>
          <w:szCs w:val="32"/>
          <w:lang w:val="en-US" w:eastAsia="zh-CN"/>
        </w:rPr>
        <w:t>条，居全区第一，其中：政策文件、政策解读类信息</w:t>
      </w:r>
      <w:r>
        <w:rPr>
          <w:rFonts w:hint="eastAsia" w:ascii="Times New Roman" w:hAnsi="Times New Roman" w:eastAsia="仿宋_GB2312" w:cs="Times New Roman"/>
          <w:sz w:val="32"/>
          <w:szCs w:val="32"/>
          <w:lang w:val="en-US" w:eastAsia="zh-CN"/>
        </w:rPr>
        <w:t>60</w:t>
      </w:r>
      <w:r>
        <w:rPr>
          <w:rFonts w:hint="default" w:ascii="Times New Roman" w:hAnsi="Times New Roman" w:eastAsia="仿宋_GB2312" w:cs="Times New Roman"/>
          <w:sz w:val="32"/>
          <w:szCs w:val="32"/>
          <w:lang w:val="en-US" w:eastAsia="zh-CN"/>
        </w:rPr>
        <w:t>条，政府领导类信息103条，机构职能类信息9条，重大决策预公开类信息9条，人事信息22条，政府会议类信息114条，建议提案办理类信息124条，年度重点工作任务分解、执行及落实类信息24条，重大决策跟踪反馈和执行效果评估类信息12条，回应关切类信息229条，其他各类信息</w:t>
      </w:r>
      <w:r>
        <w:rPr>
          <w:rFonts w:hint="eastAsia" w:ascii="Times New Roman" w:hAnsi="Times New Roman" w:eastAsia="仿宋_GB2312" w:cs="Times New Roman"/>
          <w:sz w:val="32"/>
          <w:szCs w:val="32"/>
          <w:lang w:val="en-US" w:eastAsia="zh-CN"/>
        </w:rPr>
        <w:t>1153</w:t>
      </w:r>
      <w:r>
        <w:rPr>
          <w:rFonts w:hint="default" w:ascii="Times New Roman" w:hAnsi="Times New Roman" w:eastAsia="仿宋_GB2312" w:cs="Times New Roman"/>
          <w:sz w:val="32"/>
          <w:szCs w:val="32"/>
          <w:lang w:val="en-US" w:eastAsia="zh-CN"/>
        </w:rPr>
        <w:t>条。</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（二）依申请公开情况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年，我办共受理依申请公开信息申请</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条（均为线上申请），均在规定时限内依法予以答复。</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（三）政府信息管理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高度重视并加强政府信息管理工作，对规章制度、规范性文件做到及时发布、动态调整。</w:t>
      </w:r>
      <w:r>
        <w:rPr>
          <w:rFonts w:hint="eastAsia" w:ascii="Times New Roman" w:hAnsi="Times New Roman" w:eastAsia="仿宋_GB2312" w:cs="Times New Roman"/>
          <w:sz w:val="32"/>
          <w:szCs w:val="32"/>
          <w:lang w:val="en-US" w:eastAsia="zh-CN"/>
        </w:rPr>
        <w:t>全面做好政策文件解读工作，做到政策解读与政策文件同步组织、同步部署，保障政策执行落实。压实信息发布主体责任，认真落实政府信息公开相关政策，</w:t>
      </w:r>
      <w:r>
        <w:rPr>
          <w:rFonts w:hint="default" w:ascii="Times New Roman" w:hAnsi="Times New Roman" w:eastAsia="仿宋_GB2312" w:cs="Times New Roman"/>
          <w:sz w:val="32"/>
          <w:szCs w:val="32"/>
          <w:lang w:val="en-US" w:eastAsia="zh-CN"/>
        </w:rPr>
        <w:t>严格执行信息发布“三审”制度，</w:t>
      </w:r>
      <w:r>
        <w:rPr>
          <w:rFonts w:hint="eastAsia" w:ascii="Times New Roman" w:hAnsi="Times New Roman" w:eastAsia="仿宋_GB2312" w:cs="Times New Roman"/>
          <w:sz w:val="32"/>
          <w:szCs w:val="32"/>
          <w:lang w:val="en-US" w:eastAsia="zh-CN"/>
        </w:rPr>
        <w:t>确保发布信息的真实准确、规范有效。</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（四）政府信息公开平台建设</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highlight w:val="none"/>
          <w:lang w:val="en-US" w:eastAsia="zh-CN"/>
        </w:rPr>
        <w:t>严格按照政务公开相关要求，</w:t>
      </w:r>
      <w:r>
        <w:rPr>
          <w:rFonts w:hint="eastAsia" w:ascii="Times New Roman" w:hAnsi="Times New Roman" w:eastAsia="仿宋_GB2312" w:cs="Times New Roman"/>
          <w:sz w:val="32"/>
          <w:szCs w:val="32"/>
          <w:highlight w:val="none"/>
          <w:lang w:val="en-US" w:eastAsia="zh-CN"/>
        </w:rPr>
        <w:t>完善网站信息公开栏目内容，</w:t>
      </w:r>
      <w:r>
        <w:rPr>
          <w:rFonts w:hint="eastAsia" w:ascii="Times New Roman" w:hAnsi="Times New Roman" w:eastAsia="仿宋_GB2312" w:cs="Times New Roman"/>
          <w:sz w:val="32"/>
          <w:szCs w:val="32"/>
          <w:lang w:val="en-US" w:eastAsia="zh-CN"/>
        </w:rPr>
        <w:t>全面梳理</w:t>
      </w:r>
      <w:r>
        <w:rPr>
          <w:rFonts w:hint="default" w:ascii="Times New Roman" w:hAnsi="Times New Roman" w:eastAsia="仿宋_GB2312" w:cs="Times New Roman"/>
          <w:sz w:val="32"/>
          <w:szCs w:val="32"/>
          <w:lang w:val="en-US" w:eastAsia="zh-CN"/>
        </w:rPr>
        <w:t>区级政策文件库，集中公开现行有效行政规范性文件、废止文件</w:t>
      </w:r>
      <w:r>
        <w:rPr>
          <w:rFonts w:hint="eastAsia" w:ascii="Times New Roman" w:hAnsi="Times New Roman" w:eastAsia="仿宋_GB2312" w:cs="Times New Roman"/>
          <w:sz w:val="32"/>
          <w:szCs w:val="32"/>
          <w:lang w:val="en-US" w:eastAsia="zh-CN"/>
        </w:rPr>
        <w:t>。增设</w:t>
      </w:r>
      <w:r>
        <w:rPr>
          <w:rFonts w:hint="default" w:ascii="Times New Roman" w:hAnsi="Times New Roman" w:eastAsia="仿宋_GB2312" w:cs="Times New Roman"/>
          <w:sz w:val="32"/>
          <w:szCs w:val="32"/>
          <w:lang w:val="en-US" w:eastAsia="zh-CN"/>
        </w:rPr>
        <w:t>“铜官区助企惠民专题”</w:t>
      </w:r>
      <w:r>
        <w:rPr>
          <w:rFonts w:hint="eastAsia" w:ascii="Times New Roman" w:hAnsi="Times New Roman" w:eastAsia="仿宋_GB2312" w:cs="Times New Roman"/>
          <w:sz w:val="32"/>
          <w:szCs w:val="32"/>
          <w:lang w:val="en-US" w:eastAsia="zh-CN"/>
        </w:rPr>
        <w:t>栏目，按需呈现优化营商环境政策、举措等重要信息，方便企业和群众查询获取，累计发布信息85条。</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（五）监督保障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highlight w:val="none"/>
          <w:lang w:val="en-US" w:eastAsia="zh-CN"/>
        </w:rPr>
        <w:t>规范政务公开整改，</w:t>
      </w:r>
      <w:r>
        <w:rPr>
          <w:rFonts w:hint="eastAsia" w:ascii="Times New Roman" w:hAnsi="Times New Roman" w:eastAsia="仿宋_GB2312" w:cs="Times New Roman"/>
          <w:sz w:val="32"/>
          <w:szCs w:val="32"/>
          <w:highlight w:val="none"/>
          <w:lang w:val="en-US" w:eastAsia="zh-CN"/>
        </w:rPr>
        <w:t>每月根据</w:t>
      </w:r>
      <w:r>
        <w:rPr>
          <w:rFonts w:hint="default" w:ascii="Times New Roman" w:hAnsi="Times New Roman" w:eastAsia="仿宋_GB2312" w:cs="Times New Roman"/>
          <w:sz w:val="32"/>
          <w:szCs w:val="32"/>
          <w:highlight w:val="none"/>
          <w:lang w:val="en-US" w:eastAsia="zh-CN"/>
        </w:rPr>
        <w:t>第三方测评机构反馈的政务公开问题排查清单</w:t>
      </w:r>
      <w:r>
        <w:rPr>
          <w:rFonts w:hint="eastAsia" w:ascii="Times New Roman" w:hAnsi="Times New Roman" w:eastAsia="仿宋_GB2312" w:cs="Times New Roman"/>
          <w:sz w:val="32"/>
          <w:szCs w:val="32"/>
          <w:highlight w:val="none"/>
          <w:lang w:val="en-US" w:eastAsia="zh-CN"/>
        </w:rPr>
        <w:t>进行整改，切实提高政务公开工作质量</w:t>
      </w:r>
      <w:r>
        <w:rPr>
          <w:rFonts w:hint="default"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lang w:val="en-US" w:eastAsia="zh-CN"/>
        </w:rPr>
        <w:t>责任追究结果情况：2023年，我办未出现因信息公开不到位需要进行责任追究的情况。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二、主动公开政府信息情况</w:t>
      </w:r>
    </w:p>
    <w:tbl>
      <w:tblPr>
        <w:tblStyle w:val="7"/>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2435"/>
        <w:gridCol w:w="2435"/>
        <w:gridCol w:w="2435"/>
        <w:gridCol w:w="24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信息内容</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本年</w:t>
            </w:r>
            <w:r>
              <w:rPr>
                <w:rFonts w:hint="default" w:ascii="Times New Roman" w:hAnsi="Times New Roman" w:eastAsia="仿宋_GB2312" w:cs="Times New Roman"/>
                <w:kern w:val="0"/>
                <w:sz w:val="28"/>
                <w:szCs w:val="28"/>
                <w:lang w:val="en-US" w:eastAsia="zh-CN" w:bidi="ar"/>
              </w:rPr>
              <w:t>制发件数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本年废止件数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现行有效件</w:t>
            </w:r>
            <w:r>
              <w:rPr>
                <w:rFonts w:hint="default" w:ascii="Times New Roman" w:hAnsi="Times New Roman" w:eastAsia="仿宋_GB2312" w:cs="Times New Roman"/>
                <w:kern w:val="0"/>
                <w:sz w:val="28"/>
                <w:szCs w:val="28"/>
                <w:lang w:val="en-US" w:eastAsia="zh-CN" w:bidi="ar"/>
              </w:rPr>
              <w:t>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规章</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rPr>
            </w:pPr>
            <w:r>
              <w:rPr>
                <w:rFonts w:hint="default" w:ascii="Times New Roman" w:hAnsi="Times New Roman" w:eastAsia="仿宋_GB2312" w:cs="Times New Roman"/>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行政规范性文件</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rPr>
            </w:pPr>
            <w:r>
              <w:rPr>
                <w:rFonts w:hint="default" w:ascii="Times New Roman" w:hAnsi="Times New Roman" w:eastAsia="仿宋_GB2312" w:cs="Times New Roman"/>
                <w:color w:val="000000"/>
                <w:kern w:val="0"/>
                <w:sz w:val="28"/>
                <w:szCs w:val="28"/>
                <w:lang w:val="en-US" w:eastAsia="zh-CN" w:bidi="ar"/>
              </w:rPr>
              <w:t>5</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rPr>
            </w:pPr>
            <w:r>
              <w:rPr>
                <w:rFonts w:hint="eastAsia" w:ascii="Times New Roman" w:hAnsi="Times New Roman" w:eastAsia="仿宋_GB2312" w:cs="Times New Roman"/>
                <w:color w:val="000000"/>
                <w:kern w:val="0"/>
                <w:sz w:val="28"/>
                <w:szCs w:val="28"/>
                <w:lang w:val="en-US" w:eastAsia="zh-CN" w:bidi="ar"/>
              </w:rPr>
              <w:t>3</w:t>
            </w:r>
          </w:p>
        </w:tc>
        <w:tc>
          <w:tcPr>
            <w:tcW w:w="2435"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rPr>
            </w:pPr>
            <w:r>
              <w:rPr>
                <w:rFonts w:hint="eastAsia" w:ascii="Times New Roman" w:hAnsi="Times New Roman" w:eastAsia="仿宋_GB2312" w:cs="Times New Roman"/>
                <w:kern w:val="0"/>
                <w:sz w:val="28"/>
                <w:szCs w:val="28"/>
                <w:lang w:val="en-US" w:eastAsia="zh-CN" w:bidi="ar"/>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行政许可</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行政处罚</w:t>
            </w:r>
          </w:p>
        </w:tc>
        <w:tc>
          <w:tcPr>
            <w:tcW w:w="7305" w:type="dxa"/>
            <w:gridSpan w:val="3"/>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行政强制</w:t>
            </w:r>
          </w:p>
        </w:tc>
        <w:tc>
          <w:tcPr>
            <w:tcW w:w="7305" w:type="dxa"/>
            <w:gridSpan w:val="3"/>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行政事业性收费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kinsoku/>
              <w:wordWrap/>
              <w:overflowPunct/>
              <w:topLinePunct w:val="0"/>
              <w:autoSpaceDE/>
              <w:autoSpaceDN/>
              <w:bidi w:val="0"/>
              <w:adjustRightInd/>
              <w:snapToGrid/>
              <w:spacing w:line="600" w:lineRule="exact"/>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bl>
    <w:p>
      <w:pPr>
        <w:bidi w:val="0"/>
        <w:ind w:firstLine="320" w:firstLineChars="100"/>
        <w:rPr>
          <w:rFonts w:hint="default" w:ascii="Times New Roman" w:hAnsi="Times New Roman" w:cs="Times New Roman"/>
        </w:rPr>
      </w:pPr>
      <w:r>
        <w:rPr>
          <w:rFonts w:hint="default" w:ascii="Times New Roman" w:hAnsi="Times New Roman" w:eastAsia="黑体" w:cs="Times New Roman"/>
          <w:sz w:val="32"/>
          <w:szCs w:val="32"/>
        </w:rPr>
        <w:t>三、收到和处理政府信息公开申请情况</w:t>
      </w:r>
    </w:p>
    <w:tbl>
      <w:tblPr>
        <w:tblStyle w:val="7"/>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5"/>
        <w:gridCol w:w="959"/>
        <w:gridCol w:w="3191"/>
        <w:gridCol w:w="689"/>
        <w:gridCol w:w="689"/>
        <w:gridCol w:w="689"/>
        <w:gridCol w:w="689"/>
        <w:gridCol w:w="689"/>
        <w:gridCol w:w="689"/>
        <w:gridCol w:w="68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restart"/>
            <w:tcBorders>
              <w:top w:val="single" w:color="auto" w:sz="8" w:space="0"/>
              <w:left w:val="single" w:color="auto" w:sz="4" w:space="0"/>
              <w:bottom w:val="single" w:color="auto" w:sz="4" w:space="0"/>
              <w:right w:val="single" w:color="auto" w:sz="8" w:space="0"/>
            </w:tcBorders>
            <w:noWrap w:val="0"/>
            <w:tcMar>
              <w:left w:w="108" w:type="dxa"/>
              <w:right w:w="108"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（本列数据的勾稽关系为：第一项加第二项之和，等于第三项加第四项之和）</w:t>
            </w:r>
          </w:p>
        </w:tc>
        <w:tc>
          <w:tcPr>
            <w:tcW w:w="4823" w:type="dxa"/>
            <w:gridSpan w:val="7"/>
            <w:tcBorders>
              <w:top w:val="single" w:color="auto" w:sz="8" w:space="0"/>
              <w:left w:val="nil"/>
              <w:bottom w:val="single" w:color="auto" w:sz="4"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689" w:type="dxa"/>
            <w:vMerge w:val="restart"/>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自然人</w:t>
            </w:r>
          </w:p>
        </w:tc>
        <w:tc>
          <w:tcPr>
            <w:tcW w:w="3445" w:type="dxa"/>
            <w:gridSpan w:val="5"/>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法人或其他组织</w:t>
            </w:r>
          </w:p>
        </w:tc>
        <w:tc>
          <w:tcPr>
            <w:tcW w:w="689" w:type="dxa"/>
            <w:vMerge w:val="restart"/>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continue"/>
            <w:tcBorders>
              <w:top w:val="single" w:color="auto" w:sz="4" w:space="0"/>
              <w:left w:val="single" w:color="auto" w:sz="4" w:space="0"/>
              <w:bottom w:val="outset" w:color="auto" w:sz="8" w:space="0"/>
              <w:right w:val="single" w:color="auto" w:sz="8" w:space="0"/>
            </w:tcBorders>
            <w:noWrap w:val="0"/>
            <w:tcMar>
              <w:left w:w="108"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689" w:type="dxa"/>
            <w:vMerge w:val="continue"/>
            <w:tcBorders>
              <w:top w:val="single" w:color="auto" w:sz="4"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689" w:type="dxa"/>
            <w:tcBorders>
              <w:top w:val="single" w:color="auto" w:sz="4"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商业</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企业</w:t>
            </w:r>
          </w:p>
        </w:tc>
        <w:tc>
          <w:tcPr>
            <w:tcW w:w="689" w:type="dxa"/>
            <w:tcBorders>
              <w:top w:val="single" w:color="auto" w:sz="4"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科研</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机构</w:t>
            </w:r>
          </w:p>
        </w:tc>
        <w:tc>
          <w:tcPr>
            <w:tcW w:w="689" w:type="dxa"/>
            <w:tcBorders>
              <w:top w:val="single" w:color="auto" w:sz="4"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社会公益组织</w:t>
            </w:r>
          </w:p>
        </w:tc>
        <w:tc>
          <w:tcPr>
            <w:tcW w:w="689" w:type="dxa"/>
            <w:tcBorders>
              <w:top w:val="single" w:color="auto" w:sz="4"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法律服务机构</w:t>
            </w:r>
          </w:p>
        </w:tc>
        <w:tc>
          <w:tcPr>
            <w:tcW w:w="689" w:type="dxa"/>
            <w:tcBorders>
              <w:top w:val="single" w:color="auto" w:sz="4"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其他</w:t>
            </w:r>
          </w:p>
        </w:tc>
        <w:tc>
          <w:tcPr>
            <w:tcW w:w="689" w:type="dxa"/>
            <w:vMerge w:val="continue"/>
            <w:tcBorders>
              <w:top w:val="single" w:color="auto" w:sz="4" w:space="0"/>
              <w:left w:val="nil"/>
              <w:bottom w:val="outset" w:color="auto" w:sz="8" w:space="0"/>
              <w:right w:val="single" w:color="auto" w:sz="4"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3" w:hRule="atLeast"/>
          <w:jc w:val="center"/>
        </w:trPr>
        <w:tc>
          <w:tcPr>
            <w:tcW w:w="4925" w:type="dxa"/>
            <w:gridSpan w:val="3"/>
            <w:tcBorders>
              <w:top w:val="nil"/>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一、本年新收政府信息公开申请数量</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3</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492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二、上年结转政府信息公开申请数量</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三、本年度办理结果</w:t>
            </w: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（一）予以公开</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（二）部分公开（区分处理的，只计这一情形，不计其他情形）</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rPr>
            </w:pPr>
            <w:r>
              <w:rPr>
                <w:rFonts w:hint="default" w:ascii="Times New Roman" w:hAnsi="Times New Roman" w:eastAsia="仿宋_GB2312" w:cs="Times New Roman"/>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rPr>
            </w:pPr>
            <w:r>
              <w:rPr>
                <w:rFonts w:hint="default" w:ascii="Times New Roman" w:hAnsi="Times New Roman" w:eastAsia="仿宋_GB2312" w:cs="Times New Roman"/>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（三）不予公开</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1.属于国家秘密</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74"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2.其他法律行政法规禁止公开</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3.危及“三安全一稳定”</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4.</w:t>
            </w:r>
            <w:r>
              <w:rPr>
                <w:rFonts w:hint="default" w:ascii="Times New Roman" w:hAnsi="Times New Roman" w:eastAsia="仿宋_GB2312" w:cs="Times New Roman"/>
                <w:color w:val="auto"/>
                <w:kern w:val="0"/>
                <w:sz w:val="28"/>
                <w:szCs w:val="28"/>
                <w:lang w:val="en-US" w:eastAsia="zh-CN" w:bidi="ar"/>
              </w:rPr>
              <w:t>保护第三方合法权益</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94"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5.属于三类内部事务信息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6.属于四类过程性信息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7.属于行政执法案卷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8.属于行政查询事项</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（四）无法提供</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1.本机关不掌握相关政府信息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2.没有现成信息需要另行制作</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3.补正后申请内容仍不明确</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（五）不予处理</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1.信访举报投诉类申请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2.重复申请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3.要求提供公开出版物</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4.无正当理由大量反复申请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79"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5.要求行政机关确认或重新出具已获取信息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（六）其他处理</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1.申请人无正当理由逾期不补正、行政机关不再处理其政府信息公开申请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both"/>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2.申请人逾期未按收费通知要求缴纳费用、行政机关不再处理其政府信息公开申请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3.其他</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（七）总计</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3</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3</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left"/>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四、结转下年度继续办理</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bl>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四、政府信息公开行政复议、行政诉讼情况</w:t>
      </w:r>
    </w:p>
    <w:tbl>
      <w:tblPr>
        <w:tblStyle w:val="7"/>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9"/>
        <w:gridCol w:w="649"/>
        <w:gridCol w:w="649"/>
        <w:gridCol w:w="649"/>
        <w:gridCol w:w="649"/>
        <w:gridCol w:w="649"/>
        <w:gridCol w:w="649"/>
        <w:gridCol w:w="650"/>
        <w:gridCol w:w="650"/>
        <w:gridCol w:w="650"/>
        <w:gridCol w:w="651"/>
        <w:gridCol w:w="651"/>
        <w:gridCol w:w="651"/>
        <w:gridCol w:w="651"/>
        <w:gridCol w:w="651"/>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结果维持</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结果</w:t>
            </w:r>
            <w:r>
              <w:rPr>
                <w:rFonts w:hint="default" w:ascii="Times New Roman" w:hAnsi="Times New Roman" w:eastAsia="仿宋_GB2312" w:cs="Times New Roman"/>
                <w:kern w:val="0"/>
                <w:sz w:val="28"/>
                <w:szCs w:val="28"/>
                <w:lang w:val="en-US" w:eastAsia="zh-CN" w:bidi="ar"/>
              </w:rPr>
              <w:br w:type="textWrapping"/>
            </w:r>
            <w:r>
              <w:rPr>
                <w:rFonts w:hint="default" w:ascii="Times New Roman" w:hAnsi="Times New Roman" w:eastAsia="仿宋_GB2312" w:cs="Times New Roman"/>
                <w:kern w:val="0"/>
                <w:sz w:val="28"/>
                <w:szCs w:val="28"/>
                <w:lang w:val="en-US" w:eastAsia="zh-CN" w:bidi="ar"/>
              </w:rPr>
              <w:t>纠正</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其他</w:t>
            </w:r>
            <w:r>
              <w:rPr>
                <w:rFonts w:hint="default" w:ascii="Times New Roman" w:hAnsi="Times New Roman" w:eastAsia="仿宋_GB2312" w:cs="Times New Roman"/>
                <w:kern w:val="0"/>
                <w:sz w:val="28"/>
                <w:szCs w:val="28"/>
                <w:lang w:val="en-US" w:eastAsia="zh-CN" w:bidi="ar"/>
              </w:rPr>
              <w:br w:type="textWrapping"/>
            </w:r>
            <w:r>
              <w:rPr>
                <w:rFonts w:hint="default" w:ascii="Times New Roman" w:hAnsi="Times New Roman" w:eastAsia="仿宋_GB2312" w:cs="Times New Roman"/>
                <w:kern w:val="0"/>
                <w:sz w:val="28"/>
                <w:szCs w:val="28"/>
                <w:lang w:val="en-US" w:eastAsia="zh-CN" w:bidi="ar"/>
              </w:rPr>
              <w:t>结果</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尚未</w:t>
            </w:r>
            <w:r>
              <w:rPr>
                <w:rFonts w:hint="default" w:ascii="Times New Roman" w:hAnsi="Times New Roman" w:eastAsia="仿宋_GB2312" w:cs="Times New Roman"/>
                <w:kern w:val="0"/>
                <w:sz w:val="28"/>
                <w:szCs w:val="28"/>
                <w:lang w:val="en-US" w:eastAsia="zh-CN" w:bidi="ar"/>
              </w:rPr>
              <w:br w:type="textWrapping"/>
            </w:r>
            <w:r>
              <w:rPr>
                <w:rFonts w:hint="default" w:ascii="Times New Roman" w:hAnsi="Times New Roman" w:eastAsia="仿宋_GB2312" w:cs="Times New Roman"/>
                <w:kern w:val="0"/>
                <w:sz w:val="28"/>
                <w:szCs w:val="28"/>
                <w:lang w:val="en-US" w:eastAsia="zh-CN" w:bidi="ar"/>
              </w:rPr>
              <w:t>审结</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总计</w:t>
            </w:r>
          </w:p>
        </w:tc>
        <w:tc>
          <w:tcPr>
            <w:tcW w:w="3213" w:type="dxa"/>
            <w:gridSpan w:val="5"/>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未经复议直接起诉</w:t>
            </w:r>
          </w:p>
        </w:tc>
        <w:tc>
          <w:tcPr>
            <w:tcW w:w="3215" w:type="dxa"/>
            <w:gridSpan w:val="5"/>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28"/>
                <w:szCs w:val="28"/>
              </w:rPr>
            </w:pP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结果</w:t>
            </w:r>
            <w:r>
              <w:rPr>
                <w:rFonts w:hint="default" w:ascii="Times New Roman" w:hAnsi="Times New Roman" w:eastAsia="仿宋_GB2312" w:cs="Times New Roman"/>
                <w:kern w:val="0"/>
                <w:sz w:val="28"/>
                <w:szCs w:val="28"/>
                <w:lang w:val="en-US" w:eastAsia="zh-CN" w:bidi="ar"/>
              </w:rPr>
              <w:br w:type="textWrapping"/>
            </w:r>
            <w:r>
              <w:rPr>
                <w:rFonts w:hint="default" w:ascii="Times New Roman" w:hAnsi="Times New Roman" w:eastAsia="仿宋_GB2312" w:cs="Times New Roman"/>
                <w:kern w:val="0"/>
                <w:sz w:val="28"/>
                <w:szCs w:val="28"/>
                <w:lang w:val="en-US" w:eastAsia="zh-CN" w:bidi="ar"/>
              </w:rPr>
              <w:t>维持</w:t>
            </w: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结果</w:t>
            </w:r>
            <w:r>
              <w:rPr>
                <w:rFonts w:hint="default" w:ascii="Times New Roman" w:hAnsi="Times New Roman" w:eastAsia="仿宋_GB2312" w:cs="Times New Roman"/>
                <w:kern w:val="0"/>
                <w:sz w:val="28"/>
                <w:szCs w:val="28"/>
                <w:lang w:val="en-US" w:eastAsia="zh-CN" w:bidi="ar"/>
              </w:rPr>
              <w:br w:type="textWrapping"/>
            </w:r>
            <w:r>
              <w:rPr>
                <w:rFonts w:hint="default" w:ascii="Times New Roman" w:hAnsi="Times New Roman" w:eastAsia="仿宋_GB2312" w:cs="Times New Roman"/>
                <w:kern w:val="0"/>
                <w:sz w:val="28"/>
                <w:szCs w:val="28"/>
                <w:lang w:val="en-US" w:eastAsia="zh-CN" w:bidi="ar"/>
              </w:rPr>
              <w:t>纠正</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其他</w:t>
            </w:r>
            <w:r>
              <w:rPr>
                <w:rFonts w:hint="default" w:ascii="Times New Roman" w:hAnsi="Times New Roman" w:eastAsia="仿宋_GB2312" w:cs="Times New Roman"/>
                <w:kern w:val="0"/>
                <w:sz w:val="28"/>
                <w:szCs w:val="28"/>
                <w:lang w:val="en-US" w:eastAsia="zh-CN" w:bidi="ar"/>
              </w:rPr>
              <w:br w:type="textWrapping"/>
            </w:r>
            <w:r>
              <w:rPr>
                <w:rFonts w:hint="default" w:ascii="Times New Roman" w:hAnsi="Times New Roman" w:eastAsia="仿宋_GB2312" w:cs="Times New Roman"/>
                <w:kern w:val="0"/>
                <w:sz w:val="28"/>
                <w:szCs w:val="28"/>
                <w:lang w:val="en-US" w:eastAsia="zh-CN" w:bidi="ar"/>
              </w:rPr>
              <w:t>结果</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尚未</w:t>
            </w:r>
            <w:r>
              <w:rPr>
                <w:rFonts w:hint="default" w:ascii="Times New Roman" w:hAnsi="Times New Roman" w:eastAsia="仿宋_GB2312" w:cs="Times New Roman"/>
                <w:kern w:val="0"/>
                <w:sz w:val="28"/>
                <w:szCs w:val="28"/>
                <w:lang w:val="en-US" w:eastAsia="zh-CN" w:bidi="ar"/>
              </w:rPr>
              <w:br w:type="textWrapping"/>
            </w:r>
            <w:r>
              <w:rPr>
                <w:rFonts w:hint="default" w:ascii="Times New Roman" w:hAnsi="Times New Roman" w:eastAsia="仿宋_GB2312" w:cs="Times New Roman"/>
                <w:kern w:val="0"/>
                <w:sz w:val="28"/>
                <w:szCs w:val="28"/>
                <w:lang w:val="en-US" w:eastAsia="zh-CN" w:bidi="ar"/>
              </w:rPr>
              <w:t>审结</w:t>
            </w:r>
          </w:p>
        </w:tc>
        <w:tc>
          <w:tcPr>
            <w:tcW w:w="643" w:type="dxa"/>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结果</w:t>
            </w:r>
            <w:r>
              <w:rPr>
                <w:rFonts w:hint="default" w:ascii="Times New Roman" w:hAnsi="Times New Roman" w:eastAsia="仿宋_GB2312" w:cs="Times New Roman"/>
                <w:kern w:val="0"/>
                <w:sz w:val="28"/>
                <w:szCs w:val="28"/>
                <w:lang w:val="en-US" w:eastAsia="zh-CN" w:bidi="ar"/>
              </w:rPr>
              <w:br w:type="textWrapping"/>
            </w:r>
            <w:r>
              <w:rPr>
                <w:rFonts w:hint="default" w:ascii="Times New Roman" w:hAnsi="Times New Roman" w:eastAsia="仿宋_GB2312" w:cs="Times New Roman"/>
                <w:kern w:val="0"/>
                <w:sz w:val="28"/>
                <w:szCs w:val="28"/>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结果</w:t>
            </w:r>
            <w:r>
              <w:rPr>
                <w:rFonts w:hint="default" w:ascii="Times New Roman" w:hAnsi="Times New Roman" w:eastAsia="仿宋_GB2312" w:cs="Times New Roman"/>
                <w:kern w:val="0"/>
                <w:sz w:val="28"/>
                <w:szCs w:val="28"/>
                <w:lang w:val="en-US" w:eastAsia="zh-CN" w:bidi="ar"/>
              </w:rPr>
              <w:br w:type="textWrapping"/>
            </w:r>
            <w:r>
              <w:rPr>
                <w:rFonts w:hint="default" w:ascii="Times New Roman" w:hAnsi="Times New Roman" w:eastAsia="仿宋_GB2312" w:cs="Times New Roman"/>
                <w:kern w:val="0"/>
                <w:sz w:val="28"/>
                <w:szCs w:val="28"/>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其他</w:t>
            </w:r>
            <w:r>
              <w:rPr>
                <w:rFonts w:hint="default" w:ascii="Times New Roman" w:hAnsi="Times New Roman" w:eastAsia="仿宋_GB2312" w:cs="Times New Roman"/>
                <w:color w:val="000000"/>
                <w:kern w:val="0"/>
                <w:sz w:val="28"/>
                <w:szCs w:val="28"/>
                <w:lang w:val="en-US" w:eastAsia="zh-CN" w:bidi="ar"/>
              </w:rPr>
              <w:br w:type="textWrapping"/>
            </w:r>
            <w:r>
              <w:rPr>
                <w:rFonts w:hint="default" w:ascii="Times New Roman" w:hAnsi="Times New Roman" w:eastAsia="仿宋_GB2312" w:cs="Times New Roman"/>
                <w:color w:val="000000"/>
                <w:kern w:val="0"/>
                <w:sz w:val="28"/>
                <w:szCs w:val="28"/>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kern w:val="0"/>
                <w:sz w:val="28"/>
                <w:szCs w:val="28"/>
                <w:lang w:val="en-US" w:eastAsia="zh-CN" w:bidi="ar"/>
              </w:rPr>
              <w:t>尚未</w:t>
            </w:r>
            <w:r>
              <w:rPr>
                <w:rFonts w:hint="default" w:ascii="Times New Roman" w:hAnsi="Times New Roman" w:eastAsia="仿宋_GB2312" w:cs="Times New Roman"/>
                <w:kern w:val="0"/>
                <w:sz w:val="28"/>
                <w:szCs w:val="28"/>
                <w:lang w:val="en-US" w:eastAsia="zh-CN" w:bidi="ar"/>
              </w:rPr>
              <w:br w:type="textWrapping"/>
            </w:r>
            <w:r>
              <w:rPr>
                <w:rFonts w:hint="default" w:ascii="Times New Roman" w:hAnsi="Times New Roman" w:eastAsia="仿宋_GB2312" w:cs="Times New Roman"/>
                <w:kern w:val="0"/>
                <w:sz w:val="28"/>
                <w:szCs w:val="28"/>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kern w:val="0"/>
                <w:sz w:val="28"/>
                <w:szCs w:val="28"/>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72" w:hRule="atLeast"/>
          <w:jc w:val="center"/>
        </w:trPr>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600" w:lineRule="exact"/>
              <w:jc w:val="center"/>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0</w:t>
            </w:r>
          </w:p>
        </w:tc>
      </w:tr>
    </w:tbl>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五、存在的主要问题及改进情况</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2023年，我办严格落实上级有关政务公开工作的部署和要求，紧紧围绕全区重点工作，扎实推动政务公开工作提质增效，但在实际工作中仍然存在以下几个问题：</w:t>
      </w:r>
      <w:r>
        <w:rPr>
          <w:rFonts w:hint="default" w:ascii="Times New Roman" w:hAnsi="Times New Roman" w:eastAsia="仿宋_GB2312" w:cs="Times New Roman"/>
          <w:b/>
          <w:bCs/>
          <w:sz w:val="32"/>
          <w:szCs w:val="32"/>
          <w:lang w:val="en-US" w:eastAsia="zh-CN"/>
        </w:rPr>
        <w:t>一是</w:t>
      </w:r>
      <w:r>
        <w:rPr>
          <w:rFonts w:hint="default" w:ascii="Times New Roman" w:hAnsi="Times New Roman" w:eastAsia="仿宋_GB2312" w:cs="Times New Roman"/>
          <w:sz w:val="32"/>
          <w:szCs w:val="32"/>
          <w:lang w:val="en-US" w:eastAsia="zh-CN"/>
        </w:rPr>
        <w:t>重点领域信息公开不够全面；</w:t>
      </w:r>
      <w:r>
        <w:rPr>
          <w:rFonts w:hint="default" w:ascii="Times New Roman" w:hAnsi="Times New Roman" w:eastAsia="仿宋_GB2312" w:cs="Times New Roman"/>
          <w:b/>
          <w:bCs/>
          <w:sz w:val="32"/>
          <w:szCs w:val="32"/>
          <w:lang w:val="en-US" w:eastAsia="zh-CN"/>
        </w:rPr>
        <w:t>二是</w:t>
      </w:r>
      <w:r>
        <w:rPr>
          <w:rFonts w:hint="eastAsia" w:ascii="Times New Roman" w:hAnsi="Times New Roman" w:eastAsia="仿宋_GB2312" w:cs="Times New Roman"/>
          <w:b w:val="0"/>
          <w:bCs w:val="0"/>
          <w:sz w:val="32"/>
          <w:szCs w:val="32"/>
          <w:lang w:val="en-US" w:eastAsia="zh-CN"/>
        </w:rPr>
        <w:t>部分</w:t>
      </w:r>
      <w:r>
        <w:rPr>
          <w:rFonts w:hint="default" w:ascii="Times New Roman" w:hAnsi="Times New Roman" w:eastAsia="仿宋_GB2312" w:cs="Times New Roman"/>
          <w:sz w:val="32"/>
          <w:szCs w:val="32"/>
          <w:lang w:val="en-US" w:eastAsia="zh-CN"/>
        </w:rPr>
        <w:t>栏目信息发布更新不够及时；</w:t>
      </w:r>
      <w:r>
        <w:rPr>
          <w:rFonts w:hint="default" w:ascii="Times New Roman" w:hAnsi="Times New Roman" w:eastAsia="仿宋_GB2312" w:cs="Times New Roman"/>
          <w:b/>
          <w:bCs/>
          <w:sz w:val="32"/>
          <w:szCs w:val="32"/>
          <w:lang w:val="en-US" w:eastAsia="zh-CN"/>
        </w:rPr>
        <w:t>三是</w:t>
      </w:r>
      <w:r>
        <w:rPr>
          <w:rFonts w:hint="default" w:ascii="Times New Roman" w:hAnsi="Times New Roman" w:eastAsia="仿宋_GB2312" w:cs="Times New Roman"/>
          <w:sz w:val="32"/>
          <w:szCs w:val="32"/>
          <w:lang w:val="en-US" w:eastAsia="zh-CN"/>
        </w:rPr>
        <w:t>我办政务公开工作力量较为薄弱，人力紧张、工作任务重，属于一人多岗。</w:t>
      </w:r>
    </w:p>
    <w:p>
      <w:pPr>
        <w:bidi w:val="0"/>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针对上述问题，2024年，我办将重点抓好以下工作：</w:t>
      </w:r>
      <w:r>
        <w:rPr>
          <w:rFonts w:hint="default" w:ascii="Times New Roman" w:hAnsi="Times New Roman" w:eastAsia="仿宋_GB2312" w:cs="Times New Roman"/>
          <w:b/>
          <w:bCs/>
          <w:sz w:val="32"/>
          <w:szCs w:val="32"/>
          <w:lang w:val="en-US" w:eastAsia="zh-CN"/>
        </w:rPr>
        <w:t>一是</w:t>
      </w:r>
      <w:r>
        <w:rPr>
          <w:rFonts w:hint="default" w:ascii="Times New Roman" w:hAnsi="Times New Roman" w:eastAsia="仿宋_GB2312" w:cs="Times New Roman"/>
          <w:sz w:val="32"/>
          <w:szCs w:val="32"/>
          <w:lang w:val="en-US" w:eastAsia="zh-CN"/>
        </w:rPr>
        <w:t>加强部门联动，拓宽信息来源，抓好重点领域信息公开，提升政府信息公开标准化规范化水平；</w:t>
      </w:r>
      <w:r>
        <w:rPr>
          <w:rFonts w:hint="default" w:ascii="Times New Roman" w:hAnsi="Times New Roman" w:eastAsia="仿宋_GB2312" w:cs="Times New Roman"/>
          <w:b/>
          <w:bCs/>
          <w:sz w:val="32"/>
          <w:szCs w:val="32"/>
          <w:lang w:val="en-US" w:eastAsia="zh-CN"/>
        </w:rPr>
        <w:t>二是</w:t>
      </w:r>
      <w:r>
        <w:rPr>
          <w:rFonts w:hint="default" w:ascii="Times New Roman" w:hAnsi="Times New Roman" w:eastAsia="仿宋_GB2312" w:cs="Times New Roman"/>
          <w:sz w:val="32"/>
          <w:szCs w:val="32"/>
          <w:lang w:val="en-US" w:eastAsia="zh-CN"/>
        </w:rPr>
        <w:t>做好动态更新工作，提升信息发布的时效性；</w:t>
      </w:r>
      <w:r>
        <w:rPr>
          <w:rFonts w:hint="default" w:ascii="Times New Roman" w:hAnsi="Times New Roman" w:eastAsia="仿宋_GB2312" w:cs="Times New Roman"/>
          <w:b/>
          <w:bCs/>
          <w:sz w:val="32"/>
          <w:szCs w:val="32"/>
          <w:lang w:val="en-US" w:eastAsia="zh-CN"/>
        </w:rPr>
        <w:t>三是</w:t>
      </w:r>
      <w:r>
        <w:rPr>
          <w:rFonts w:hint="default" w:ascii="Times New Roman" w:hAnsi="Times New Roman" w:eastAsia="仿宋_GB2312" w:cs="Times New Roman"/>
          <w:sz w:val="32"/>
          <w:szCs w:val="32"/>
          <w:lang w:val="en-US" w:eastAsia="zh-CN"/>
        </w:rPr>
        <w:t>加强人员管理和业务培训，提升政务公开工作人员的综合素质。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六、其他需要报告的事项</w:t>
      </w:r>
    </w:p>
    <w:p>
      <w:pPr>
        <w:bidi w:val="0"/>
        <w:ind w:firstLine="643" w:firstLineChars="200"/>
        <w:rPr>
          <w:rFonts w:hint="default" w:ascii="Times New Roman" w:hAnsi="Times New Roman" w:eastAsia="仿宋_GB2312" w:cs="Times New Roman"/>
          <w:sz w:val="32"/>
          <w:szCs w:val="32"/>
          <w:lang w:val="en-US" w:eastAsia="zh-CN"/>
        </w:rPr>
      </w:pPr>
      <w:r>
        <w:rPr>
          <w:rFonts w:hint="eastAsia" w:ascii="Times New Roman" w:hAnsi="Times New Roman" w:eastAsia="楷体_GB2312" w:cs="Times New Roman"/>
          <w:b/>
          <w:bCs/>
          <w:sz w:val="32"/>
          <w:szCs w:val="32"/>
          <w:lang w:val="en-US" w:eastAsia="zh-CN"/>
        </w:rPr>
        <w:t>（一）收取信息处理费情况</w:t>
      </w:r>
    </w:p>
    <w:p>
      <w:pPr>
        <w:bidi w:val="0"/>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按照《国务院办公厅关于印发〈政府信息公开信息处理费管理办法〉的通知》（国办函〔2020〕109号）规定的按件、按量收费标准，本年度没有产生信息公开处理费。</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Fonts w:hint="default" w:ascii="Times New Roman" w:hAnsi="Times New Roman" w:eastAsia="楷体_GB2312" w:cs="Times New Roman"/>
          <w:b/>
          <w:bCs/>
          <w:sz w:val="32"/>
          <w:szCs w:val="32"/>
          <w:lang w:val="en-US" w:eastAsia="zh-CN"/>
        </w:rPr>
      </w:pPr>
      <w:r>
        <w:rPr>
          <w:rFonts w:hint="eastAsia" w:ascii="Times New Roman" w:hAnsi="Times New Roman" w:eastAsia="楷体_GB2312" w:cs="Times New Roman"/>
          <w:b/>
          <w:bCs/>
          <w:sz w:val="32"/>
          <w:szCs w:val="32"/>
          <w:lang w:val="en-US" w:eastAsia="zh-CN"/>
        </w:rPr>
        <w:t>（二）创新做法</w:t>
      </w:r>
    </w:p>
    <w:p>
      <w:pPr>
        <w:bidi w:val="0"/>
        <w:ind w:firstLine="640" w:firstLineChars="200"/>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设立“铜官区助企惠民专题”</w:t>
      </w:r>
      <w:r>
        <w:rPr>
          <w:rFonts w:hint="eastAsia" w:ascii="Times New Roman" w:hAnsi="Times New Roman" w:eastAsia="仿宋_GB2312" w:cs="Times New Roman"/>
          <w:sz w:val="32"/>
          <w:szCs w:val="32"/>
          <w:lang w:val="en-US" w:eastAsia="zh-CN"/>
        </w:rPr>
        <w:t>栏目</w:t>
      </w:r>
      <w:r>
        <w:rPr>
          <w:rFonts w:hint="default" w:ascii="Times New Roman" w:hAnsi="Times New Roman" w:eastAsia="仿宋_GB2312" w:cs="Times New Roman"/>
          <w:sz w:val="32"/>
          <w:szCs w:val="32"/>
          <w:lang w:val="en-US" w:eastAsia="zh-CN"/>
        </w:rPr>
        <w:t>，集中展示省、市、区优化营商环境政策，铜官区为企服务优环境、创优营商环境采取的措施、取得的成效，回应企业所需、群众所盼</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进一步提升政务公开的质量</w:t>
      </w:r>
      <w:r>
        <w:rPr>
          <w:rFonts w:hint="eastAsia" w:ascii="Times New Roman" w:hAnsi="Times New Roman" w:eastAsia="仿宋_GB2312" w:cs="Times New Roman"/>
          <w:sz w:val="32"/>
          <w:szCs w:val="32"/>
          <w:lang w:val="en-US" w:eastAsia="zh-CN"/>
        </w:rPr>
        <w:t>和</w:t>
      </w:r>
      <w:r>
        <w:rPr>
          <w:rFonts w:hint="default" w:ascii="Times New Roman" w:hAnsi="Times New Roman" w:eastAsia="仿宋_GB2312" w:cs="Times New Roman"/>
          <w:sz w:val="32"/>
          <w:szCs w:val="32"/>
          <w:lang w:val="en-US" w:eastAsia="zh-CN"/>
        </w:rPr>
        <w:t>实效。</w:t>
      </w:r>
    </w:p>
    <w:p>
      <w:pPr>
        <w:bidi w:val="0"/>
        <w:rPr>
          <w:rFonts w:hint="default" w:ascii="Times New Roman" w:hAnsi="Times New Roman" w:eastAsia="仿宋_GB2312" w:cs="Times New Roman"/>
          <w:sz w:val="32"/>
          <w:szCs w:val="32"/>
        </w:rPr>
      </w:pPr>
    </w:p>
    <w:p>
      <w:pPr>
        <w:bidi w:val="0"/>
        <w:rPr>
          <w:rFonts w:hint="default" w:ascii="Times New Roman" w:hAnsi="Times New Roman" w:eastAsia="仿宋_GB2312" w:cs="Times New Roman"/>
          <w:sz w:val="32"/>
          <w:szCs w:val="32"/>
        </w:rPr>
      </w:pPr>
    </w:p>
    <w:p>
      <w:pPr>
        <w:bidi w:val="0"/>
        <w:rPr>
          <w:rFonts w:hint="default" w:ascii="Times New Roman" w:hAnsi="Times New Roman" w:eastAsia="仿宋_GB2312" w:cs="Times New Roman"/>
          <w:sz w:val="32"/>
          <w:szCs w:val="32"/>
        </w:rPr>
      </w:pPr>
    </w:p>
    <w:p>
      <w:pPr>
        <w:wordWrap w:val="0"/>
        <w:bidi w:val="0"/>
        <w:jc w:val="right"/>
        <w:rPr>
          <w:rFonts w:hint="default" w:ascii="Times New Roman" w:hAnsi="Times New Roman" w:cs="Times New Roman"/>
        </w:rPr>
      </w:pPr>
      <w:bookmarkStart w:id="0" w:name="_GoBack"/>
      <w:bookmarkEnd w:id="0"/>
      <w:r>
        <w:rPr>
          <w:rFonts w:hint="default" w:ascii="Times New Roman" w:hAnsi="Times New Roman" w:eastAsia="仿宋_GB2312" w:cs="Times New Roman"/>
          <w:sz w:val="32"/>
          <w:szCs w:val="32"/>
          <w:lang w:val="en-US" w:eastAsia="zh-CN"/>
        </w:rPr>
        <w:t xml:space="preserve">2024年1月19日  </w:t>
      </w:r>
    </w:p>
    <w:sectPr>
      <w:footerReference r:id="rId3" w:type="default"/>
      <w:pgSz w:w="11906" w:h="16838"/>
      <w:pgMar w:top="1701" w:right="1587" w:bottom="1701"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0OWU0YTUzYmU5OTFiYjY3NzE2ZmJhM2IwMWFhOTgifQ=="/>
  </w:docVars>
  <w:rsids>
    <w:rsidRoot w:val="00000000"/>
    <w:rsid w:val="00EB0A46"/>
    <w:rsid w:val="2D945258"/>
    <w:rsid w:val="2FBF6641"/>
    <w:rsid w:val="321E1594"/>
    <w:rsid w:val="32D925D4"/>
    <w:rsid w:val="3AD6336D"/>
    <w:rsid w:val="3E86552A"/>
    <w:rsid w:val="40D43E92"/>
    <w:rsid w:val="42E66A7C"/>
    <w:rsid w:val="46713F31"/>
    <w:rsid w:val="4B054C48"/>
    <w:rsid w:val="54F130B0"/>
    <w:rsid w:val="5E3A783C"/>
    <w:rsid w:val="63894210"/>
    <w:rsid w:val="64552344"/>
    <w:rsid w:val="6B032AFA"/>
    <w:rsid w:val="6F215C44"/>
    <w:rsid w:val="76F62688"/>
    <w:rsid w:val="7B1906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autoRedefine/>
    <w:qFormat/>
    <w:uiPriority w:val="0"/>
    <w:pPr>
      <w:keepNext/>
      <w:keepLines/>
      <w:spacing w:line="416" w:lineRule="auto"/>
      <w:outlineLvl w:val="1"/>
    </w:pPr>
    <w:rPr>
      <w:rFonts w:ascii="Cambria" w:hAnsi="Cambria"/>
      <w:b/>
      <w:bCs/>
      <w:sz w:val="32"/>
      <w:szCs w:val="32"/>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autoRedefine/>
    <w:qFormat/>
    <w:uiPriority w:val="0"/>
    <w:pPr>
      <w:spacing w:before="100" w:beforeAutospacing="1" w:after="100" w:afterAutospacing="1"/>
      <w:ind w:left="0" w:right="0"/>
      <w:jc w:val="left"/>
    </w:pPr>
    <w:rPr>
      <w:kern w:val="0"/>
      <w:sz w:val="24"/>
      <w:lang w:val="en-US" w:eastAsia="zh-CN" w:bidi="ar"/>
    </w:rPr>
  </w:style>
  <w:style w:type="character" w:styleId="9">
    <w:name w:val="Strong"/>
    <w:basedOn w:val="8"/>
    <w:autoRedefine/>
    <w:qFormat/>
    <w:uiPriority w:val="0"/>
    <w:rPr>
      <w:b/>
    </w:rPr>
  </w:style>
  <w:style w:type="character" w:styleId="10">
    <w:name w:val="Hyperlink"/>
    <w:basedOn w:val="8"/>
    <w:autoRedefine/>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77</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2024-01-18T09:21:00Z</dcterms:created>
  <dc:creator>Administrator</dc:creator>
  <cp:lastModifiedBy>身手矫健暴力懵妹</cp:lastModifiedBy>
  <cp:lastPrinted>2024-01-19T08:49:00Z</cp:lastPrinted>
  <dcterms:modified xsi:type="dcterms:W3CDTF">2024-02-21T06:55:23Z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DEB9B618BCB14ACABE0E367111E55385_12</vt:lpwstr>
  </property>
</Properties>
</file>