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Times New Roman" w:hAnsi="Times New Roman" w:eastAsia="方正小标宋简体"/>
          <w:color w:val="000000"/>
          <w:sz w:val="44"/>
          <w:szCs w:val="44"/>
        </w:rPr>
      </w:pPr>
      <w:r>
        <w:rPr>
          <w:rFonts w:ascii="Times New Roman" w:hAnsi="Times New Roman" w:eastAsia="方正小标宋简体"/>
          <w:color w:val="000000"/>
          <w:sz w:val="44"/>
          <w:szCs w:val="44"/>
        </w:rPr>
        <w:t>202</w:t>
      </w:r>
      <w:r>
        <w:rPr>
          <w:rFonts w:hint="eastAsia" w:ascii="Times New Roman" w:hAnsi="Times New Roman" w:eastAsia="方正小标宋简体"/>
          <w:color w:val="000000"/>
          <w:sz w:val="44"/>
          <w:szCs w:val="44"/>
          <w:lang w:val="en-US" w:eastAsia="zh-CN"/>
        </w:rPr>
        <w:t>3</w:t>
      </w:r>
      <w:r>
        <w:rPr>
          <w:rFonts w:ascii="Times New Roman" w:hAnsi="Times New Roman" w:eastAsia="方正小标宋简体"/>
          <w:color w:val="000000"/>
          <w:sz w:val="44"/>
          <w:szCs w:val="44"/>
        </w:rPr>
        <w:t>年度</w:t>
      </w:r>
      <w:r>
        <w:rPr>
          <w:rFonts w:ascii="Times New Roman" w:hAnsi="Times New Roman" w:eastAsia="方正小标宋简体"/>
          <w:color w:val="000000"/>
          <w:sz w:val="44"/>
          <w:szCs w:val="44"/>
          <w:u w:val="single"/>
        </w:rPr>
        <w:t>铜官区</w:t>
      </w:r>
      <w:r>
        <w:rPr>
          <w:rFonts w:hint="eastAsia" w:ascii="Times New Roman" w:hAnsi="Times New Roman" w:eastAsia="方正小标宋简体"/>
          <w:color w:val="000000"/>
          <w:sz w:val="44"/>
          <w:szCs w:val="44"/>
          <w:u w:val="single"/>
        </w:rPr>
        <w:t xml:space="preserve"> </w:t>
      </w:r>
      <w:r>
        <w:rPr>
          <w:rFonts w:ascii="Times New Roman" w:hAnsi="Times New Roman" w:eastAsia="方正小标宋简体"/>
          <w:color w:val="000000"/>
          <w:sz w:val="44"/>
          <w:szCs w:val="44"/>
        </w:rPr>
        <w:t>“双随机、一公开”</w:t>
      </w:r>
    </w:p>
    <w:p>
      <w:pPr>
        <w:spacing w:line="560" w:lineRule="exact"/>
        <w:jc w:val="center"/>
        <w:rPr>
          <w:rFonts w:ascii="Times New Roman" w:hAnsi="Times New Roman" w:eastAsia="方正小标宋简体"/>
          <w:color w:val="000000"/>
          <w:sz w:val="44"/>
          <w:szCs w:val="44"/>
        </w:rPr>
      </w:pPr>
      <w:r>
        <w:rPr>
          <w:rFonts w:ascii="Times New Roman" w:hAnsi="Times New Roman" w:eastAsia="方正小标宋简体"/>
          <w:color w:val="000000"/>
          <w:sz w:val="44"/>
          <w:szCs w:val="44"/>
        </w:rPr>
        <w:t>（部门联合）抽查工作计划表</w:t>
      </w:r>
    </w:p>
    <w:tbl>
      <w:tblPr>
        <w:tblStyle w:val="4"/>
        <w:tblpPr w:leftFromText="180" w:rightFromText="180" w:vertAnchor="text" w:horzAnchor="page" w:tblpX="1401" w:tblpY="509"/>
        <w:tblOverlap w:val="never"/>
        <w:tblW w:w="143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427"/>
        <w:gridCol w:w="2295"/>
        <w:gridCol w:w="900"/>
        <w:gridCol w:w="1020"/>
        <w:gridCol w:w="1245"/>
        <w:gridCol w:w="1618"/>
        <w:gridCol w:w="850"/>
        <w:gridCol w:w="1552"/>
        <w:gridCol w:w="975"/>
        <w:gridCol w:w="875"/>
        <w:gridCol w:w="1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tblHeader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抽查任务</w:t>
            </w:r>
          </w:p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名称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抽查事项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发起</w:t>
            </w:r>
          </w:p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 xml:space="preserve">单位   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参与</w:t>
            </w:r>
          </w:p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抽查</w:t>
            </w:r>
          </w:p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主体</w:t>
            </w:r>
          </w:p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（层级）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抽查</w:t>
            </w:r>
          </w:p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对象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抽查</w:t>
            </w:r>
          </w:p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基数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差异化抽查</w:t>
            </w:r>
          </w:p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比例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抽查</w:t>
            </w:r>
          </w:p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  <w:t>时间段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黑体"/>
                <w:color w:val="000000"/>
                <w:kern w:val="0"/>
                <w:sz w:val="28"/>
                <w:szCs w:val="28"/>
              </w:rPr>
              <w:t>是否一业一查清单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黑体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年度全区企业劳动用工抽查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规章制度制定情况检查、劳动合同及招用工管理情况检查、遵守工作时间和休息休假规定情况检查、遵守禁止使用童工规定情况检查、遵守女职工和未成年工特殊劳动保护规定情况检查、工资支付和执行最低工资标准情况检查；公示信息检查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区人社局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区市场监督管理局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全区存续企业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Style w:val="7"/>
                <w:rFonts w:hint="default" w:cs="仿宋" w:asciiTheme="minorEastAsia" w:hAnsiTheme="minorEastAsia" w:eastAsiaTheme="minorEastAsia"/>
                <w:sz w:val="24"/>
                <w:szCs w:val="24"/>
                <w:lang w:bidi="ar"/>
              </w:rPr>
              <w:t>3%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 w:val="24"/>
                <w:szCs w:val="24"/>
                <w:lang w:bidi="ar"/>
              </w:rPr>
              <w:t>根据企业信用分类结果，对守信、警示、失信、严重失信企业分别递加比例抽取。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 w:val="24"/>
                <w:szCs w:val="24"/>
                <w:lang w:bidi="ar"/>
              </w:rPr>
              <w:t>11月底前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年度全区企业社会保险法律法规执行情况检查（除医疗保险、生育保险外）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社会保险法律法规执行情况检查（除医疗保险、生育保险外）；公示信息检查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区人社局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区市场监督管理局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全区存续企业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 w:val="24"/>
                <w:szCs w:val="24"/>
                <w:lang w:bidi="ar"/>
              </w:rPr>
              <w:t>3%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 w:val="24"/>
                <w:szCs w:val="24"/>
                <w:lang w:bidi="ar"/>
              </w:rPr>
              <w:t>根据企业信用分类结果，对守信、警示、失信、严重失信企业分别递加比例抽取。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 w:val="24"/>
                <w:szCs w:val="24"/>
                <w:lang w:bidi="ar"/>
              </w:rPr>
              <w:t>11月底前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3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年度全区劳务派遣企业检查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劳务派遣法律法规执行情况检查；公示信息检查（年度报告公示信息的检查；即时公示信息的检查）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区人社局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区市场监督管理局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全区劳务派遣企业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 w:val="24"/>
                <w:szCs w:val="24"/>
                <w:lang w:bidi="ar"/>
              </w:rPr>
              <w:t>根据企业信用分类结果，对守信3%、警示6%、失信9、严重失信12%比例抽取。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 w:val="24"/>
                <w:szCs w:val="24"/>
                <w:lang w:bidi="ar"/>
              </w:rPr>
              <w:t>11月底前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9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年度全区人力资源服务企业检查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人力资源市场法律法规执行情况检查；公示信息检查（年度报告公示信息的检查；即时公示信息的检查）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区人社局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区市场监督管理局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全区人力资源企业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 w:val="24"/>
                <w:szCs w:val="24"/>
                <w:lang w:bidi="ar"/>
              </w:rPr>
              <w:t>根据企业信用分类结果，对守信3%、警示6%、失信9、严重失信12%比例抽取。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 w:val="24"/>
                <w:szCs w:val="24"/>
                <w:lang w:bidi="ar"/>
              </w:rPr>
              <w:t>11月底前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2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年度铜官区司法局基层法律服务所联合抽查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基层法律服务所执业情况监督检查；社会保险（除医疗保险、生育保险外）法律法规执行情况检查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铜官区司法局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铜官区人力资源和社会保障局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基层法律服务所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2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年4-11月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5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年度应急管理局联合抽查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金属冶炼企业执法检查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；</w:t>
            </w: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特种设备使用的监督检查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；环境污染情况监督检查。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铜官区应急管理局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区生态环境局、区市场监管局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</w:t>
            </w: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金属冶炼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企业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年6月至11月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8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年度应急管理局联合抽查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涉及重大危险源危险化学品生产企业监督检查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；</w:t>
            </w: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法定环境制度及污染防治措施落实情况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；</w:t>
            </w: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企业消防主体责任落实情况，防火间距、水源药剂、消防设施器材、消防车通道、灭火和应急预案、“两支队伍”（企业专职消防队、工艺处置队）建设等情况。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铜官区应急管理局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</w:t>
            </w: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生态环境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局、区</w:t>
            </w: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消防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救援大队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</w:t>
            </w: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涉及重大危险源危险化学品生产企业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50%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年6月至11月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7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年度全区小额贷款公司联合抽查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机构和高管人员情况、业务范围情况、资产情况、资金来源情况、财务及非信贷资产情况、法人治理和内控制度情况、创新业务情况；公示信息。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区金融监督管理局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区市场监管部门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铜官区小额贷款公司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年6月至11月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6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公益性公墓经营行为抽查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cs="仿宋" w:asciiTheme="minorEastAsia" w:hAnsiTheme="minorEastAsia" w:eastAsiaTheme="minorEastAsia"/>
                <w:color w:val="C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对公益性公墓经营行为进行抽查；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广告发布行为</w:t>
            </w: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检查。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区民政局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铜官区市监局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公益性公墓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年6月至11月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7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养老机构日常管理行为抽查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cs="仿宋" w:asciiTheme="minorEastAsia" w:hAnsiTheme="minorEastAsia" w:eastAsiaTheme="minorEastAsia"/>
                <w:color w:val="C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  <w:szCs w:val="24"/>
              </w:rPr>
              <w:t>对养老机构的入院评估、值班制度、应急预案、人才培训等情况抽查；公示信息检查。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区民政局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铜官区市监局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养老机构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年6月至11月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年财政局会计监督检查联合抽查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会计监督检查；公示信息检查</w:t>
            </w:r>
          </w:p>
        </w:tc>
        <w:tc>
          <w:tcPr>
            <w:tcW w:w="90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铜官区财政局</w:t>
            </w:r>
          </w:p>
        </w:tc>
        <w:tc>
          <w:tcPr>
            <w:tcW w:w="102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铜官区市监局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铜官区内企业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6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营利性民办学校部门联合抽查</w:t>
            </w:r>
          </w:p>
        </w:tc>
        <w:tc>
          <w:tcPr>
            <w:tcW w:w="2295" w:type="dxa"/>
            <w:vAlign w:val="center"/>
          </w:tcPr>
          <w:p>
            <w:pPr>
              <w:spacing w:line="240" w:lineRule="atLeast"/>
              <w:jc w:val="center"/>
              <w:rPr>
                <w:rFonts w:cs="仿宋" w:asciiTheme="minorEastAsia" w:hAnsiTheme="minorEastAsia" w:eastAsiaTheme="minorEastAsia"/>
                <w:color w:val="C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办学水平，办学质量；食品安全监督检查；登记事项、公示信息检查；学校卫生监督执法检查。</w:t>
            </w:r>
          </w:p>
        </w:tc>
        <w:tc>
          <w:tcPr>
            <w:tcW w:w="90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区教育局</w:t>
            </w:r>
          </w:p>
        </w:tc>
        <w:tc>
          <w:tcPr>
            <w:tcW w:w="102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区市场监督局、区卫健委</w:t>
            </w:r>
          </w:p>
        </w:tc>
        <w:tc>
          <w:tcPr>
            <w:tcW w:w="124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营利性民办学校</w:t>
            </w: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9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27" w:type="dxa"/>
            <w:vAlign w:val="center"/>
          </w:tcPr>
          <w:p>
            <w:pPr>
              <w:spacing w:line="240" w:lineRule="atLeas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校外培训机构部门联合抽查</w:t>
            </w:r>
          </w:p>
        </w:tc>
        <w:tc>
          <w:tcPr>
            <w:tcW w:w="2295" w:type="dxa"/>
            <w:vAlign w:val="center"/>
          </w:tcPr>
          <w:p>
            <w:pPr>
              <w:spacing w:line="240" w:lineRule="atLeas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办学水平和办学质量；广告发布行为、登记事项检查。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tLeas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区教育局</w:t>
            </w:r>
          </w:p>
        </w:tc>
        <w:tc>
          <w:tcPr>
            <w:tcW w:w="1020" w:type="dxa"/>
            <w:vAlign w:val="center"/>
          </w:tcPr>
          <w:p>
            <w:pPr>
              <w:spacing w:line="240" w:lineRule="atLeas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区市场监管局</w:t>
            </w:r>
          </w:p>
        </w:tc>
        <w:tc>
          <w:tcPr>
            <w:tcW w:w="1245" w:type="dxa"/>
            <w:vAlign w:val="center"/>
          </w:tcPr>
          <w:p>
            <w:pPr>
              <w:spacing w:line="240" w:lineRule="atLeas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spacing w:line="240" w:lineRule="atLeas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面向中小学生有办学许可证的学科类校外培训机构</w:t>
            </w:r>
          </w:p>
        </w:tc>
        <w:tc>
          <w:tcPr>
            <w:tcW w:w="850" w:type="dxa"/>
            <w:vAlign w:val="center"/>
          </w:tcPr>
          <w:p>
            <w:pPr>
              <w:spacing w:line="240" w:lineRule="atLeast"/>
              <w:jc w:val="center"/>
              <w:rPr>
                <w:rFonts w:hint="default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552" w:type="dxa"/>
            <w:vAlign w:val="center"/>
          </w:tcPr>
          <w:p>
            <w:pPr>
              <w:spacing w:line="240" w:lineRule="atLeas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975" w:type="dxa"/>
            <w:vAlign w:val="center"/>
          </w:tcPr>
          <w:p>
            <w:pPr>
              <w:spacing w:line="240" w:lineRule="atLeas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240" w:lineRule="atLeas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3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年度发改委关于粮食加工企业联合抽查</w:t>
            </w:r>
          </w:p>
        </w:tc>
        <w:tc>
          <w:tcPr>
            <w:tcW w:w="2295" w:type="dxa"/>
            <w:vAlign w:val="center"/>
          </w:tcPr>
          <w:p>
            <w:pPr>
              <w:spacing w:line="240" w:lineRule="atLeast"/>
              <w:jc w:val="center"/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粮食收购活动监督检查、企业“两个安全”情况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；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公示信息检查</w:t>
            </w:r>
          </w:p>
        </w:tc>
        <w:tc>
          <w:tcPr>
            <w:tcW w:w="90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区发改委</w:t>
            </w:r>
          </w:p>
        </w:tc>
        <w:tc>
          <w:tcPr>
            <w:tcW w:w="102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区市场监管局</w:t>
            </w:r>
          </w:p>
        </w:tc>
        <w:tc>
          <w:tcPr>
            <w:tcW w:w="124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铜官区企业</w:t>
            </w: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27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铜陵市铜官区经信局联合抽查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adjustRightInd w:val="0"/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非煤矿山生产能力的监管；企业登记事项、公示信息</w:t>
            </w:r>
          </w:p>
        </w:tc>
        <w:tc>
          <w:tcPr>
            <w:tcW w:w="90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区经信局</w:t>
            </w:r>
          </w:p>
        </w:tc>
        <w:tc>
          <w:tcPr>
            <w:tcW w:w="102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区市场监管局</w:t>
            </w:r>
          </w:p>
        </w:tc>
        <w:tc>
          <w:tcPr>
            <w:tcW w:w="124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铜官区非煤矿山</w:t>
            </w: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年区农业农村水利局联合抽查</w:t>
            </w:r>
          </w:p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肥料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生产技术规范、 化肥生产许可证检查</w:t>
            </w:r>
          </w:p>
          <w:p>
            <w:pPr>
              <w:widowControl/>
              <w:adjustRightInd w:val="0"/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区农业农村水利局</w:t>
            </w:r>
          </w:p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区市场监管局</w:t>
            </w:r>
          </w:p>
        </w:tc>
        <w:tc>
          <w:tcPr>
            <w:tcW w:w="124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铜陵市金磷复合肥有限责任公司</w:t>
            </w:r>
          </w:p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5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矿业权人勘查开采公示信息的检查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矿业权人勘查开采公示信息的检查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区自然资源和规划分局</w:t>
            </w:r>
          </w:p>
        </w:tc>
        <w:tc>
          <w:tcPr>
            <w:tcW w:w="102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辖区各矿山企业</w:t>
            </w: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总体比例不超过5%，根据信用类别不同，对守信、警示、失信、严重失信企业分别按1%、10%、50%和80%比例抽取。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年度行政执法局联合抽查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门头店招设置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公示信息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检查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铜官区行政执法局</w:t>
            </w:r>
          </w:p>
        </w:tc>
        <w:tc>
          <w:tcPr>
            <w:tcW w:w="102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铜官区企业、个体工商户</w:t>
            </w: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38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202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区商务局联合其他部门开展关于“单用途商业预付卡”的管理检查</w:t>
            </w: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单用途商业预付卡资金管理，单用途商业预付卡法律责任；营业执照（登记证）规范使用情况的检查；经营（业务）范围中无需审批的经营（业务）项目的检查；住所（经营场所）或驻在场所的检查</w:t>
            </w: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区商务局</w:t>
            </w: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品牌单用途商业预付卡发卡企业和集团单用途预付卡发卡企业</w:t>
            </w: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12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5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年度铜官区住建局对瓶装液化气安全生产监督管理的联合检查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瓶装液化气安全生产监督管理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/企业登记事项、公示信息检查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铜官区住建局</w:t>
            </w:r>
          </w:p>
        </w:tc>
        <w:tc>
          <w:tcPr>
            <w:tcW w:w="1020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瓶装液化气企业</w:t>
            </w: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50%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6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年铜官区文旅局关于娱乐场所的联合检查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娱乐场所检查（播放、表演的节目内容是否含有禁止内容；使用的歌曲点播系统是否连接至境外曲库；是否在显著位置悬挂娱乐经营许可证、未成年人禁入或者限入标志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）、企业登记事项、公示信息的检查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区文旅局</w:t>
            </w:r>
          </w:p>
        </w:tc>
        <w:tc>
          <w:tcPr>
            <w:tcW w:w="1020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铜官区娱乐场所</w:t>
            </w: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40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5%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2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年铜官区文旅局关于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电影发行放映单位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的联合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检查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电影发行放映单位检查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、企业登记事项、公示信息的检查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区文旅局</w:t>
            </w:r>
          </w:p>
        </w:tc>
        <w:tc>
          <w:tcPr>
            <w:tcW w:w="1020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电影发行放映单位</w:t>
            </w:r>
          </w:p>
        </w:tc>
        <w:tc>
          <w:tcPr>
            <w:tcW w:w="850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9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12%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2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全区工业企业“双随机”跨部门联合</w:t>
            </w: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2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建设项目类检查；重点排污单位、非重点排污单位；企业登记事项、公示信息、年报事项检查</w:t>
            </w: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区生态环境分局</w:t>
            </w: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区市监局</w:t>
            </w:r>
          </w:p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区级</w:t>
            </w:r>
          </w:p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铜官区管辖工业生产企业</w:t>
            </w: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31</w:t>
            </w:r>
          </w:p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6%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3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27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统计执法检查</w:t>
            </w:r>
          </w:p>
        </w:tc>
        <w:tc>
          <w:tcPr>
            <w:tcW w:w="229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依法提供统计资料情况，依法设置原始记录、统计台账情况；公示信息检查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区统计局</w:t>
            </w:r>
          </w:p>
        </w:tc>
        <w:tc>
          <w:tcPr>
            <w:tcW w:w="1020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区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市监局</w:t>
            </w:r>
          </w:p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>
            <w:pPr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区级</w:t>
            </w:r>
          </w:p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铜官区统计一套表平台企业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152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3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27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年度市监局教育局学校食堂联合检查</w:t>
            </w:r>
          </w:p>
        </w:tc>
        <w:tc>
          <w:tcPr>
            <w:tcW w:w="229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民办幼儿园监督检查；食品经营许可证检查；原料控制（含食品添加剂）情况的检查等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区市监局</w:t>
            </w:r>
          </w:p>
        </w:tc>
        <w:tc>
          <w:tcPr>
            <w:tcW w:w="1020" w:type="dxa"/>
            <w:vAlign w:val="center"/>
          </w:tcPr>
          <w:p>
            <w:pPr>
              <w:ind w:left="220" w:leftChars="105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区教育局</w:t>
            </w:r>
          </w:p>
        </w:tc>
        <w:tc>
          <w:tcPr>
            <w:tcW w:w="1245" w:type="dxa"/>
            <w:vAlign w:val="center"/>
          </w:tcPr>
          <w:p>
            <w:pPr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区级</w:t>
            </w:r>
          </w:p>
          <w:p>
            <w:pPr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铜官区幼儿园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47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10%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年3月-11月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3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27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年铜官区公安局旅馆业治安管理检查</w:t>
            </w:r>
          </w:p>
        </w:tc>
        <w:tc>
          <w:tcPr>
            <w:tcW w:w="229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旅馆业治安管理检查；对公共场所的卫生监督执法检查；即时公示信息的检查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区公安局</w:t>
            </w:r>
          </w:p>
        </w:tc>
        <w:tc>
          <w:tcPr>
            <w:tcW w:w="1020" w:type="dxa"/>
            <w:vAlign w:val="center"/>
          </w:tcPr>
          <w:p>
            <w:pPr>
              <w:ind w:left="220" w:leftChars="105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区市监局、区卫健委</w:t>
            </w:r>
          </w:p>
        </w:tc>
        <w:tc>
          <w:tcPr>
            <w:tcW w:w="1245" w:type="dxa"/>
            <w:vAlign w:val="center"/>
          </w:tcPr>
          <w:p>
            <w:pPr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区级</w:t>
            </w:r>
          </w:p>
          <w:p>
            <w:pPr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铜官区旅馆业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45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5%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4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427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年铜官区公安局对娱乐场所治安管理检查</w:t>
            </w:r>
          </w:p>
        </w:tc>
        <w:tc>
          <w:tcPr>
            <w:tcW w:w="229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娱乐场所治安管理监督检查；即时公示信息检查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区公安局</w:t>
            </w:r>
          </w:p>
        </w:tc>
        <w:tc>
          <w:tcPr>
            <w:tcW w:w="1020" w:type="dxa"/>
            <w:vAlign w:val="center"/>
          </w:tcPr>
          <w:p>
            <w:pPr>
              <w:ind w:left="220" w:leftChars="105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>
            <w:pPr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铜官区娱乐场所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16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10%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4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pacing w:line="30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27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年铜官区卫健委关于公共场所的联合检查</w:t>
            </w:r>
          </w:p>
        </w:tc>
        <w:tc>
          <w:tcPr>
            <w:tcW w:w="229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对公共场所的卫生监督执法检查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即时公示信息的检查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区卫健委</w:t>
            </w:r>
          </w:p>
        </w:tc>
        <w:tc>
          <w:tcPr>
            <w:tcW w:w="1020" w:type="dxa"/>
            <w:vAlign w:val="center"/>
          </w:tcPr>
          <w:p>
            <w:pPr>
              <w:ind w:left="220" w:leftChars="105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>
            <w:pPr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>
            <w:pPr>
              <w:widowControl/>
              <w:adjustRightInd w:val="0"/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铜官区公共卫生场所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>
            <w:pPr>
              <w:spacing w:line="56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10%</w:t>
            </w:r>
          </w:p>
        </w:tc>
        <w:tc>
          <w:tcPr>
            <w:tcW w:w="975" w:type="dxa"/>
            <w:vAlign w:val="center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年6月-11月</w:t>
            </w:r>
          </w:p>
        </w:tc>
        <w:tc>
          <w:tcPr>
            <w:tcW w:w="875" w:type="dxa"/>
            <w:vAlign w:val="center"/>
          </w:tcPr>
          <w:p>
            <w:pPr>
              <w:spacing w:line="560" w:lineRule="exact"/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>
            <w:pPr>
              <w:widowControl/>
              <w:adjustRightInd w:val="0"/>
              <w:spacing w:line="480" w:lineRule="exact"/>
              <w:jc w:val="center"/>
              <w:rPr>
                <w:rFonts w:cs="仿宋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</w:tbl>
    <w:p>
      <w:pPr>
        <w:spacing w:line="300" w:lineRule="exact"/>
      </w:pPr>
    </w:p>
    <w:p>
      <w:pPr>
        <w:spacing w:line="300" w:lineRule="exact"/>
      </w:pPr>
    </w:p>
    <w:p>
      <w:pPr>
        <w:spacing w:line="300" w:lineRule="exact"/>
      </w:pPr>
    </w:p>
    <w:p>
      <w:pPr>
        <w:spacing w:line="300" w:lineRule="exact"/>
      </w:pPr>
    </w:p>
    <w:p>
      <w:pPr>
        <w:spacing w:line="300" w:lineRule="exact"/>
      </w:pPr>
    </w:p>
    <w:sectPr>
      <w:pgSz w:w="16838" w:h="11906" w:orient="landscape"/>
      <w:pgMar w:top="850" w:right="850" w:bottom="850" w:left="85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2ZmMzMjc3ZDU1YTQ1NWM2ZTk5YjMwNDljNzdjNDkifQ=="/>
  </w:docVars>
  <w:rsids>
    <w:rsidRoot w:val="00283673"/>
    <w:rsid w:val="000851DA"/>
    <w:rsid w:val="001A3555"/>
    <w:rsid w:val="001A6F8A"/>
    <w:rsid w:val="001E6A6A"/>
    <w:rsid w:val="00283673"/>
    <w:rsid w:val="00353872"/>
    <w:rsid w:val="004556BD"/>
    <w:rsid w:val="004F25DE"/>
    <w:rsid w:val="005137BD"/>
    <w:rsid w:val="005460CC"/>
    <w:rsid w:val="00645A04"/>
    <w:rsid w:val="00693F9D"/>
    <w:rsid w:val="006C76AB"/>
    <w:rsid w:val="007A2041"/>
    <w:rsid w:val="00816BB1"/>
    <w:rsid w:val="00914FB2"/>
    <w:rsid w:val="009337EA"/>
    <w:rsid w:val="009C4980"/>
    <w:rsid w:val="009D6B9A"/>
    <w:rsid w:val="00A528E9"/>
    <w:rsid w:val="00AF0104"/>
    <w:rsid w:val="00B40BA3"/>
    <w:rsid w:val="00B6188D"/>
    <w:rsid w:val="00B65BAA"/>
    <w:rsid w:val="00B67B49"/>
    <w:rsid w:val="00C335D4"/>
    <w:rsid w:val="00CB09B4"/>
    <w:rsid w:val="00CF0A3C"/>
    <w:rsid w:val="00D611A4"/>
    <w:rsid w:val="00D64CE9"/>
    <w:rsid w:val="00DA4EFC"/>
    <w:rsid w:val="00DB2001"/>
    <w:rsid w:val="00E05050"/>
    <w:rsid w:val="00E62F2E"/>
    <w:rsid w:val="00F1594D"/>
    <w:rsid w:val="00F90DBA"/>
    <w:rsid w:val="00FD0D5B"/>
    <w:rsid w:val="00FD3858"/>
    <w:rsid w:val="095E6183"/>
    <w:rsid w:val="0F37297B"/>
    <w:rsid w:val="23D547D7"/>
    <w:rsid w:val="2D87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11"/>
    <w:basedOn w:val="5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8">
    <w:name w:val="页眉 Char"/>
    <w:basedOn w:val="5"/>
    <w:link w:val="3"/>
    <w:uiPriority w:val="0"/>
    <w:rPr>
      <w:rFonts w:ascii="Calibri" w:hAnsi="Calibri"/>
      <w:kern w:val="2"/>
      <w:sz w:val="18"/>
      <w:szCs w:val="18"/>
    </w:rPr>
  </w:style>
  <w:style w:type="character" w:customStyle="1" w:styleId="9">
    <w:name w:val="页脚 Char"/>
    <w:basedOn w:val="5"/>
    <w:link w:val="2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3064</Words>
  <Characters>3389</Characters>
  <Lines>27</Lines>
  <Paragraphs>7</Paragraphs>
  <TotalTime>3</TotalTime>
  <ScaleCrop>false</ScaleCrop>
  <LinksUpToDate>false</LinksUpToDate>
  <CharactersWithSpaces>3394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2022-05-23T07:44:00Z</dcterms:created>
  <dc:creator>Administrator</dc:creator>
  <cp:lastModifiedBy>Administrator</cp:lastModifiedBy>
  <cp:lastPrinted>2022-05-25T00:42:00Z</cp:lastPrinted>
  <dcterms:modified xsi:type="dcterms:W3CDTF">2023-04-21T08:51:14Z</dcterms:modified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45160160516144249DA7DD0E74F5FBAF</vt:lpwstr>
  </property>
</Properties>
</file>