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autoSpaceDE/>
        <w:autoSpaceDN/>
        <w:spacing w:before="0" w:after="0" w:line="240" w:lineRule="auto"/>
        <w:ind w:right="0" w:firstLine="0"/>
        <w:jc w:val="center"/>
        <w:rPr>
          <w:rFonts w:hint="default" w:ascii="宋体" w:hAnsi="宋体" w:eastAsia="宋体"/>
          <w:b/>
          <w:color w:val="000000"/>
          <w:position w:val="0"/>
          <w:sz w:val="44"/>
          <w:szCs w:val="44"/>
          <w:lang w:val="en-US" w:eastAsia="zh-CN"/>
        </w:rPr>
      </w:pPr>
      <w:r>
        <w:rPr>
          <w:rFonts w:hint="eastAsia" w:ascii="宋体" w:hAnsi="宋体"/>
          <w:b/>
          <w:color w:val="000000"/>
          <w:position w:val="0"/>
          <w:sz w:val="44"/>
          <w:szCs w:val="44"/>
          <w:lang w:val="en-US" w:eastAsia="zh-CN"/>
        </w:rPr>
        <w:t xml:space="preserve">  </w:t>
      </w: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right="0" w:firstLine="0"/>
        <w:jc w:val="center"/>
        <w:rPr>
          <w:rFonts w:hint="eastAsia" w:ascii="宋体" w:hAnsi="宋体"/>
          <w:b/>
          <w:color w:val="000000"/>
          <w:positio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color w:val="000000"/>
          <w:position w:val="0"/>
          <w:sz w:val="52"/>
          <w:szCs w:val="52"/>
        </w:rPr>
        <w:t>铜</w:t>
      </w:r>
      <w:r>
        <w:rPr>
          <w:rFonts w:hint="eastAsia" w:ascii="方正小标宋简体" w:hAnsi="方正小标宋简体" w:eastAsia="方正小标宋简体" w:cs="方正小标宋简体"/>
          <w:b/>
          <w:color w:val="000000"/>
          <w:position w:val="0"/>
          <w:sz w:val="52"/>
          <w:szCs w:val="52"/>
          <w:lang w:eastAsia="zh-CN"/>
        </w:rPr>
        <w:t>官区</w:t>
      </w:r>
      <w:r>
        <w:rPr>
          <w:rFonts w:hint="eastAsia" w:ascii="方正小标宋简体" w:hAnsi="方正小标宋简体" w:eastAsia="方正小标宋简体" w:cs="方正小标宋简体"/>
          <w:b/>
          <w:color w:val="000000"/>
          <w:position w:val="0"/>
          <w:sz w:val="52"/>
          <w:szCs w:val="52"/>
          <w:lang w:val="en-US" w:eastAsia="zh-CN"/>
        </w:rPr>
        <w:t>2022年义务教育均衡发展差异系数监</w:t>
      </w:r>
      <w:r>
        <w:rPr>
          <w:rFonts w:hint="eastAsia" w:ascii="方正小标宋简体" w:hAnsi="方正小标宋简体" w:eastAsia="方正小标宋简体" w:cs="方正小标宋简体"/>
          <w:b/>
          <w:color w:val="000000"/>
          <w:position w:val="0"/>
          <w:sz w:val="52"/>
          <w:szCs w:val="52"/>
          <w:lang w:eastAsia="zh-CN"/>
        </w:rPr>
        <w:t>测</w:t>
      </w:r>
      <w:r>
        <w:rPr>
          <w:rFonts w:hint="eastAsia" w:ascii="方正小标宋简体" w:hAnsi="方正小标宋简体" w:eastAsia="方正小标宋简体" w:cs="方正小标宋简体"/>
          <w:b/>
          <w:color w:val="000000"/>
          <w:position w:val="0"/>
          <w:sz w:val="52"/>
          <w:szCs w:val="52"/>
        </w:rPr>
        <w:t>分析</w:t>
      </w:r>
      <w:r>
        <w:rPr>
          <w:rFonts w:hint="eastAsia" w:ascii="方正小标宋简体" w:hAnsi="方正小标宋简体" w:eastAsia="方正小标宋简体" w:cs="方正小标宋简体"/>
          <w:b/>
          <w:color w:val="000000"/>
          <w:position w:val="0"/>
          <w:sz w:val="52"/>
          <w:szCs w:val="52"/>
          <w:lang w:val="en-US" w:eastAsia="zh-CN"/>
        </w:rPr>
        <w:t>报告（11月17日）</w:t>
      </w: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right="0" w:firstLine="0"/>
        <w:jc w:val="center"/>
        <w:rPr>
          <w:rFonts w:hint="eastAsia" w:ascii="宋体" w:hAnsi="宋体"/>
          <w:b/>
          <w:color w:val="000000"/>
          <w:position w:val="0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right="0" w:firstLine="0"/>
        <w:jc w:val="center"/>
        <w:rPr>
          <w:rFonts w:hint="eastAsia" w:ascii="宋体" w:hAnsi="宋体"/>
          <w:b/>
          <w:color w:val="000000"/>
          <w:position w:val="0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left="481" w:leftChars="0" w:right="0" w:rightChars="0" w:firstLine="560" w:firstLineChars="200"/>
        <w:jc w:val="both"/>
        <w:rPr>
          <w:rFonts w:hint="eastAsia" w:ascii="仿宋_GB2312" w:hAnsi="仿宋_GB2312" w:eastAsia="仿宋_GB2312" w:cs="仿宋_GB2312"/>
          <w:smallCaps w:val="0"/>
          <w:color w:val="auto"/>
          <w:spacing w:val="0"/>
          <w:positio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position w:val="0"/>
          <w:sz w:val="28"/>
          <w:szCs w:val="28"/>
          <w:lang w:val="en-US" w:eastAsia="zh-CN"/>
        </w:rPr>
        <w:t>依据铜官区11月17日上报的《2022-2023学年度基础教育综合统计报表》数据测算结果分析。</w:t>
      </w:r>
    </w:p>
    <w:p>
      <w:pPr>
        <w:numPr>
          <w:ilvl w:val="0"/>
          <w:numId w:val="1"/>
        </w:numPr>
        <w:autoSpaceDE/>
        <w:autoSpaceDN/>
        <w:spacing w:before="0" w:after="0" w:line="240" w:lineRule="auto"/>
        <w:ind w:right="0" w:rightChars="0" w:firstLine="964" w:firstLineChars="300"/>
        <w:jc w:val="both"/>
        <w:rPr>
          <w:rFonts w:hint="eastAsia" w:ascii="黑体" w:hAnsi="黑体" w:eastAsia="黑体" w:cs="黑体"/>
          <w:b/>
          <w:color w:val="000000"/>
          <w:positio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color w:val="000000"/>
          <w:position w:val="0"/>
          <w:sz w:val="32"/>
          <w:szCs w:val="32"/>
          <w:lang w:val="en-US" w:eastAsia="zh-CN"/>
        </w:rPr>
        <w:t>义务教育基本均衡差异系数监测结果</w:t>
      </w: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left="481" w:leftChars="0" w:right="0" w:rightChars="0"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mallCaps w:val="0"/>
          <w:color w:val="auto"/>
          <w:spacing w:val="0"/>
          <w:positio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position w:val="0"/>
          <w:sz w:val="28"/>
          <w:szCs w:val="28"/>
          <w:lang w:val="en-US" w:eastAsia="zh-CN"/>
        </w:rPr>
        <w:t>本次监测对象为今年铜官区辖区内所有义务教育阶段公办学校，含铜官区35所小学、11所初中及市直3所学校（铜陵市京师实验学校、第五中学、第十七中学）。</w:t>
      </w: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right="0" w:firstLine="883"/>
        <w:jc w:val="both"/>
        <w:rPr>
          <w:rFonts w:hint="eastAsia" w:ascii="仿宋_GB2312" w:hAnsi="仿宋_GB2312" w:eastAsia="仿宋_GB2312" w:cs="仿宋_GB2312"/>
          <w:b w:val="0"/>
          <w:bCs w:val="0"/>
          <w:smallCaps w:val="0"/>
          <w:color w:val="auto"/>
          <w:spacing w:val="0"/>
          <w:positio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mallCaps w:val="0"/>
          <w:color w:val="auto"/>
          <w:spacing w:val="0"/>
          <w:position w:val="0"/>
          <w:sz w:val="28"/>
          <w:szCs w:val="28"/>
          <w:lang w:val="en-US" w:eastAsia="zh-CN"/>
        </w:rPr>
        <w:t>经测算，铜官区2022年义务教育基本均衡综合差异系数分别为：小学0.3564。</w:t>
      </w: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right="0" w:firstLine="883"/>
        <w:jc w:val="both"/>
        <w:rPr>
          <w:rFonts w:hint="eastAsia" w:ascii="仿宋_GB2312" w:hAnsi="仿宋_GB2312" w:eastAsia="仿宋_GB2312" w:cs="仿宋_GB2312"/>
          <w:b w:val="0"/>
          <w:bCs w:val="0"/>
          <w:smallCaps w:val="0"/>
          <w:color w:val="auto"/>
          <w:spacing w:val="0"/>
          <w:positio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mallCaps w:val="0"/>
          <w:color w:val="auto"/>
          <w:spacing w:val="0"/>
          <w:position w:val="0"/>
          <w:sz w:val="28"/>
          <w:szCs w:val="28"/>
          <w:lang w:val="en-US" w:eastAsia="zh-CN"/>
        </w:rPr>
        <w:t>小学8个单项达标全部达标；</w:t>
      </w:r>
    </w:p>
    <w:tbl>
      <w:tblPr>
        <w:tblStyle w:val="3"/>
        <w:tblW w:w="9560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56"/>
        <w:gridCol w:w="956"/>
        <w:gridCol w:w="956"/>
        <w:gridCol w:w="956"/>
        <w:gridCol w:w="956"/>
        <w:gridCol w:w="956"/>
        <w:gridCol w:w="956"/>
        <w:gridCol w:w="956"/>
        <w:gridCol w:w="956"/>
        <w:gridCol w:w="956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0" w:hRule="atLeast"/>
        </w:trPr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w w:val="100"/>
                <w:kern w:val="0"/>
                <w:sz w:val="18"/>
                <w:szCs w:val="18"/>
                <w:u w:val="none"/>
                <w:shd w:val="clear"/>
                <w:lang w:val="en-US" w:eastAsia="zh-CN" w:bidi="ar"/>
              </w:rPr>
              <w:t>学段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w w:val="100"/>
                <w:kern w:val="0"/>
                <w:sz w:val="18"/>
                <w:szCs w:val="18"/>
                <w:u w:val="none"/>
                <w:shd w:val="clear"/>
                <w:lang w:val="en-US" w:eastAsia="zh-CN" w:bidi="ar"/>
              </w:rPr>
              <w:t>生均教学及辅助用房面积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w w:val="100"/>
                <w:kern w:val="0"/>
                <w:sz w:val="18"/>
                <w:szCs w:val="18"/>
                <w:u w:val="none"/>
                <w:shd w:val="clear"/>
                <w:lang w:val="en-US" w:eastAsia="zh-CN" w:bidi="ar"/>
              </w:rPr>
              <w:t>生均体育运动场馆面积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w w:val="100"/>
                <w:kern w:val="0"/>
                <w:sz w:val="18"/>
                <w:szCs w:val="18"/>
                <w:u w:val="none"/>
                <w:shd w:val="clear"/>
                <w:lang w:val="en-US" w:eastAsia="zh-CN" w:bidi="ar"/>
              </w:rPr>
              <w:t>生均教学仪器设备值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w w:val="100"/>
                <w:kern w:val="0"/>
                <w:sz w:val="18"/>
                <w:szCs w:val="18"/>
                <w:u w:val="none"/>
                <w:shd w:val="clear"/>
                <w:lang w:val="en-US" w:eastAsia="zh-CN" w:bidi="ar"/>
              </w:rPr>
              <w:t>每百名学生拥有计算机台数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w w:val="100"/>
                <w:kern w:val="0"/>
                <w:sz w:val="18"/>
                <w:szCs w:val="18"/>
                <w:u w:val="none"/>
                <w:shd w:val="clear"/>
                <w:lang w:val="en-US" w:eastAsia="zh-CN" w:bidi="ar"/>
              </w:rPr>
              <w:t>生均图书册数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w w:val="100"/>
                <w:kern w:val="0"/>
                <w:sz w:val="18"/>
                <w:szCs w:val="18"/>
                <w:u w:val="none"/>
                <w:shd w:val="clear"/>
                <w:lang w:val="en-US" w:eastAsia="zh-CN" w:bidi="ar"/>
              </w:rPr>
              <w:t>师生比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w w:val="100"/>
                <w:kern w:val="0"/>
                <w:sz w:val="18"/>
                <w:szCs w:val="18"/>
                <w:u w:val="none"/>
                <w:shd w:val="clear"/>
                <w:lang w:val="en-US" w:eastAsia="zh-CN" w:bidi="ar"/>
              </w:rPr>
              <w:t>生均高于规定学历教师数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w w:val="100"/>
                <w:kern w:val="0"/>
                <w:sz w:val="18"/>
                <w:szCs w:val="18"/>
                <w:u w:val="none"/>
                <w:shd w:val="clear"/>
                <w:lang w:val="en-US" w:eastAsia="zh-CN" w:bidi="ar"/>
              </w:rPr>
              <w:t>生均中级及以上专业技术职务教师数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w w:val="100"/>
                <w:kern w:val="0"/>
                <w:sz w:val="18"/>
                <w:szCs w:val="18"/>
                <w:u w:val="none"/>
                <w:shd w:val="clear"/>
                <w:lang w:val="en-US" w:eastAsia="zh-CN" w:bidi="ar"/>
              </w:rPr>
              <w:t>综合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atLeast"/>
        </w:trPr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>小学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0.3623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0.2596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0.2408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0.5457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0.3285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0.3064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0.3058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0.5024 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0.3564 </w:t>
            </w:r>
          </w:p>
        </w:tc>
      </w:tr>
    </w:tbl>
    <w:p>
      <w:pPr>
        <w:numPr>
          <w:ilvl w:val="0"/>
          <w:numId w:val="0"/>
        </w:numPr>
        <w:autoSpaceDE/>
        <w:autoSpaceDN/>
        <w:spacing w:before="0" w:after="0" w:line="240" w:lineRule="auto"/>
        <w:ind w:right="0" w:rightChars="0" w:firstLine="643" w:firstLineChars="200"/>
        <w:jc w:val="both"/>
        <w:rPr>
          <w:rFonts w:hint="eastAsia" w:ascii="仿宋_GB2312" w:hAnsi="仿宋_GB2312" w:eastAsia="仿宋_GB2312" w:cs="仿宋_GB2312"/>
          <w:b/>
          <w:color w:val="000000"/>
          <w:position w:val="0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autoSpaceDE/>
        <w:autoSpaceDN/>
        <w:spacing w:before="0" w:after="0" w:line="240" w:lineRule="auto"/>
        <w:ind w:left="0" w:leftChars="0" w:right="0" w:rightChars="0" w:firstLine="964" w:firstLineChars="300"/>
        <w:jc w:val="both"/>
        <w:rPr>
          <w:rFonts w:hint="eastAsia" w:ascii="仿宋_GB2312" w:hAnsi="仿宋_GB2312" w:eastAsia="仿宋_GB2312" w:cs="仿宋_GB2312"/>
          <w:b/>
          <w:color w:val="000000"/>
          <w:positio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color w:val="000000"/>
          <w:position w:val="0"/>
          <w:sz w:val="32"/>
          <w:szCs w:val="32"/>
          <w:lang w:val="en-US" w:eastAsia="zh-CN"/>
        </w:rPr>
        <w:t>义务教育优质均衡差异系数监测结果与分析</w:t>
      </w: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left="481" w:leftChars="0" w:right="0" w:rightChars="0" w:firstLine="560" w:firstLineChars="200"/>
        <w:jc w:val="both"/>
        <w:rPr>
          <w:rFonts w:hint="eastAsia" w:ascii="仿宋_GB2312" w:hAnsi="仿宋_GB2312" w:eastAsia="仿宋_GB2312" w:cs="仿宋_GB2312"/>
          <w:b/>
          <w:color w:val="00000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position w:val="0"/>
          <w:sz w:val="28"/>
          <w:szCs w:val="28"/>
          <w:lang w:val="en-US" w:eastAsia="zh-CN"/>
        </w:rPr>
        <w:t>本次监测对象为今年铜官区辖区内所有义务教育阶段学校，含铜官区35所小学、11所初中及市直5所学校（铜陵市京师实验学校、第十七中学、第五中学、正阳高中、外国语学校）。</w:t>
      </w: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leftChars="100" w:right="0" w:rightChars="0" w:firstLine="562" w:firstLineChars="200"/>
        <w:jc w:val="both"/>
        <w:rPr>
          <w:rFonts w:hint="eastAsia" w:ascii="仿宋_GB2312" w:hAnsi="仿宋_GB2312" w:eastAsia="仿宋_GB2312" w:cs="仿宋_GB2312"/>
          <w:b/>
          <w:color w:val="000000"/>
          <w:positio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position w:val="0"/>
          <w:sz w:val="28"/>
          <w:szCs w:val="28"/>
          <w:lang w:val="en-US" w:eastAsia="zh-CN"/>
        </w:rPr>
        <w:t>（一）优质均衡七项指标差异系数监测结果</w:t>
      </w:r>
      <w:r>
        <w:rPr>
          <w:rFonts w:hint="eastAsia" w:ascii="仿宋_GB2312" w:hAnsi="仿宋_GB2312" w:eastAsia="仿宋_GB2312" w:cs="仿宋_GB2312"/>
          <w:b/>
          <w:color w:val="000000"/>
          <w:position w:val="0"/>
          <w:sz w:val="20"/>
          <w:szCs w:val="20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b/>
          <w:color w:val="000000"/>
          <w:position w:val="0"/>
          <w:sz w:val="20"/>
          <w:szCs w:val="20"/>
        </w:rPr>
        <w:t>小学≦0.50</w:t>
      </w:r>
      <w:r>
        <w:rPr>
          <w:rFonts w:hint="eastAsia" w:ascii="仿宋_GB2312" w:hAnsi="仿宋_GB2312" w:eastAsia="仿宋_GB2312" w:cs="仿宋_GB2312"/>
          <w:b/>
          <w:color w:val="000000"/>
          <w:position w:val="0"/>
          <w:sz w:val="20"/>
          <w:szCs w:val="20"/>
          <w:lang w:eastAsia="zh-CN"/>
        </w:rPr>
        <w:t>、</w:t>
      </w:r>
      <w:r>
        <w:rPr>
          <w:rFonts w:hint="eastAsia" w:ascii="仿宋_GB2312" w:hAnsi="仿宋_GB2312" w:eastAsia="仿宋_GB2312" w:cs="仿宋_GB2312"/>
          <w:b/>
          <w:color w:val="000000"/>
          <w:position w:val="0"/>
          <w:sz w:val="20"/>
          <w:szCs w:val="20"/>
          <w:lang w:val="en-US" w:eastAsia="zh-CN"/>
        </w:rPr>
        <w:t>初中</w:t>
      </w:r>
      <w:r>
        <w:rPr>
          <w:rFonts w:hint="eastAsia" w:ascii="仿宋_GB2312" w:hAnsi="仿宋_GB2312" w:eastAsia="仿宋_GB2312" w:cs="仿宋_GB2312"/>
          <w:b/>
          <w:color w:val="000000"/>
          <w:position w:val="0"/>
          <w:sz w:val="20"/>
          <w:szCs w:val="20"/>
        </w:rPr>
        <w:t>≦0.</w:t>
      </w:r>
      <w:r>
        <w:rPr>
          <w:rFonts w:hint="eastAsia" w:ascii="仿宋_GB2312" w:hAnsi="仿宋_GB2312" w:eastAsia="仿宋_GB2312" w:cs="仿宋_GB2312"/>
          <w:b/>
          <w:color w:val="000000"/>
          <w:position w:val="0"/>
          <w:sz w:val="20"/>
          <w:szCs w:val="20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color w:val="000000"/>
          <w:position w:val="0"/>
          <w:sz w:val="20"/>
          <w:szCs w:val="20"/>
        </w:rPr>
        <w:t>5）</w:t>
      </w: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left="481" w:leftChars="0" w:right="0" w:rightChars="0" w:firstLine="56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000000"/>
          <w:positio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position w:val="0"/>
          <w:sz w:val="28"/>
          <w:szCs w:val="28"/>
          <w:lang w:val="en-US" w:eastAsia="zh-CN"/>
        </w:rPr>
        <w:t>经测算，铜官区2022年义务教育优质均衡综合差异系数分别为：小学0.3046。</w:t>
      </w: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left="481" w:leftChars="0" w:right="0" w:rightChars="0" w:firstLine="56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000000"/>
          <w:positio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position w:val="0"/>
          <w:sz w:val="28"/>
          <w:szCs w:val="28"/>
          <w:lang w:val="en-US" w:eastAsia="zh-CN"/>
        </w:rPr>
        <w:t>小学七个单项</w:t>
      </w:r>
      <w:r>
        <w:rPr>
          <w:rFonts w:hint="default" w:ascii="仿宋_GB2312" w:hAnsi="仿宋_GB2312" w:eastAsia="仿宋_GB2312" w:cs="仿宋_GB2312"/>
          <w:b w:val="0"/>
          <w:bCs/>
          <w:color w:val="000000"/>
          <w:position w:val="0"/>
          <w:sz w:val="28"/>
          <w:szCs w:val="28"/>
          <w:lang w:eastAsia="zh-CN"/>
        </w:rPr>
        <w:t>均</w:t>
      </w:r>
      <w:r>
        <w:rPr>
          <w:rFonts w:hint="eastAsia" w:ascii="仿宋_GB2312" w:hAnsi="仿宋_GB2312" w:eastAsia="仿宋_GB2312" w:cs="仿宋_GB2312"/>
          <w:b w:val="0"/>
          <w:bCs/>
          <w:color w:val="000000"/>
          <w:position w:val="0"/>
          <w:sz w:val="28"/>
          <w:szCs w:val="28"/>
          <w:lang w:val="en-US" w:eastAsia="zh-CN"/>
        </w:rPr>
        <w:t>全部达标；</w:t>
      </w:r>
      <w:bookmarkStart w:id="0" w:name="_GoBack"/>
      <w:bookmarkEnd w:id="0"/>
    </w:p>
    <w:tbl>
      <w:tblPr>
        <w:tblStyle w:val="3"/>
        <w:tblpPr w:leftFromText="180" w:rightFromText="180" w:vertAnchor="text" w:horzAnchor="page" w:tblpX="1235" w:tblpY="305"/>
        <w:tblOverlap w:val="never"/>
        <w:tblW w:w="9558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2"/>
        <w:gridCol w:w="1062"/>
        <w:gridCol w:w="1062"/>
        <w:gridCol w:w="1062"/>
        <w:gridCol w:w="1062"/>
        <w:gridCol w:w="1062"/>
        <w:gridCol w:w="1062"/>
        <w:gridCol w:w="1062"/>
        <w:gridCol w:w="1062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w w:val="100"/>
                <w:kern w:val="0"/>
                <w:sz w:val="18"/>
                <w:szCs w:val="18"/>
                <w:u w:val="none"/>
                <w:shd w:val="clear"/>
                <w:lang w:val="en-US" w:eastAsia="zh-CN" w:bidi="ar"/>
              </w:rPr>
              <w:t>学段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w w:val="100"/>
                <w:kern w:val="0"/>
                <w:sz w:val="16"/>
                <w:szCs w:val="16"/>
                <w:u w:val="none"/>
                <w:shd w:val="clear"/>
                <w:lang w:val="en-US" w:eastAsia="zh-CN" w:bidi="ar"/>
              </w:rPr>
              <w:t>规定以上学历专任教师数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w w:val="100"/>
                <w:kern w:val="0"/>
                <w:sz w:val="16"/>
                <w:szCs w:val="16"/>
                <w:u w:val="none"/>
                <w:shd w:val="clear"/>
                <w:lang w:val="en-US" w:eastAsia="zh-CN" w:bidi="ar"/>
              </w:rPr>
              <w:t>每百名学生拥有县级以上骨干教师数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w w:val="100"/>
                <w:kern w:val="0"/>
                <w:sz w:val="16"/>
                <w:szCs w:val="16"/>
                <w:u w:val="none"/>
                <w:shd w:val="clear"/>
                <w:lang w:val="en-US" w:eastAsia="zh-CN" w:bidi="ar"/>
              </w:rPr>
              <w:t>每百名学生拥有体育、艺术专任教师数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w w:val="100"/>
                <w:kern w:val="0"/>
                <w:sz w:val="16"/>
                <w:szCs w:val="16"/>
                <w:u w:val="none"/>
                <w:shd w:val="clear"/>
                <w:lang w:val="en-US" w:eastAsia="zh-CN" w:bidi="ar"/>
              </w:rPr>
              <w:t>生均教学及辅助用房面积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w w:val="100"/>
                <w:kern w:val="0"/>
                <w:sz w:val="16"/>
                <w:szCs w:val="16"/>
                <w:u w:val="none"/>
                <w:shd w:val="clear"/>
                <w:lang w:val="en-US" w:eastAsia="zh-CN" w:bidi="ar"/>
              </w:rPr>
              <w:t>生均体育运动场馆面积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w w:val="100"/>
                <w:kern w:val="0"/>
                <w:sz w:val="16"/>
                <w:szCs w:val="16"/>
                <w:u w:val="none"/>
                <w:shd w:val="clear"/>
                <w:lang w:val="en-US" w:eastAsia="zh-CN" w:bidi="ar"/>
              </w:rPr>
              <w:t>生均教学仪器设备值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w w:val="100"/>
                <w:kern w:val="0"/>
                <w:sz w:val="16"/>
                <w:szCs w:val="16"/>
                <w:u w:val="none"/>
                <w:shd w:val="clear"/>
                <w:lang w:val="en-US" w:eastAsia="zh-CN" w:bidi="ar"/>
              </w:rPr>
              <w:t>每百名学生拥有网络多媒体教室数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w w:val="100"/>
                <w:kern w:val="0"/>
                <w:sz w:val="18"/>
                <w:szCs w:val="18"/>
                <w:u w:val="none"/>
                <w:shd w:val="clear"/>
                <w:lang w:val="en-US" w:eastAsia="zh-CN" w:bidi="ar"/>
              </w:rPr>
              <w:t>综合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i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i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>小学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0.3035 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0.3384 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0.3370 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0.3599 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0.2574 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0.2414 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0.2949 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w w:val="100"/>
                <w:sz w:val="21"/>
                <w:szCs w:val="21"/>
                <w:u w:val="none"/>
                <w:shd w:val="clear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  <w:t xml:space="preserve">0.3046 </w:t>
            </w:r>
          </w:p>
        </w:tc>
      </w:tr>
    </w:tbl>
    <w:p>
      <w:pPr>
        <w:numPr>
          <w:ilvl w:val="0"/>
          <w:numId w:val="0"/>
        </w:numPr>
        <w:autoSpaceDE/>
        <w:autoSpaceDN/>
        <w:spacing w:before="0" w:after="0" w:line="240" w:lineRule="auto"/>
        <w:ind w:left="481" w:leftChars="0" w:right="0" w:rightChars="0" w:firstLine="321" w:firstLineChars="100"/>
        <w:jc w:val="both"/>
        <w:rPr>
          <w:rFonts w:hint="eastAsia" w:ascii="宋体" w:hAnsi="宋体"/>
          <w:b/>
          <w:color w:val="000000"/>
          <w:position w:val="0"/>
          <w:sz w:val="32"/>
          <w:szCs w:val="32"/>
          <w:lang w:eastAsia="zh-CN"/>
        </w:rPr>
      </w:pPr>
    </w:p>
    <w:p>
      <w:pPr>
        <w:numPr>
          <w:ilvl w:val="0"/>
          <w:numId w:val="2"/>
        </w:numPr>
        <w:autoSpaceDE/>
        <w:autoSpaceDN/>
        <w:spacing w:before="0" w:after="0" w:line="240" w:lineRule="auto"/>
        <w:ind w:leftChars="100" w:right="0" w:rightChars="0" w:firstLine="562" w:firstLineChars="200"/>
        <w:jc w:val="both"/>
        <w:rPr>
          <w:rFonts w:hint="default" w:ascii="仿宋_GB2312" w:hAnsi="仿宋_GB2312" w:eastAsia="仿宋_GB2312" w:cs="仿宋_GB2312"/>
          <w:b/>
          <w:color w:val="000000"/>
          <w:positio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position w:val="0"/>
          <w:sz w:val="28"/>
          <w:szCs w:val="28"/>
          <w:lang w:val="en-US" w:eastAsia="zh-CN"/>
        </w:rPr>
        <w:t>小学优质均衡七项指标数据</w:t>
      </w:r>
      <w:r>
        <w:rPr>
          <w:rFonts w:hint="default" w:ascii="仿宋_GB2312" w:hAnsi="仿宋_GB2312" w:eastAsia="仿宋_GB2312" w:cs="仿宋_GB2312"/>
          <w:b/>
          <w:color w:val="000000"/>
          <w:position w:val="0"/>
          <w:sz w:val="28"/>
          <w:szCs w:val="28"/>
          <w:lang w:val="en-US" w:eastAsia="zh-CN"/>
        </w:rPr>
        <w:t>统计分析</w:t>
      </w:r>
    </w:p>
    <w:tbl>
      <w:tblPr>
        <w:tblW w:w="103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3076"/>
        <w:gridCol w:w="965"/>
        <w:gridCol w:w="965"/>
        <w:gridCol w:w="1014"/>
        <w:gridCol w:w="965"/>
        <w:gridCol w:w="965"/>
        <w:gridCol w:w="1014"/>
        <w:gridCol w:w="10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序号</w:t>
            </w:r>
          </w:p>
        </w:tc>
        <w:tc>
          <w:tcPr>
            <w:tcW w:w="28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学校名称</w:t>
            </w:r>
          </w:p>
        </w:tc>
        <w:tc>
          <w:tcPr>
            <w:tcW w:w="71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40"/>
                <w:szCs w:val="40"/>
                <w:u w:val="none"/>
                <w:bdr w:val="none" w:color="auto" w:sz="0" w:space="0"/>
                <w:shd w:val="clear"/>
                <w:lang w:val="en-US" w:eastAsia="zh-CN" w:bidi="ar"/>
              </w:rPr>
              <w:t>分校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w w:val="100"/>
                <w:kern w:val="0"/>
                <w:sz w:val="40"/>
                <w:szCs w:val="40"/>
                <w:u w:val="none"/>
                <w:bdr w:val="none" w:color="auto" w:sz="0" w:space="0"/>
                <w:shd w:val="clear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40"/>
                <w:szCs w:val="40"/>
                <w:u w:val="none"/>
                <w:bdr w:val="none" w:color="auto" w:sz="0" w:space="0"/>
                <w:shd w:val="clear"/>
                <w:lang w:val="en-US" w:eastAsia="zh-CN" w:bidi="ar"/>
              </w:rPr>
              <w:t>项指标达标情况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3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小学大专及以上学历专任教师数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每百名学生拥有县级以上骨干教师数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每百名学生拥有体育、艺术专任教师数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教学及辅助用房面积（平方米）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体育运动场馆面积（平方米）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教学仪器设备值（元）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每百名学生拥有网络多媒体教室数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铜陵市春晓小学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4.73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7.58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2589.89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4.29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铜陵市天津路小学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4.41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1.33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3.90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8.28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2346.76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铜陵市瑞龙小学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5.68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1.46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9.23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10.33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2931.59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3.06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铜陵市翠湖小学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4.22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1.05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3.81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7.68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2127.55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铜陵市建安小学溪潭校区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4.56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8.98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2009.38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2.81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铜陵市人民小学蓝海校区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1.34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1.34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4.64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15.70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3860.40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3.36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铜陵师范学校附属第二小学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4.52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11.12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2248.90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2.52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铜陵市铜都小学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4.77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2.80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1.35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5.14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8.74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2000.00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铜陵市田家炳小学翠湖湾校区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6.38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2.13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5.21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14.89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2553.19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4.26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铜陵市金狮小学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7.07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2.02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1.52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8.80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10.40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3824.61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4.55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铜陵市开源小学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8.06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2.78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1.94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12.50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4293.31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铜陵市东山小学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4.24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1.59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0.80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7.54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8.28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2015.92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2.65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铜陵市龙山湖小学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1.69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5.63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15.41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2242.25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2.54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铜陵市柳园小学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6.41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1.83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1.37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9.03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6.41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2391.30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6.41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铜陵市西湖中心学校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2.60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5.43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10.17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4608.48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3.72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铜陵市新城小学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7.44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7.86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15.32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2851.64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2.84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铜陵市人民小学湖滨校区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4.83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15.29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2968.75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2.84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铜陵市建安小学滨江校区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10.98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2.44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2.44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12.29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10.37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2073.17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铜陵市爱国小学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4.24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1.31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5.19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9.65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2338.45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2.45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铜陵市淮河路小学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4.41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4.80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8.90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2475.91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2.32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铜陵师范学校附属小学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5.71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2122.59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2.66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铜陵市映湖小学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4.87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1.35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2.05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8.65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2099.38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2.38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铜陵市实验小学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1.60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1.01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5.51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7.72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2011.71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2.39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铜陵市横港小学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26.79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3.57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7.14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22.68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14.29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2857.14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8.93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铜陵市人民小学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4.96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4.47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2264.99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2.44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铜陵市田家炳小学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3.85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1.07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3.64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7.93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2010.81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2.34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铜陵市金山路小学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8.50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2.29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1.63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7.29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13.07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2031.05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4.90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铜陵市露采小学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7.24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2.63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5.05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10.59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2201.75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4.17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铜陵市北京路小学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4.68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1.52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0.87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3.79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11.87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2072.03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2.72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铜陵市建安小学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4.98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0.88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5.07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7.60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2589.74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2.83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铜陵市新苑小学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5.96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1.27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7.45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2005.54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2.79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铜陵市东方红小学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9.01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1.41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1.69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8.55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10.42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3196.77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4.79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铜陵市杨家山小学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6.61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1.42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1.12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4.79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9.04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2847.92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2.64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铜陵市金口岭小学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1.80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7.79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16.69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2986.83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4.79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铜陵市长江路小学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5.18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5.11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7.88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2638.54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2.96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铜陵市京师实验学校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7.17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6.69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10.46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3105.59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4.06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铜陵市第二十二中学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10.69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9.79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11.36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2911.75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3.42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铜陵市第七中学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7.94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1.74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1.49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11.32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14.69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3474.87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3.05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2"/>
                <w:szCs w:val="22"/>
                <w:u w:val="none"/>
                <w:bdr w:val="none" w:color="auto" w:sz="0" w:space="0"/>
                <w:shd w:val="clear"/>
                <w:lang w:val="en-US" w:eastAsia="zh-CN" w:bidi="ar"/>
              </w:rPr>
              <w:t>铜陵市外国语学校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5.23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1.36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0.91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5.00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10.25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3337.85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 xml:space="preserve">2.51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32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达标校数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38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38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32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不达标校数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32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总校数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32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标校占总校比例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97.44%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97.44%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100.00%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84.62%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92.31%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100.00%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w w:val="100"/>
                <w:kern w:val="0"/>
                <w:sz w:val="20"/>
                <w:szCs w:val="20"/>
                <w:u w:val="none"/>
                <w:bdr w:val="none" w:color="auto" w:sz="0" w:space="0"/>
                <w:shd w:val="clear"/>
                <w:lang w:val="en-US" w:eastAsia="zh-CN" w:bidi="ar"/>
              </w:rPr>
              <w:t>100.00%</w:t>
            </w:r>
          </w:p>
        </w:tc>
      </w:tr>
    </w:tbl>
    <w:p>
      <w:pPr>
        <w:numPr>
          <w:ilvl w:val="0"/>
          <w:numId w:val="0"/>
        </w:numPr>
        <w:autoSpaceDE/>
        <w:autoSpaceDN/>
        <w:spacing w:before="0" w:after="0" w:line="240" w:lineRule="auto"/>
        <w:ind w:leftChars="300" w:right="0" w:rightChars="0"/>
        <w:jc w:val="both"/>
        <w:rPr>
          <w:rFonts w:hint="default" w:ascii="仿宋_GB2312" w:hAnsi="仿宋_GB2312" w:eastAsia="仿宋_GB2312" w:cs="仿宋_GB2312"/>
          <w:b/>
          <w:color w:val="000000"/>
          <w:position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leftChars="300" w:right="0" w:rightChars="0"/>
        <w:jc w:val="both"/>
        <w:rPr>
          <w:rFonts w:hint="default" w:ascii="仿宋_GB2312" w:hAnsi="仿宋_GB2312" w:eastAsia="仿宋_GB2312" w:cs="仿宋_GB2312"/>
          <w:b/>
          <w:color w:val="000000"/>
          <w:position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leftChars="300" w:right="0" w:rightChars="0"/>
        <w:jc w:val="both"/>
        <w:rPr>
          <w:rFonts w:hint="default" w:ascii="仿宋_GB2312" w:hAnsi="仿宋_GB2312" w:eastAsia="仿宋_GB2312" w:cs="仿宋_GB2312"/>
          <w:b/>
          <w:color w:val="000000"/>
          <w:position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autoSpaceDE/>
        <w:autoSpaceDN/>
        <w:spacing w:before="0" w:after="0" w:line="240" w:lineRule="auto"/>
        <w:ind w:leftChars="300" w:right="0" w:rightChars="0"/>
        <w:jc w:val="both"/>
        <w:rPr>
          <w:rFonts w:hint="default" w:ascii="仿宋_GB2312" w:hAnsi="仿宋_GB2312" w:eastAsia="仿宋_GB2312" w:cs="仿宋_GB2312"/>
          <w:b/>
          <w:color w:val="000000"/>
          <w:position w:val="0"/>
          <w:sz w:val="28"/>
          <w:szCs w:val="28"/>
          <w:lang w:val="en-US" w:eastAsia="zh-CN"/>
        </w:rPr>
      </w:pPr>
    </w:p>
    <w:p>
      <w:pPr>
        <w:widowControl/>
        <w:numPr>
          <w:ilvl w:val="0"/>
          <w:numId w:val="0"/>
        </w:numPr>
        <w:wordWrap/>
        <w:autoSpaceDE/>
        <w:autoSpaceDN/>
        <w:spacing w:before="0" w:after="0" w:line="240" w:lineRule="auto"/>
        <w:ind w:right="0" w:rightChars="0"/>
        <w:jc w:val="both"/>
        <w:rPr>
          <w:rFonts w:hint="default" w:ascii="宋体" w:hAnsi="宋体"/>
          <w:color w:val="000000"/>
          <w:position w:val="0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128" w:right="1077" w:bottom="981" w:left="946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numPr>
        <w:ilvl w:val="0"/>
        <w:numId w:val="0"/>
      </w:numPr>
      <w:autoSpaceDE/>
      <w:autoSpaceDN/>
      <w:snapToGrid w:val="0"/>
      <w:spacing w:before="0" w:after="0" w:line="240" w:lineRule="auto"/>
      <w:ind w:right="0" w:firstLine="0"/>
      <w:jc w:val="center"/>
      <w:rPr>
        <w:rFonts w:hint="default" w:ascii="Calibri" w:hAnsi="宋体" w:eastAsia="宋体"/>
        <w:color w:val="auto"/>
        <w:position w:val="0"/>
        <w:sz w:val="18"/>
        <w:szCs w:val="18"/>
      </w:rPr>
    </w:pPr>
    <w:r>
      <w:rPr>
        <w:rFonts w:hint="default" w:ascii="Calibri" w:hAnsi="宋体" w:eastAsia="宋体"/>
        <w:color w:val="auto"/>
        <w:position w:val="0"/>
        <w:sz w:val="18"/>
        <w:szCs w:val="18"/>
      </w:rPr>
      <w:fldChar w:fldCharType="begin"/>
    </w:r>
    <w:r>
      <w:instrText xml:space="preserve">PAGE  \* MERGEFORMAT</w:instrText>
    </w:r>
    <w:r>
      <w:fldChar w:fldCharType="separate"/>
    </w:r>
    <w:r>
      <w:rPr>
        <w:rFonts w:hint="default" w:ascii="Calibri" w:hAnsi="宋体" w:eastAsia="宋体"/>
        <w:color w:val="auto"/>
        <w:position w:val="0"/>
        <w:sz w:val="18"/>
        <w:szCs w:val="18"/>
      </w:rPr>
      <w:t>4</w:t>
    </w:r>
    <w:r>
      <w:rPr>
        <w:rFonts w:hint="default" w:ascii="Calibri" w:hAnsi="宋体" w:eastAsia="宋体"/>
        <w:color w:val="auto"/>
        <w:position w:val="0"/>
        <w:sz w:val="18"/>
        <w:szCs w:val="18"/>
      </w:rPr>
      <w:fldChar w:fldCharType="end"/>
    </w:r>
  </w:p>
  <w:p>
    <w:pPr>
      <w:pStyle w:val="2"/>
      <w:numPr>
        <w:ilvl w:val="0"/>
        <w:numId w:val="0"/>
      </w:numPr>
      <w:autoSpaceDE/>
      <w:autoSpaceDN/>
      <w:snapToGrid w:val="0"/>
      <w:spacing w:before="0" w:after="0" w:line="240" w:lineRule="auto"/>
      <w:ind w:right="0" w:firstLine="0"/>
      <w:jc w:val="left"/>
      <w:rPr>
        <w:rFonts w:hint="default" w:ascii="Calibri" w:hAnsi="宋体" w:eastAsia="宋体"/>
        <w:color w:val="auto"/>
        <w:position w:val="0"/>
        <w:sz w:val="18"/>
        <w:szCs w:val="18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CE632E"/>
    <w:multiLevelType w:val="singleLevel"/>
    <w:tmpl w:val="FFCE632E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abstractNum w:abstractNumId="1">
    <w:nsid w:val="3A2E7C38"/>
    <w:multiLevelType w:val="singleLevel"/>
    <w:tmpl w:val="3A2E7C38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jODM1ZTZlMWE3YzFmMGI2OGViNzk5MDg2NTZhMmQifQ=="/>
  </w:docVars>
  <w:rsids>
    <w:rsidRoot w:val="540703C1"/>
    <w:rsid w:val="002B34E4"/>
    <w:rsid w:val="020730FD"/>
    <w:rsid w:val="02A574AF"/>
    <w:rsid w:val="0A6D2788"/>
    <w:rsid w:val="0B954FE0"/>
    <w:rsid w:val="0C51788B"/>
    <w:rsid w:val="0CE57C6B"/>
    <w:rsid w:val="106D7E10"/>
    <w:rsid w:val="12FE3DE1"/>
    <w:rsid w:val="17824971"/>
    <w:rsid w:val="18DD4C17"/>
    <w:rsid w:val="1AEF1E1C"/>
    <w:rsid w:val="1B3D2F6D"/>
    <w:rsid w:val="1D2049B3"/>
    <w:rsid w:val="1D3650CA"/>
    <w:rsid w:val="1D683546"/>
    <w:rsid w:val="218F5C8B"/>
    <w:rsid w:val="2368313A"/>
    <w:rsid w:val="23D21084"/>
    <w:rsid w:val="24F33BF0"/>
    <w:rsid w:val="25445B77"/>
    <w:rsid w:val="262211F1"/>
    <w:rsid w:val="2A1B34DC"/>
    <w:rsid w:val="2EE01722"/>
    <w:rsid w:val="31445754"/>
    <w:rsid w:val="34441B7A"/>
    <w:rsid w:val="384A6922"/>
    <w:rsid w:val="3A5D1560"/>
    <w:rsid w:val="43211A8F"/>
    <w:rsid w:val="44B50A16"/>
    <w:rsid w:val="45B105D6"/>
    <w:rsid w:val="477B355F"/>
    <w:rsid w:val="487B7D1B"/>
    <w:rsid w:val="48DB46B3"/>
    <w:rsid w:val="491B6D20"/>
    <w:rsid w:val="4D8F6628"/>
    <w:rsid w:val="4F5626D5"/>
    <w:rsid w:val="4FB153E0"/>
    <w:rsid w:val="533B2B8D"/>
    <w:rsid w:val="53B44DA6"/>
    <w:rsid w:val="540703C1"/>
    <w:rsid w:val="570A21E1"/>
    <w:rsid w:val="58973239"/>
    <w:rsid w:val="58A2357B"/>
    <w:rsid w:val="5D2259EA"/>
    <w:rsid w:val="603242FA"/>
    <w:rsid w:val="63A16926"/>
    <w:rsid w:val="67260E8A"/>
    <w:rsid w:val="68CB2AD4"/>
    <w:rsid w:val="6C963200"/>
    <w:rsid w:val="6E267A4E"/>
    <w:rsid w:val="6F67421B"/>
    <w:rsid w:val="76DB0CBC"/>
    <w:rsid w:val="77C70728"/>
    <w:rsid w:val="796E0D5A"/>
    <w:rsid w:val="7C970D53"/>
    <w:rsid w:val="7D0A483C"/>
    <w:rsid w:val="7F80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152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/>
      <w:wordWrap/>
      <w:autoSpaceDE/>
      <w:autoSpaceDN/>
      <w:jc w:val="both"/>
    </w:pPr>
    <w:rPr>
      <w:rFonts w:ascii="Calibri" w:hAnsi="Calibri" w:eastAsia="宋体" w:cstheme="minorBidi"/>
      <w:w w:val="100"/>
      <w:sz w:val="21"/>
      <w:szCs w:val="21"/>
      <w:shd w:val="cle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152"/>
    <w:pPr>
      <w:widowControl/>
      <w:tabs>
        <w:tab w:val="center" w:pos="4153"/>
        <w:tab w:val="right" w:pos="8306"/>
      </w:tabs>
      <w:wordWrap/>
      <w:autoSpaceDE/>
      <w:autoSpaceDN/>
    </w:pPr>
    <w:rPr>
      <w:w w:val="100"/>
      <w:sz w:val="18"/>
      <w:szCs w:val="18"/>
      <w:shd w:val="clear"/>
    </w:rPr>
  </w:style>
  <w:style w:type="character" w:customStyle="1" w:styleId="5">
    <w:name w:val="font21"/>
    <w:basedOn w:val="4"/>
    <w:qFormat/>
    <w:uiPriority w:val="0"/>
    <w:rPr>
      <w:rFonts w:ascii="Arial" w:hAnsi="Arial" w:cs="Arial"/>
      <w:color w:val="000000"/>
      <w:sz w:val="40"/>
      <w:szCs w:val="40"/>
      <w:u w:val="none"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color w:val="000000"/>
      <w:sz w:val="40"/>
      <w:szCs w:val="40"/>
      <w:u w:val="none"/>
    </w:rPr>
  </w:style>
  <w:style w:type="character" w:customStyle="1" w:styleId="7">
    <w:name w:val="font41"/>
    <w:basedOn w:val="4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customStyle="1" w:styleId="8">
    <w:name w:val="font11"/>
    <w:basedOn w:val="4"/>
    <w:qFormat/>
    <w:uiPriority w:val="0"/>
    <w:rPr>
      <w:rFonts w:ascii="Arial" w:hAnsi="Arial" w:cs="Arial"/>
      <w:color w:val="000000"/>
      <w:sz w:val="40"/>
      <w:szCs w:val="40"/>
      <w:u w:val="none"/>
    </w:rPr>
  </w:style>
  <w:style w:type="character" w:customStyle="1" w:styleId="9">
    <w:name w:val="font51"/>
    <w:basedOn w:val="4"/>
    <w:qFormat/>
    <w:uiPriority w:val="0"/>
    <w:rPr>
      <w:rFonts w:hint="eastAsia" w:ascii="宋体" w:hAnsi="宋体" w:eastAsia="宋体" w:cs="宋体"/>
      <w:color w:val="000000"/>
      <w:sz w:val="40"/>
      <w:szCs w:val="40"/>
      <w:u w:val="none"/>
    </w:rPr>
  </w:style>
  <w:style w:type="character" w:customStyle="1" w:styleId="10">
    <w:name w:val="font71"/>
    <w:basedOn w:val="4"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1378</Words>
  <Characters>2549</Characters>
  <Lines>0</Lines>
  <Paragraphs>0</Paragraphs>
  <TotalTime>1</TotalTime>
  <ScaleCrop>false</ScaleCrop>
  <LinksUpToDate>false</LinksUpToDate>
  <CharactersWithSpaces>2841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2019-07-08T12:42:00Z</dcterms:created>
  <dc:creator>阿锋</dc:creator>
  <cp:lastModifiedBy>阿锋</cp:lastModifiedBy>
  <cp:lastPrinted>2019-07-09T01:58:00Z</cp:lastPrinted>
  <dcterms:modified xsi:type="dcterms:W3CDTF">2022-11-17T14:58:18Z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F0382AB2F3C84BB5B6DB4B323B820DD4</vt:lpwstr>
  </property>
</Properties>
</file>