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48"/>
          <w:szCs w:val="48"/>
        </w:rPr>
      </w:pP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48"/>
          <w:szCs w:val="48"/>
        </w:rPr>
      </w:pP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48"/>
          <w:szCs w:val="48"/>
        </w:rPr>
      </w:pP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48"/>
          <w:szCs w:val="48"/>
        </w:rPr>
      </w:pP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48"/>
          <w:szCs w:val="48"/>
        </w:rPr>
      </w:pP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48"/>
          <w:szCs w:val="48"/>
        </w:rPr>
      </w:pPr>
    </w:p>
    <w:p>
      <w:pPr>
        <w:spacing w:before="0" w:beforeAutospacing="0" w:after="0" w:afterAutospacing="0"/>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区卫2022[45]号</w:t>
      </w: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ajorEastAsia" w:hAnsiTheme="majorEastAsia" w:eastAsiaTheme="majorEastAsia" w:cstheme="majorEastAsia"/>
          <w:b/>
          <w:bCs/>
          <w:color w:val="000000"/>
          <w:spacing w:val="2"/>
          <w:sz w:val="36"/>
          <w:szCs w:val="36"/>
        </w:rPr>
      </w:pPr>
    </w:p>
    <w:p>
      <w:pPr>
        <w:keepNext w:val="0"/>
        <w:keepLines w:val="0"/>
        <w:pageBreakBefore w:val="0"/>
        <w:widowControl w:val="0"/>
        <w:kinsoku/>
        <w:wordWrap/>
        <w:overflowPunct/>
        <w:topLinePunct w:val="0"/>
        <w:autoSpaceDE w:val="0"/>
        <w:autoSpaceDN w:val="0"/>
        <w:bidi w:val="0"/>
        <w:adjustRightInd/>
        <w:snapToGrid/>
        <w:spacing w:before="0" w:after="0" w:line="679" w:lineRule="exact"/>
        <w:ind w:left="0" w:right="0" w:firstLine="0"/>
        <w:jc w:val="center"/>
        <w:textAlignment w:val="auto"/>
        <w:outlineLvl w:val="9"/>
        <w:rPr>
          <w:rFonts w:hint="eastAsia" w:asciiTheme="minorEastAsia" w:hAnsiTheme="minorEastAsia" w:eastAsiaTheme="minorEastAsia" w:cstheme="minorEastAsia"/>
          <w:b/>
          <w:bCs/>
          <w:color w:val="000000"/>
          <w:spacing w:val="0"/>
          <w:sz w:val="48"/>
          <w:szCs w:val="48"/>
        </w:rPr>
      </w:pPr>
      <w:r>
        <w:rPr>
          <w:rFonts w:hint="eastAsia" w:asciiTheme="majorEastAsia" w:hAnsiTheme="majorEastAsia" w:eastAsiaTheme="majorEastAsia" w:cstheme="majorEastAsia"/>
          <w:b/>
          <w:bCs/>
          <w:color w:val="000000"/>
          <w:spacing w:val="2"/>
          <w:sz w:val="48"/>
          <w:szCs w:val="48"/>
        </w:rPr>
        <w:t>关于印发《</w:t>
      </w:r>
      <w:r>
        <w:rPr>
          <w:rFonts w:hint="eastAsia" w:asciiTheme="majorEastAsia" w:hAnsiTheme="majorEastAsia" w:eastAsiaTheme="majorEastAsia" w:cstheme="majorEastAsia"/>
          <w:b/>
          <w:bCs/>
          <w:color w:val="000000"/>
          <w:spacing w:val="0"/>
          <w:sz w:val="48"/>
          <w:szCs w:val="48"/>
          <w:lang w:val="en-US" w:eastAsia="zh-CN"/>
        </w:rPr>
        <w:t>2</w:t>
      </w:r>
      <w:r>
        <w:rPr>
          <w:rFonts w:hint="eastAsia" w:asciiTheme="majorEastAsia" w:hAnsiTheme="majorEastAsia" w:eastAsiaTheme="majorEastAsia" w:cstheme="majorEastAsia"/>
          <w:b/>
          <w:bCs/>
          <w:color w:val="000000"/>
          <w:spacing w:val="2"/>
          <w:sz w:val="48"/>
          <w:szCs w:val="48"/>
        </w:rPr>
        <w:t>02</w:t>
      </w:r>
      <w:r>
        <w:rPr>
          <w:rFonts w:hint="eastAsia" w:asciiTheme="majorEastAsia" w:hAnsiTheme="majorEastAsia" w:eastAsiaTheme="majorEastAsia" w:cstheme="majorEastAsia"/>
          <w:b/>
          <w:bCs/>
          <w:color w:val="000000"/>
          <w:spacing w:val="2"/>
          <w:sz w:val="48"/>
          <w:szCs w:val="48"/>
          <w:lang w:val="en-US" w:eastAsia="zh-CN"/>
        </w:rPr>
        <w:t>2</w:t>
      </w:r>
      <w:r>
        <w:rPr>
          <w:rFonts w:hint="eastAsia" w:asciiTheme="majorEastAsia" w:hAnsiTheme="majorEastAsia" w:eastAsiaTheme="majorEastAsia" w:cstheme="majorEastAsia"/>
          <w:b/>
          <w:bCs/>
          <w:color w:val="000000"/>
          <w:spacing w:val="2"/>
          <w:sz w:val="48"/>
          <w:szCs w:val="48"/>
        </w:rPr>
        <w:t>年铜官区脑卒中高危人群筛查与干预项目实施方案》的通知</w:t>
      </w:r>
    </w:p>
    <w:p>
      <w:pPr>
        <w:spacing w:after="0" w:afterAutospacing="0"/>
        <w:rPr>
          <w:rFonts w:hint="eastAsia" w:ascii="仿宋" w:hAnsi="仿宋" w:eastAsia="仿宋" w:cs="仿宋"/>
          <w:sz w:val="30"/>
          <w:szCs w:val="30"/>
        </w:rPr>
      </w:pPr>
    </w:p>
    <w:p>
      <w:pPr>
        <w:spacing w:before="0" w:beforeAutospacing="0" w:after="0" w:afterAutospacing="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各有关单位</w:t>
      </w:r>
    </w:p>
    <w:p>
      <w:pPr>
        <w:spacing w:before="0" w:beforeAutospacing="0" w:after="0" w:afterAutospacing="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    为进一步推广脑卒中高危人群筛查和干预适宜技术，探</w:t>
      </w:r>
    </w:p>
    <w:p>
      <w:pPr>
        <w:spacing w:before="0" w:beforeAutospacing="0" w:after="0" w:afterAutospacing="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索建立脑卒中防治工作体系和长效机制，结合我区实际，区</w:t>
      </w:r>
    </w:p>
    <w:p>
      <w:pPr>
        <w:spacing w:before="0" w:beforeAutospacing="0" w:after="0" w:afterAutospacing="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卫健委制定了《2022年铜官区脑卒中高危人群筛查和干预项目实施方案》，现印发给你们，请认真组织实施。</w:t>
      </w:r>
    </w:p>
    <w:p>
      <w:pPr>
        <w:spacing w:before="0" w:beforeAutospacing="0" w:after="0" w:afterAutospacing="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    </w:t>
      </w:r>
    </w:p>
    <w:p>
      <w:pPr>
        <w:spacing w:before="0" w:beforeAutospacing="0" w:after="0" w:afterAutospacing="0"/>
        <w:rPr>
          <w:rFonts w:hint="eastAsia" w:ascii="仿宋" w:hAnsi="仿宋" w:eastAsia="仿宋" w:cs="仿宋"/>
          <w:sz w:val="30"/>
          <w:szCs w:val="30"/>
          <w:lang w:val="en-US" w:eastAsia="zh-CN"/>
        </w:rPr>
      </w:pPr>
    </w:p>
    <w:p>
      <w:pPr>
        <w:spacing w:before="0" w:beforeAutospacing="0" w:after="0" w:afterAutospacing="0"/>
        <w:rPr>
          <w:rFonts w:hint="eastAsia" w:ascii="仿宋" w:hAnsi="仿宋" w:eastAsia="仿宋" w:cs="仿宋"/>
          <w:sz w:val="30"/>
          <w:szCs w:val="30"/>
          <w:lang w:val="en-US" w:eastAsia="zh-CN"/>
        </w:rPr>
      </w:pPr>
    </w:p>
    <w:p>
      <w:pPr>
        <w:spacing w:before="0" w:beforeAutospacing="0" w:after="0" w:afterAutospacing="0"/>
        <w:jc w:val="right"/>
        <w:rPr>
          <w:rFonts w:hint="eastAsia" w:ascii="仿宋" w:hAnsi="仿宋" w:eastAsia="仿宋" w:cs="仿宋"/>
          <w:sz w:val="30"/>
          <w:szCs w:val="30"/>
          <w:lang w:val="en-US" w:eastAsia="zh-CN"/>
        </w:rPr>
      </w:pPr>
    </w:p>
    <w:p>
      <w:pPr>
        <w:spacing w:before="0" w:beforeAutospacing="0" w:after="0" w:afterAutospacing="0"/>
        <w:jc w:val="righ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2022年7月4日</w:t>
      </w:r>
    </w:p>
    <w:p>
      <w:pPr>
        <w:keepNext w:val="0"/>
        <w:keepLines w:val="0"/>
        <w:pageBreakBefore w:val="0"/>
        <w:widowControl w:val="0"/>
        <w:kinsoku/>
        <w:wordWrap/>
        <w:overflowPunct/>
        <w:topLinePunct w:val="0"/>
        <w:autoSpaceDE w:val="0"/>
        <w:autoSpaceDN w:val="0"/>
        <w:bidi w:val="0"/>
        <w:adjustRightInd/>
        <w:snapToGrid/>
        <w:spacing w:before="0" w:after="0" w:line="540" w:lineRule="exact"/>
        <w:ind w:left="0" w:right="0" w:firstLine="0"/>
        <w:jc w:val="left"/>
        <w:textAlignment w:val="auto"/>
        <w:rPr>
          <w:rFonts w:hint="eastAsia" w:asciiTheme="majorEastAsia" w:hAnsiTheme="majorEastAsia" w:eastAsiaTheme="majorEastAsia" w:cstheme="majorEastAsia"/>
          <w:b/>
          <w:bCs/>
          <w:color w:val="000000"/>
          <w:spacing w:val="0"/>
          <w:sz w:val="48"/>
          <w:szCs w:val="48"/>
        </w:rPr>
      </w:pPr>
      <w:r>
        <w:rPr>
          <w:rFonts w:hint="eastAsia" w:ascii="仿宋" w:hAnsi="仿宋" w:eastAsia="仿宋" w:cs="仿宋"/>
          <w:sz w:val="30"/>
          <w:szCs w:val="30"/>
          <w:lang w:val="en-US" w:eastAsia="zh-CN"/>
        </w:rPr>
        <w:t xml:space="preserve">    </w:t>
      </w:r>
      <w:r>
        <w:rPr>
          <w:rFonts w:hint="eastAsia" w:asciiTheme="majorEastAsia" w:hAnsiTheme="majorEastAsia" w:eastAsiaTheme="majorEastAsia" w:cstheme="majorEastAsia"/>
          <w:b/>
          <w:bCs/>
          <w:color w:val="000000"/>
          <w:spacing w:val="2"/>
          <w:sz w:val="48"/>
          <w:szCs w:val="48"/>
        </w:rPr>
        <w:t>202</w:t>
      </w:r>
      <w:r>
        <w:rPr>
          <w:rFonts w:hint="eastAsia" w:asciiTheme="majorEastAsia" w:hAnsiTheme="majorEastAsia" w:eastAsiaTheme="majorEastAsia" w:cstheme="majorEastAsia"/>
          <w:b/>
          <w:bCs/>
          <w:color w:val="000000"/>
          <w:spacing w:val="2"/>
          <w:sz w:val="48"/>
          <w:szCs w:val="48"/>
          <w:lang w:val="en-US" w:eastAsia="zh-CN"/>
        </w:rPr>
        <w:t>2</w:t>
      </w:r>
      <w:r>
        <w:rPr>
          <w:rFonts w:hint="eastAsia" w:asciiTheme="majorEastAsia" w:hAnsiTheme="majorEastAsia" w:eastAsiaTheme="majorEastAsia" w:cstheme="majorEastAsia"/>
          <w:b/>
          <w:bCs/>
          <w:color w:val="000000"/>
          <w:spacing w:val="2"/>
          <w:sz w:val="48"/>
          <w:szCs w:val="48"/>
        </w:rPr>
        <w:t>年铜官区脑卒中高危人群筛查</w:t>
      </w:r>
    </w:p>
    <w:p>
      <w:pPr>
        <w:keepNext w:val="0"/>
        <w:keepLines w:val="0"/>
        <w:pageBreakBefore w:val="0"/>
        <w:widowControl w:val="0"/>
        <w:kinsoku/>
        <w:wordWrap/>
        <w:overflowPunct/>
        <w:topLinePunct w:val="0"/>
        <w:autoSpaceDE w:val="0"/>
        <w:autoSpaceDN w:val="0"/>
        <w:bidi w:val="0"/>
        <w:adjustRightInd/>
        <w:snapToGrid/>
        <w:spacing w:before="123" w:after="0" w:line="540" w:lineRule="exact"/>
        <w:ind w:right="0" w:firstLine="1944" w:firstLineChars="400"/>
        <w:jc w:val="both"/>
        <w:textAlignment w:val="auto"/>
        <w:outlineLvl w:val="9"/>
        <w:rPr>
          <w:rFonts w:hint="eastAsia" w:asciiTheme="majorEastAsia" w:hAnsiTheme="majorEastAsia" w:eastAsiaTheme="majorEastAsia" w:cstheme="majorEastAsia"/>
          <w:b/>
          <w:bCs/>
          <w:color w:val="000000"/>
          <w:spacing w:val="2"/>
          <w:sz w:val="48"/>
          <w:szCs w:val="48"/>
        </w:rPr>
      </w:pPr>
      <w:r>
        <w:rPr>
          <w:rFonts w:hint="eastAsia" w:asciiTheme="majorEastAsia" w:hAnsiTheme="majorEastAsia" w:eastAsiaTheme="majorEastAsia" w:cstheme="majorEastAsia"/>
          <w:b/>
          <w:bCs/>
          <w:color w:val="000000"/>
          <w:spacing w:val="2"/>
          <w:sz w:val="48"/>
          <w:szCs w:val="48"/>
        </w:rPr>
        <w:t>和干预项目工作方案</w:t>
      </w:r>
    </w:p>
    <w:p>
      <w:pPr>
        <w:widowControl w:val="0"/>
        <w:autoSpaceDE w:val="0"/>
        <w:autoSpaceDN w:val="0"/>
        <w:spacing w:before="123" w:after="0" w:line="439" w:lineRule="exact"/>
        <w:ind w:left="1433" w:right="0" w:firstLine="0"/>
        <w:jc w:val="center"/>
        <w:rPr>
          <w:rFonts w:ascii="宋体" w:hAnsi="宋体" w:cs="宋体"/>
          <w:color w:val="000000"/>
          <w:spacing w:val="2"/>
          <w:sz w:val="44"/>
        </w:rPr>
      </w:pPr>
    </w:p>
    <w:p>
      <w:pPr>
        <w:keepNext w:val="0"/>
        <w:keepLines w:val="0"/>
        <w:pageBreakBefore w:val="0"/>
        <w:widowControl w:val="0"/>
        <w:kinsoku/>
        <w:wordWrap/>
        <w:overflowPunct/>
        <w:topLinePunct w:val="0"/>
        <w:autoSpaceDE w:val="0"/>
        <w:autoSpaceDN w:val="0"/>
        <w:bidi w:val="0"/>
        <w:adjustRightInd/>
        <w:snapToGrid/>
        <w:spacing w:before="0" w:after="0" w:afterAutospacing="0" w:line="360" w:lineRule="auto"/>
        <w:ind w:right="0" w:firstLine="647" w:firstLineChars="200"/>
        <w:jc w:val="left"/>
        <w:textAlignment w:val="auto"/>
        <w:outlineLvl w:val="9"/>
        <w:rPr>
          <w:rFonts w:hint="eastAsia" w:ascii="黑体" w:hAnsi="黑体" w:eastAsia="黑体" w:cs="黑体"/>
          <w:b/>
          <w:bCs/>
          <w:color w:val="000000"/>
          <w:spacing w:val="0"/>
          <w:sz w:val="32"/>
        </w:rPr>
      </w:pPr>
      <w:r>
        <w:rPr>
          <w:rFonts w:hint="eastAsia" w:ascii="黑体" w:hAnsi="黑体" w:eastAsia="黑体" w:cs="黑体"/>
          <w:b/>
          <w:bCs/>
          <w:color w:val="000000"/>
          <w:spacing w:val="1"/>
          <w:sz w:val="32"/>
        </w:rPr>
        <w:t>一、目标与任务</w:t>
      </w:r>
    </w:p>
    <w:p>
      <w:pPr>
        <w:keepNext w:val="0"/>
        <w:keepLines w:val="0"/>
        <w:pageBreakBefore w:val="0"/>
        <w:kinsoku/>
        <w:wordWrap/>
        <w:overflowPunct/>
        <w:topLinePunct w:val="0"/>
        <w:bidi w:val="0"/>
        <w:adjustRightInd/>
        <w:snapToGrid/>
        <w:spacing w:before="0" w:beforeAutospacing="0" w:after="0" w:afterAutospacing="0" w:line="360" w:lineRule="auto"/>
        <w:ind w:firstLine="643" w:firstLineChars="200"/>
        <w:textAlignment w:val="auto"/>
        <w:outlineLvl w:val="9"/>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（一）项目目标</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践行脑卒中防治策略，推广普及脑卒中高危人群防治适</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宜技术，提高脑卒中知晓率、治疗率和控制率，推动脑卒中</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防治工作由疾病治疗向健康管理转变。完善脑卒中防治长效</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工作机制，构建防治结合的工作体系。逐步降低脑卒中发病</w:t>
      </w:r>
    </w:p>
    <w:p>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color w:val="000000"/>
          <w:spacing w:val="0"/>
          <w:sz w:val="32"/>
        </w:rPr>
      </w:pPr>
      <w:r>
        <w:rPr>
          <w:rFonts w:hint="eastAsia" w:ascii="仿宋" w:hAnsi="仿宋" w:eastAsia="仿宋" w:cs="仿宋"/>
          <w:sz w:val="32"/>
          <w:szCs w:val="32"/>
          <w:lang w:val="en-US" w:eastAsia="zh-CN"/>
        </w:rPr>
        <w:t>率增长速度，保护健康劳动力，减轻家庭和社会的负担。</w:t>
      </w:r>
    </w:p>
    <w:p>
      <w:pPr>
        <w:keepNext w:val="0"/>
        <w:keepLines w:val="0"/>
        <w:pageBreakBefore w:val="0"/>
        <w:kinsoku/>
        <w:wordWrap/>
        <w:overflowPunct/>
        <w:topLinePunct w:val="0"/>
        <w:bidi w:val="0"/>
        <w:adjustRightInd/>
        <w:snapToGrid/>
        <w:spacing w:after="0" w:afterAutospacing="0" w:line="360" w:lineRule="auto"/>
        <w:ind w:firstLine="643" w:firstLineChars="200"/>
        <w:textAlignment w:val="auto"/>
        <w:outlineLvl w:val="9"/>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（二）项目点的选取及任务</w:t>
      </w:r>
    </w:p>
    <w:p>
      <w:pPr>
        <w:keepNext w:val="0"/>
        <w:keepLines w:val="0"/>
        <w:pageBreakBefore w:val="0"/>
        <w:kinsoku/>
        <w:wordWrap/>
        <w:overflowPunct/>
        <w:topLinePunct w:val="0"/>
        <w:bidi w:val="0"/>
        <w:adjustRightInd/>
        <w:snapToGrid/>
        <w:spacing w:before="0" w:beforeAutospacing="0" w:after="0" w:afterAutospacing="0"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我区确定阳光社区卫生服务中心为项目点，市人民医院为基地医院。完成脑卒中高危人群筛查和综合干预共6000例。针对阳光社区（院外），完成40岁及以上常住居民随访综合干预任务4000例；针对市人民医院住院人群，完成脑卒中高危人群院内综合干预任务2000例。</w:t>
      </w:r>
    </w:p>
    <w:p>
      <w:pPr>
        <w:keepNext w:val="0"/>
        <w:keepLines w:val="0"/>
        <w:pageBreakBefore w:val="0"/>
        <w:widowControl w:val="0"/>
        <w:numPr>
          <w:ilvl w:val="0"/>
          <w:numId w:val="1"/>
        </w:numPr>
        <w:kinsoku/>
        <w:wordWrap/>
        <w:overflowPunct/>
        <w:topLinePunct w:val="0"/>
        <w:autoSpaceDE w:val="0"/>
        <w:autoSpaceDN w:val="0"/>
        <w:bidi w:val="0"/>
        <w:adjustRightInd/>
        <w:snapToGrid/>
        <w:spacing w:before="0" w:after="0" w:line="360" w:lineRule="auto"/>
        <w:ind w:right="0" w:firstLine="647" w:firstLineChars="200"/>
        <w:jc w:val="left"/>
        <w:textAlignment w:val="auto"/>
        <w:outlineLvl w:val="9"/>
        <w:rPr>
          <w:rFonts w:hint="eastAsia" w:ascii="黑体" w:hAnsi="黑体" w:eastAsia="黑体" w:cs="黑体"/>
          <w:b/>
          <w:bCs/>
          <w:color w:val="000000"/>
          <w:spacing w:val="1"/>
          <w:sz w:val="32"/>
          <w:lang w:val="en-US" w:eastAsia="zh-CN"/>
        </w:rPr>
      </w:pPr>
      <w:r>
        <w:rPr>
          <w:rFonts w:hint="eastAsia" w:ascii="黑体" w:hAnsi="黑体" w:eastAsia="黑体" w:cs="黑体"/>
          <w:b/>
          <w:bCs/>
          <w:color w:val="000000"/>
          <w:spacing w:val="1"/>
          <w:sz w:val="32"/>
          <w:lang w:val="en-US" w:eastAsia="zh-CN"/>
        </w:rPr>
        <w:t>组织实施及分工</w:t>
      </w:r>
    </w:p>
    <w:p>
      <w:pPr>
        <w:keepNext w:val="0"/>
        <w:keepLines w:val="0"/>
        <w:pageBreakBefore w:val="0"/>
        <w:widowControl w:val="0"/>
        <w:kinsoku/>
        <w:wordWrap/>
        <w:overflowPunct/>
        <w:topLinePunct w:val="0"/>
        <w:autoSpaceDE w:val="0"/>
        <w:autoSpaceDN w:val="0"/>
        <w:bidi w:val="0"/>
        <w:adjustRightInd/>
        <w:snapToGrid/>
        <w:spacing w:before="0" w:beforeAutospacing="0" w:after="0" w:line="360" w:lineRule="auto"/>
        <w:ind w:left="0" w:right="0" w:firstLine="639" w:firstLineChars="2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b/>
          <w:bCs/>
          <w:color w:val="000000"/>
          <w:spacing w:val="-1"/>
          <w:sz w:val="32"/>
          <w:lang w:val="en-US" w:eastAsia="zh-CN"/>
        </w:rPr>
        <w:t>区卫健委：</w:t>
      </w:r>
      <w:r>
        <w:rPr>
          <w:rFonts w:hint="eastAsia" w:ascii="仿宋" w:hAnsi="仿宋" w:eastAsia="仿宋" w:cs="仿宋"/>
          <w:sz w:val="32"/>
          <w:szCs w:val="32"/>
          <w:lang w:val="en-US" w:eastAsia="zh-CN"/>
        </w:rPr>
        <w:t>负责项目工作的整体组织协调和监督管理，组织疾控机构、基地医院及基层医疗机构共同开展脑卒中高危人群筛查和干预工作。</w:t>
      </w:r>
    </w:p>
    <w:p>
      <w:pPr>
        <w:keepNext w:val="0"/>
        <w:keepLines w:val="0"/>
        <w:pageBreakBefore w:val="0"/>
        <w:widowControl w:val="0"/>
        <w:kinsoku/>
        <w:wordWrap/>
        <w:overflowPunct/>
        <w:topLinePunct w:val="0"/>
        <w:autoSpaceDE w:val="0"/>
        <w:autoSpaceDN w:val="0"/>
        <w:bidi w:val="0"/>
        <w:adjustRightInd/>
        <w:snapToGrid/>
        <w:spacing w:before="0" w:beforeAutospacing="0" w:after="0" w:line="360" w:lineRule="auto"/>
        <w:ind w:left="0" w:right="0" w:firstLine="639" w:firstLineChars="2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b/>
          <w:bCs/>
          <w:color w:val="000000"/>
          <w:spacing w:val="-1"/>
          <w:sz w:val="32"/>
          <w:lang w:val="en-US" w:eastAsia="zh-CN"/>
        </w:rPr>
        <w:t>市/区疾控中心：</w:t>
      </w:r>
      <w:r>
        <w:rPr>
          <w:rFonts w:hint="eastAsia" w:ascii="仿宋" w:hAnsi="仿宋" w:eastAsia="仿宋" w:cs="仿宋"/>
          <w:sz w:val="32"/>
          <w:szCs w:val="32"/>
          <w:lang w:val="en-US" w:eastAsia="zh-CN"/>
        </w:rPr>
        <w:t>负责项目的技术管理，督导项目执行进度，开展项目评估、总结。</w:t>
      </w:r>
    </w:p>
    <w:p>
      <w:pPr>
        <w:keepNext w:val="0"/>
        <w:keepLines w:val="0"/>
        <w:pageBreakBefore w:val="0"/>
        <w:widowControl w:val="0"/>
        <w:kinsoku/>
        <w:wordWrap/>
        <w:overflowPunct/>
        <w:topLinePunct w:val="0"/>
        <w:autoSpaceDE w:val="0"/>
        <w:autoSpaceDN w:val="0"/>
        <w:bidi w:val="0"/>
        <w:adjustRightInd/>
        <w:snapToGrid/>
        <w:spacing w:before="0" w:beforeAutospacing="0" w:after="0" w:line="360" w:lineRule="auto"/>
        <w:ind w:left="0" w:right="0" w:firstLine="639" w:firstLineChars="2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b/>
          <w:bCs/>
          <w:color w:val="000000"/>
          <w:spacing w:val="-1"/>
          <w:sz w:val="32"/>
          <w:lang w:val="en-US" w:eastAsia="zh-CN"/>
        </w:rPr>
        <w:t>市人民医院：</w:t>
      </w:r>
      <w:r>
        <w:rPr>
          <w:rFonts w:hint="eastAsia" w:ascii="仿宋" w:hAnsi="仿宋" w:eastAsia="仿宋" w:cs="仿宋"/>
          <w:sz w:val="32"/>
          <w:szCs w:val="32"/>
          <w:lang w:val="en-US" w:eastAsia="zh-CN"/>
        </w:rPr>
        <w:t>成立项目工作组，明确工作职责及分工。负责项目院内部分的具体实施，组建技术专家组，针对院外部分，开展基层医疗卫生机构技术指导和人员培训，组织中青年专家开展人群的脑卒中主要危险因素甄别，针对脑卒中的中、高危个体制定随访综合干预方案等工作。</w:t>
      </w:r>
    </w:p>
    <w:p>
      <w:pPr>
        <w:keepNext w:val="0"/>
        <w:keepLines w:val="0"/>
        <w:pageBreakBefore w:val="0"/>
        <w:widowControl w:val="0"/>
        <w:kinsoku/>
        <w:wordWrap/>
        <w:overflowPunct/>
        <w:topLinePunct w:val="0"/>
        <w:autoSpaceDE w:val="0"/>
        <w:autoSpaceDN w:val="0"/>
        <w:bidi w:val="0"/>
        <w:adjustRightInd/>
        <w:snapToGrid/>
        <w:spacing w:before="0" w:beforeAutospacing="0" w:after="0" w:line="360" w:lineRule="auto"/>
        <w:ind w:left="0" w:right="0" w:firstLine="639" w:firstLineChars="200"/>
        <w:jc w:val="left"/>
        <w:textAlignment w:val="auto"/>
        <w:outlineLvl w:val="9"/>
        <w:rPr>
          <w:rFonts w:hint="eastAsia" w:ascii="仿宋" w:hAnsi="仿宋" w:eastAsia="仿宋" w:cs="仿宋"/>
          <w:sz w:val="32"/>
          <w:szCs w:val="32"/>
          <w:lang w:val="en-US" w:eastAsia="zh-CN"/>
        </w:rPr>
      </w:pPr>
      <w:r>
        <w:rPr>
          <w:rFonts w:hint="eastAsia" w:ascii="仿宋" w:hAnsi="仿宋" w:eastAsia="仿宋" w:cs="仿宋"/>
          <w:b/>
          <w:bCs/>
          <w:color w:val="000000"/>
          <w:spacing w:val="-1"/>
          <w:sz w:val="32"/>
          <w:lang w:val="en-US" w:eastAsia="zh-CN"/>
        </w:rPr>
        <w:t>阳光社区卫生服务中心：</w:t>
      </w:r>
      <w:r>
        <w:rPr>
          <w:rFonts w:hint="eastAsia" w:ascii="仿宋" w:hAnsi="仿宋" w:eastAsia="仿宋" w:cs="仿宋"/>
          <w:sz w:val="32"/>
          <w:szCs w:val="32"/>
          <w:lang w:val="en-US" w:eastAsia="zh-CN"/>
        </w:rPr>
        <w:t>在市人民医院的组织和技术指导下，开展人群的脑卒中危险因素筛查，并根据医院专家制定的随访综合干预方案开展个性化随访干预工作。</w:t>
      </w:r>
    </w:p>
    <w:p>
      <w:pPr>
        <w:keepNext w:val="0"/>
        <w:keepLines w:val="0"/>
        <w:pageBreakBefore w:val="0"/>
        <w:widowControl w:val="0"/>
        <w:numPr>
          <w:ilvl w:val="0"/>
          <w:numId w:val="1"/>
        </w:numPr>
        <w:kinsoku/>
        <w:wordWrap/>
        <w:overflowPunct/>
        <w:topLinePunct w:val="0"/>
        <w:autoSpaceDE w:val="0"/>
        <w:autoSpaceDN w:val="0"/>
        <w:bidi w:val="0"/>
        <w:adjustRightInd/>
        <w:snapToGrid/>
        <w:spacing w:before="0" w:after="0" w:line="360" w:lineRule="auto"/>
        <w:ind w:right="0" w:firstLine="647" w:firstLineChars="200"/>
        <w:jc w:val="left"/>
        <w:textAlignment w:val="auto"/>
        <w:outlineLvl w:val="9"/>
        <w:rPr>
          <w:rFonts w:hint="eastAsia" w:ascii="黑体" w:hAnsi="黑体" w:eastAsia="黑体" w:cs="黑体"/>
          <w:b/>
          <w:bCs/>
          <w:color w:val="000000"/>
          <w:spacing w:val="1"/>
          <w:sz w:val="32"/>
          <w:lang w:val="en-US" w:eastAsia="zh-CN"/>
        </w:rPr>
      </w:pPr>
      <w:r>
        <w:rPr>
          <w:rFonts w:hint="eastAsia" w:ascii="黑体" w:hAnsi="黑体" w:eastAsia="黑体" w:cs="黑体"/>
          <w:b/>
          <w:bCs/>
          <w:color w:val="000000"/>
          <w:spacing w:val="1"/>
          <w:sz w:val="32"/>
          <w:lang w:val="en-US" w:eastAsia="zh-CN"/>
        </w:rPr>
        <w:t>工作流程</w:t>
      </w:r>
    </w:p>
    <w:p>
      <w:pPr>
        <w:keepNext w:val="0"/>
        <w:keepLines w:val="0"/>
        <w:pageBreakBefore w:val="0"/>
        <w:kinsoku/>
        <w:wordWrap/>
        <w:overflowPunct/>
        <w:topLinePunct w:val="0"/>
        <w:bidi w:val="0"/>
        <w:adjustRightInd/>
        <w:snapToGrid/>
        <w:spacing w:before="0" w:beforeAutospacing="0" w:after="0" w:afterAutospacing="0"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1.根据项目地区，确定项目对象。</w:t>
      </w:r>
    </w:p>
    <w:p>
      <w:pPr>
        <w:keepNext w:val="0"/>
        <w:keepLines w:val="0"/>
        <w:pageBreakBefore w:val="0"/>
        <w:kinsoku/>
        <w:wordWrap/>
        <w:overflowPunct/>
        <w:topLinePunct w:val="0"/>
        <w:bidi w:val="0"/>
        <w:adjustRightInd/>
        <w:snapToGrid/>
        <w:spacing w:before="0" w:beforeAutospacing="0" w:after="0" w:afterAutospacing="0"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2.组织动员和科普宣传。做好目标人群的宣传动员，组织目标人群积极配合筛查和综合干预工作。</w:t>
      </w:r>
    </w:p>
    <w:p>
      <w:pPr>
        <w:keepNext w:val="0"/>
        <w:keepLines w:val="0"/>
        <w:pageBreakBefore w:val="0"/>
        <w:kinsoku/>
        <w:wordWrap/>
        <w:overflowPunct/>
        <w:topLinePunct w:val="0"/>
        <w:bidi w:val="0"/>
        <w:adjustRightInd/>
        <w:snapToGrid/>
        <w:spacing w:before="0" w:beforeAutospacing="0" w:after="0" w:afterAutospacing="0" w:line="360" w:lineRule="auto"/>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现场开展40岁及以上常住居民心脑血管病危险因素筛查干预工作，要求40岁及以上项目人群筛查干预工作应覆盖项目点该年龄段常住人口的85%以上，随访干预率不低于原筛查对象总人数的85%。随访干预对象入组标准符合《2022年度脑卒中高危人群筛查与干预项目实施方案》（国卫脑防委员函[2022]1号）要求。</w:t>
      </w:r>
    </w:p>
    <w:p>
      <w:pPr>
        <w:keepNext w:val="0"/>
        <w:keepLines w:val="0"/>
        <w:pageBreakBefore w:val="0"/>
        <w:widowControl w:val="0"/>
        <w:numPr>
          <w:ilvl w:val="0"/>
          <w:numId w:val="1"/>
        </w:numPr>
        <w:kinsoku/>
        <w:wordWrap/>
        <w:overflowPunct/>
        <w:topLinePunct w:val="0"/>
        <w:autoSpaceDE w:val="0"/>
        <w:autoSpaceDN w:val="0"/>
        <w:bidi w:val="0"/>
        <w:adjustRightInd/>
        <w:snapToGrid/>
        <w:spacing w:before="0" w:after="0" w:line="360" w:lineRule="auto"/>
        <w:ind w:left="0" w:leftChars="0" w:right="0" w:firstLine="647" w:firstLineChars="200"/>
        <w:jc w:val="left"/>
        <w:textAlignment w:val="auto"/>
        <w:outlineLvl w:val="9"/>
        <w:rPr>
          <w:rFonts w:hint="eastAsia" w:ascii="黑体" w:hAnsi="黑体" w:eastAsia="黑体" w:cs="黑体"/>
          <w:b/>
          <w:bCs/>
          <w:color w:val="000000"/>
          <w:spacing w:val="1"/>
          <w:sz w:val="32"/>
          <w:lang w:val="en-US" w:eastAsia="zh-CN"/>
        </w:rPr>
      </w:pPr>
      <w:r>
        <w:rPr>
          <w:rFonts w:hint="eastAsia" w:ascii="黑体" w:hAnsi="黑体" w:eastAsia="黑体" w:cs="黑体"/>
          <w:b/>
          <w:bCs/>
          <w:color w:val="000000"/>
          <w:spacing w:val="1"/>
          <w:sz w:val="32"/>
          <w:lang w:val="en-US" w:eastAsia="zh-CN"/>
        </w:rPr>
        <w:t>项目质控</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0" w:leftChars="0" w:right="0" w:rightChars="0" w:firstLine="639" w:firstLineChars="200"/>
        <w:jc w:val="left"/>
        <w:textAlignment w:val="auto"/>
        <w:outlineLvl w:val="9"/>
        <w:rPr>
          <w:rFonts w:hint="eastAsia" w:ascii="仿宋" w:hAnsi="仿宋" w:eastAsia="仿宋" w:cs="仿宋"/>
          <w:color w:val="auto"/>
          <w:spacing w:val="-1"/>
          <w:sz w:val="32"/>
          <w:lang w:val="en-US" w:eastAsia="zh-CN"/>
        </w:rPr>
      </w:pPr>
      <w:r>
        <w:rPr>
          <w:rFonts w:hint="eastAsia" w:ascii="仿宋" w:hAnsi="仿宋" w:eastAsia="仿宋" w:cs="仿宋"/>
          <w:b/>
          <w:bCs/>
          <w:color w:val="000000"/>
          <w:spacing w:val="-1"/>
          <w:sz w:val="32"/>
          <w:lang w:val="en-US" w:eastAsia="zh-CN"/>
        </w:rPr>
        <w:t>区卫健委：</w:t>
      </w:r>
      <w:r>
        <w:rPr>
          <w:rFonts w:hint="eastAsia" w:ascii="仿宋" w:hAnsi="仿宋" w:eastAsia="仿宋" w:cs="仿宋"/>
          <w:color w:val="auto"/>
          <w:spacing w:val="-1"/>
          <w:sz w:val="32"/>
          <w:lang w:val="en-US" w:eastAsia="zh-CN"/>
        </w:rPr>
        <w:t>组织项目专家组对项目进行督导、考核。</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0" w:leftChars="0" w:right="0" w:rightChars="0" w:firstLine="639" w:firstLineChars="200"/>
        <w:jc w:val="left"/>
        <w:textAlignment w:val="auto"/>
        <w:outlineLvl w:val="9"/>
        <w:rPr>
          <w:rFonts w:hint="eastAsia" w:ascii="仿宋" w:hAnsi="仿宋" w:eastAsia="仿宋" w:cs="仿宋"/>
          <w:color w:val="auto"/>
          <w:spacing w:val="-1"/>
          <w:sz w:val="32"/>
          <w:lang w:val="en-US" w:eastAsia="zh-CN"/>
        </w:rPr>
      </w:pPr>
      <w:r>
        <w:rPr>
          <w:rFonts w:hint="eastAsia" w:ascii="仿宋" w:hAnsi="仿宋" w:eastAsia="仿宋" w:cs="仿宋"/>
          <w:b/>
          <w:bCs/>
          <w:color w:val="000000"/>
          <w:spacing w:val="-1"/>
          <w:sz w:val="32"/>
          <w:lang w:val="en-US" w:eastAsia="zh-CN"/>
        </w:rPr>
        <w:t>市/区</w:t>
      </w:r>
      <w:r>
        <w:rPr>
          <w:rFonts w:hint="eastAsia" w:ascii="仿宋" w:hAnsi="仿宋" w:eastAsia="仿宋" w:cs="仿宋"/>
          <w:b/>
          <w:bCs/>
          <w:color w:val="auto"/>
          <w:spacing w:val="-1"/>
          <w:sz w:val="32"/>
          <w:lang w:val="en-US" w:eastAsia="zh-CN"/>
        </w:rPr>
        <w:t>疾控中心：</w:t>
      </w:r>
      <w:r>
        <w:rPr>
          <w:rFonts w:hint="eastAsia" w:ascii="仿宋" w:hAnsi="仿宋" w:eastAsia="仿宋" w:cs="仿宋"/>
          <w:color w:val="auto"/>
          <w:spacing w:val="-1"/>
          <w:sz w:val="32"/>
          <w:lang w:val="en-US" w:eastAsia="zh-CN"/>
        </w:rPr>
        <w:t>负责项目的技术管理，督导项目执行进度及上报数据的质量控制。</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0" w:leftChars="0" w:right="0" w:rightChars="0" w:firstLine="639" w:firstLineChars="200"/>
        <w:jc w:val="left"/>
        <w:textAlignment w:val="auto"/>
        <w:outlineLvl w:val="9"/>
        <w:rPr>
          <w:rFonts w:hint="eastAsia" w:ascii="仿宋" w:hAnsi="仿宋" w:eastAsia="仿宋" w:cs="仿宋"/>
          <w:color w:val="auto"/>
          <w:spacing w:val="-1"/>
          <w:sz w:val="32"/>
          <w:lang w:val="en-US" w:eastAsia="zh-CN"/>
        </w:rPr>
      </w:pPr>
      <w:r>
        <w:rPr>
          <w:rFonts w:hint="eastAsia" w:ascii="仿宋" w:hAnsi="仿宋" w:eastAsia="仿宋" w:cs="仿宋"/>
          <w:b/>
          <w:bCs/>
          <w:color w:val="auto"/>
          <w:spacing w:val="-1"/>
          <w:sz w:val="32"/>
          <w:lang w:val="en-US" w:eastAsia="zh-CN"/>
        </w:rPr>
        <w:t>市人民医院：</w:t>
      </w:r>
      <w:r>
        <w:rPr>
          <w:rFonts w:hint="eastAsia" w:ascii="仿宋" w:hAnsi="仿宋" w:eastAsia="仿宋" w:cs="仿宋"/>
          <w:color w:val="auto"/>
          <w:spacing w:val="-1"/>
          <w:sz w:val="32"/>
          <w:lang w:val="en-US" w:eastAsia="zh-CN"/>
        </w:rPr>
        <w:t>负责项目院内部分入组人群的信息采集、上报和提交工作，确保档案真实、完整、有效。负责院外部分项目工作的技术指导、上报数据的质量控制及审核工作。</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0" w:leftChars="0" w:right="0" w:rightChars="0" w:firstLine="632" w:firstLineChars="0"/>
        <w:jc w:val="left"/>
        <w:textAlignment w:val="auto"/>
        <w:outlineLvl w:val="9"/>
        <w:rPr>
          <w:rFonts w:hint="eastAsia" w:ascii="仿宋" w:hAnsi="仿宋" w:eastAsia="仿宋" w:cs="仿宋"/>
          <w:color w:val="auto"/>
          <w:spacing w:val="-1"/>
          <w:sz w:val="32"/>
          <w:lang w:val="en-US" w:eastAsia="zh-CN"/>
        </w:rPr>
      </w:pPr>
      <w:r>
        <w:rPr>
          <w:rFonts w:hint="eastAsia" w:ascii="仿宋" w:hAnsi="仿宋" w:eastAsia="仿宋" w:cs="仿宋"/>
          <w:b/>
          <w:bCs/>
          <w:color w:val="auto"/>
          <w:spacing w:val="-1"/>
          <w:sz w:val="32"/>
          <w:lang w:val="en-US" w:eastAsia="zh-CN"/>
        </w:rPr>
        <w:t>阳光社区卫生服务中心：</w:t>
      </w:r>
      <w:r>
        <w:rPr>
          <w:rFonts w:hint="eastAsia" w:ascii="仿宋" w:hAnsi="仿宋" w:eastAsia="仿宋" w:cs="仿宋"/>
          <w:color w:val="auto"/>
          <w:spacing w:val="-1"/>
          <w:sz w:val="32"/>
          <w:lang w:val="en-US" w:eastAsia="zh-CN"/>
        </w:rPr>
        <w:t>负责项目院外部分入组人群信息采集、上报和提交工作，确保档案真实、完整、有效。</w:t>
      </w:r>
    </w:p>
    <w:p>
      <w:pPr>
        <w:keepNext w:val="0"/>
        <w:keepLines w:val="0"/>
        <w:pageBreakBefore w:val="0"/>
        <w:widowControl w:val="0"/>
        <w:numPr>
          <w:ilvl w:val="0"/>
          <w:numId w:val="1"/>
        </w:numPr>
        <w:kinsoku/>
        <w:wordWrap/>
        <w:overflowPunct/>
        <w:topLinePunct w:val="0"/>
        <w:autoSpaceDE w:val="0"/>
        <w:autoSpaceDN w:val="0"/>
        <w:bidi w:val="0"/>
        <w:adjustRightInd/>
        <w:snapToGrid/>
        <w:spacing w:before="0" w:after="0" w:line="360" w:lineRule="auto"/>
        <w:ind w:left="0" w:leftChars="0" w:right="0" w:firstLine="647" w:firstLineChars="200"/>
        <w:jc w:val="left"/>
        <w:textAlignment w:val="auto"/>
        <w:outlineLvl w:val="9"/>
        <w:rPr>
          <w:rFonts w:hint="eastAsia" w:ascii="黑体" w:hAnsi="黑体" w:eastAsia="黑体" w:cs="黑体"/>
          <w:b/>
          <w:bCs/>
          <w:color w:val="000000"/>
          <w:spacing w:val="1"/>
          <w:sz w:val="32"/>
          <w:lang w:val="en-US" w:eastAsia="zh-CN"/>
        </w:rPr>
      </w:pPr>
      <w:r>
        <w:rPr>
          <w:rFonts w:hint="eastAsia" w:ascii="黑体" w:hAnsi="黑体" w:eastAsia="黑体" w:cs="黑体"/>
          <w:b/>
          <w:bCs/>
          <w:color w:val="000000"/>
          <w:spacing w:val="1"/>
          <w:sz w:val="32"/>
          <w:lang w:val="en-US" w:eastAsia="zh-CN"/>
        </w:rPr>
        <w:t>年度项目进度安排</w:t>
      </w:r>
    </w:p>
    <w:p>
      <w:pPr>
        <w:keepNext w:val="0"/>
        <w:keepLines w:val="0"/>
        <w:pageBreakBefore w:val="0"/>
        <w:widowControl w:val="0"/>
        <w:numPr>
          <w:ilvl w:val="0"/>
          <w:numId w:val="2"/>
        </w:numPr>
        <w:kinsoku/>
        <w:wordWrap/>
        <w:overflowPunct/>
        <w:topLinePunct w:val="0"/>
        <w:autoSpaceDE w:val="0"/>
        <w:autoSpaceDN w:val="0"/>
        <w:bidi w:val="0"/>
        <w:adjustRightInd/>
        <w:snapToGrid/>
        <w:spacing w:before="0" w:after="0" w:line="360" w:lineRule="auto"/>
        <w:ind w:left="0" w:leftChars="0" w:right="0" w:rightChars="0" w:firstLine="443" w:firstLineChars="137"/>
        <w:jc w:val="left"/>
        <w:textAlignment w:val="auto"/>
        <w:outlineLvl w:val="9"/>
        <w:rPr>
          <w:rFonts w:hint="eastAsia" w:ascii="楷体" w:hAnsi="楷体" w:eastAsia="楷体" w:cs="楷体"/>
          <w:b/>
          <w:bCs/>
          <w:color w:val="000000"/>
          <w:spacing w:val="1"/>
          <w:sz w:val="32"/>
          <w:lang w:val="en-US" w:eastAsia="zh-CN"/>
        </w:rPr>
      </w:pPr>
      <w:r>
        <w:rPr>
          <w:rFonts w:hint="eastAsia" w:ascii="楷体" w:hAnsi="楷体" w:eastAsia="楷体" w:cs="楷体"/>
          <w:b/>
          <w:bCs/>
          <w:color w:val="000000"/>
          <w:spacing w:val="1"/>
          <w:sz w:val="32"/>
          <w:lang w:val="en-US" w:eastAsia="zh-CN"/>
        </w:rPr>
        <w:t>社区、乡镇（院外）常住居民筛查和干预工作安排</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471" w:leftChars="214" w:right="0" w:rightChars="0" w:firstLine="270" w:firstLineChars="85"/>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1.准备阶段（</w:t>
      </w:r>
      <w:r>
        <w:rPr>
          <w:rFonts w:ascii="仿宋" w:hAnsi="仿宋" w:eastAsia="仿宋" w:cs="仿宋"/>
          <w:b w:val="0"/>
          <w:i w:val="0"/>
          <w:color w:val="000000"/>
          <w:sz w:val="32"/>
          <w:szCs w:val="32"/>
        </w:rPr>
        <w:t>202</w:t>
      </w:r>
      <w:r>
        <w:rPr>
          <w:rFonts w:hint="eastAsia" w:ascii="仿宋" w:hAnsi="仿宋" w:eastAsia="仿宋" w:cs="仿宋"/>
          <w:b w:val="0"/>
          <w:i w:val="0"/>
          <w:color w:val="000000"/>
          <w:sz w:val="32"/>
          <w:szCs w:val="32"/>
          <w:lang w:val="en-US" w:eastAsia="zh-CN"/>
        </w:rPr>
        <w:t>2</w:t>
      </w:r>
      <w:r>
        <w:rPr>
          <w:rFonts w:ascii="仿宋" w:hAnsi="仿宋" w:eastAsia="仿宋" w:cs="仿宋"/>
          <w:b w:val="0"/>
          <w:i w:val="0"/>
          <w:color w:val="000000"/>
          <w:sz w:val="32"/>
          <w:szCs w:val="32"/>
        </w:rPr>
        <w:t>年2月1日—2021年3月31日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6" w:firstLineChars="20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组织制订项目技术方案、量表和项目预算。召开项目管理工作会，部署2022年度项目重点工作。</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471" w:leftChars="214" w:right="0" w:rightChars="0" w:firstLine="146" w:firstLineChars="46"/>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2.动员、培训阶段（2022</w:t>
      </w:r>
      <w:r>
        <w:rPr>
          <w:rFonts w:ascii="仿宋" w:hAnsi="仿宋" w:eastAsia="仿宋" w:cs="仿宋"/>
          <w:b w:val="0"/>
          <w:i w:val="0"/>
          <w:color w:val="000000"/>
          <w:sz w:val="32"/>
          <w:szCs w:val="32"/>
        </w:rPr>
        <w:t>年</w:t>
      </w:r>
      <w:r>
        <w:rPr>
          <w:rFonts w:hint="eastAsia" w:ascii="仿宋" w:hAnsi="仿宋" w:eastAsia="仿宋" w:cs="仿宋"/>
          <w:b w:val="0"/>
          <w:i w:val="0"/>
          <w:color w:val="000000"/>
          <w:sz w:val="32"/>
          <w:szCs w:val="32"/>
          <w:lang w:val="en-US" w:eastAsia="zh-CN"/>
        </w:rPr>
        <w:t>4</w:t>
      </w:r>
      <w:r>
        <w:rPr>
          <w:rFonts w:ascii="仿宋" w:hAnsi="仿宋" w:eastAsia="仿宋" w:cs="仿宋"/>
          <w:b w:val="0"/>
          <w:i w:val="0"/>
          <w:color w:val="000000"/>
          <w:sz w:val="32"/>
          <w:szCs w:val="32"/>
        </w:rPr>
        <w:t>月1日—</w:t>
      </w:r>
      <w:r>
        <w:rPr>
          <w:rFonts w:hint="eastAsia" w:ascii="仿宋" w:hAnsi="仿宋" w:eastAsia="仿宋" w:cs="仿宋"/>
          <w:color w:val="000000"/>
          <w:spacing w:val="-1"/>
          <w:sz w:val="32"/>
          <w:lang w:val="en-US" w:eastAsia="zh-CN"/>
        </w:rPr>
        <w:t>2022</w:t>
      </w:r>
      <w:r>
        <w:rPr>
          <w:rFonts w:ascii="仿宋" w:hAnsi="仿宋" w:eastAsia="仿宋" w:cs="仿宋"/>
          <w:b w:val="0"/>
          <w:i w:val="0"/>
          <w:color w:val="000000"/>
          <w:sz w:val="32"/>
          <w:szCs w:val="32"/>
        </w:rPr>
        <w:t>年</w:t>
      </w:r>
      <w:r>
        <w:rPr>
          <w:rFonts w:hint="eastAsia" w:ascii="仿宋" w:hAnsi="仿宋" w:eastAsia="仿宋" w:cs="仿宋"/>
          <w:b w:val="0"/>
          <w:i w:val="0"/>
          <w:color w:val="000000"/>
          <w:sz w:val="32"/>
          <w:szCs w:val="32"/>
          <w:lang w:val="en-US" w:eastAsia="zh-CN"/>
        </w:rPr>
        <w:t>5</w:t>
      </w:r>
      <w:r>
        <w:rPr>
          <w:rFonts w:ascii="仿宋" w:hAnsi="仿宋" w:eastAsia="仿宋" w:cs="仿宋"/>
          <w:b w:val="0"/>
          <w:i w:val="0"/>
          <w:color w:val="000000"/>
          <w:sz w:val="32"/>
          <w:szCs w:val="32"/>
        </w:rPr>
        <w:t>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0" w:leftChars="0" w:right="0" w:rightChars="0" w:firstLine="616" w:firstLineChars="194"/>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市/区疾控中心、市人民医院根据工作方案要求，确定项目点与综合干预对象，联合阳光社区卫生服务中心，做好项目点的组织动员、工作人员培训等工作。</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2"/>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3.实施阶段（2022</w:t>
      </w:r>
      <w:r>
        <w:rPr>
          <w:rFonts w:ascii="仿宋" w:hAnsi="仿宋" w:eastAsia="仿宋" w:cs="仿宋"/>
          <w:b w:val="0"/>
          <w:i w:val="0"/>
          <w:color w:val="000000"/>
          <w:sz w:val="32"/>
          <w:szCs w:val="32"/>
        </w:rPr>
        <w:t>年</w:t>
      </w:r>
      <w:r>
        <w:rPr>
          <w:rFonts w:hint="eastAsia" w:ascii="仿宋" w:hAnsi="仿宋" w:eastAsia="仿宋" w:cs="仿宋"/>
          <w:b w:val="0"/>
          <w:i w:val="0"/>
          <w:color w:val="000000"/>
          <w:sz w:val="32"/>
          <w:szCs w:val="32"/>
          <w:lang w:val="en-US" w:eastAsia="zh-CN"/>
        </w:rPr>
        <w:t>6</w:t>
      </w:r>
      <w:r>
        <w:rPr>
          <w:rFonts w:ascii="仿宋" w:hAnsi="仿宋" w:eastAsia="仿宋" w:cs="仿宋"/>
          <w:b w:val="0"/>
          <w:i w:val="0"/>
          <w:color w:val="000000"/>
          <w:sz w:val="32"/>
          <w:szCs w:val="32"/>
        </w:rPr>
        <w:t>月1日－</w:t>
      </w:r>
      <w:r>
        <w:rPr>
          <w:rFonts w:hint="eastAsia" w:ascii="仿宋" w:hAnsi="仿宋" w:eastAsia="仿宋" w:cs="仿宋"/>
          <w:color w:val="000000"/>
          <w:spacing w:val="-1"/>
          <w:sz w:val="32"/>
          <w:lang w:val="en-US" w:eastAsia="zh-CN"/>
        </w:rPr>
        <w:t>2022</w:t>
      </w:r>
      <w:r>
        <w:rPr>
          <w:rFonts w:ascii="仿宋" w:hAnsi="仿宋" w:eastAsia="仿宋" w:cs="仿宋"/>
          <w:b w:val="0"/>
          <w:i w:val="0"/>
          <w:color w:val="000000"/>
          <w:sz w:val="32"/>
          <w:szCs w:val="32"/>
        </w:rPr>
        <w:t>年1</w:t>
      </w:r>
      <w:r>
        <w:rPr>
          <w:rFonts w:hint="eastAsia" w:ascii="仿宋" w:hAnsi="仿宋" w:eastAsia="仿宋" w:cs="仿宋"/>
          <w:b w:val="0"/>
          <w:i w:val="0"/>
          <w:color w:val="000000"/>
          <w:sz w:val="32"/>
          <w:szCs w:val="32"/>
          <w:lang w:val="en-US" w:eastAsia="zh-CN"/>
        </w:rPr>
        <w:t>1</w:t>
      </w:r>
      <w:r>
        <w:rPr>
          <w:rFonts w:ascii="仿宋" w:hAnsi="仿宋" w:eastAsia="仿宋" w:cs="仿宋"/>
          <w:b w:val="0"/>
          <w:i w:val="0"/>
          <w:color w:val="000000"/>
          <w:sz w:val="32"/>
          <w:szCs w:val="32"/>
        </w:rPr>
        <w:t>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2"/>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阳光社区卫生服务中心根据项目实施步骤与流程要求，开展人群的筛查及综合干预、数据上报、质量控制等工作。现场筛查干预工作完成后，按照要求对高、中危人群开展定期随访。</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Chars="214" w:right="0" w:rightChars="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4.评估阶段（2022</w:t>
      </w:r>
      <w:r>
        <w:rPr>
          <w:rFonts w:ascii="仿宋" w:hAnsi="仿宋" w:eastAsia="仿宋" w:cs="仿宋"/>
          <w:b w:val="0"/>
          <w:i w:val="0"/>
          <w:color w:val="000000"/>
          <w:sz w:val="32"/>
          <w:szCs w:val="32"/>
        </w:rPr>
        <w:t>年</w:t>
      </w:r>
      <w:r>
        <w:rPr>
          <w:rFonts w:hint="eastAsia" w:ascii="仿宋" w:hAnsi="仿宋" w:eastAsia="仿宋" w:cs="仿宋"/>
          <w:b w:val="0"/>
          <w:i w:val="0"/>
          <w:color w:val="000000"/>
          <w:sz w:val="32"/>
          <w:szCs w:val="32"/>
          <w:lang w:val="en-US" w:eastAsia="zh-CN"/>
        </w:rPr>
        <w:t>11</w:t>
      </w:r>
      <w:r>
        <w:rPr>
          <w:rFonts w:ascii="仿宋" w:hAnsi="仿宋" w:eastAsia="仿宋" w:cs="仿宋"/>
          <w:b w:val="0"/>
          <w:i w:val="0"/>
          <w:color w:val="000000"/>
          <w:sz w:val="32"/>
          <w:szCs w:val="32"/>
        </w:rPr>
        <w:t>月1日－202</w:t>
      </w:r>
      <w:r>
        <w:rPr>
          <w:rFonts w:hint="eastAsia" w:ascii="仿宋" w:hAnsi="仿宋" w:eastAsia="仿宋" w:cs="仿宋"/>
          <w:b w:val="0"/>
          <w:i w:val="0"/>
          <w:color w:val="000000"/>
          <w:sz w:val="32"/>
          <w:szCs w:val="32"/>
          <w:lang w:val="en-US" w:eastAsia="zh-CN"/>
        </w:rPr>
        <w:t>2</w:t>
      </w:r>
      <w:r>
        <w:rPr>
          <w:rFonts w:ascii="仿宋" w:hAnsi="仿宋" w:eastAsia="仿宋" w:cs="仿宋"/>
          <w:b w:val="0"/>
          <w:i w:val="0"/>
          <w:color w:val="000000"/>
          <w:sz w:val="32"/>
          <w:szCs w:val="32"/>
        </w:rPr>
        <w:t>年1</w:t>
      </w:r>
      <w:r>
        <w:rPr>
          <w:rFonts w:hint="eastAsia" w:ascii="仿宋" w:hAnsi="仿宋" w:eastAsia="仿宋" w:cs="仿宋"/>
          <w:b w:val="0"/>
          <w:i w:val="0"/>
          <w:color w:val="000000"/>
          <w:sz w:val="32"/>
          <w:szCs w:val="32"/>
          <w:lang w:val="en-US" w:eastAsia="zh-CN"/>
        </w:rPr>
        <w:t>2</w:t>
      </w:r>
      <w:r>
        <w:rPr>
          <w:rFonts w:ascii="仿宋" w:hAnsi="仿宋" w:eastAsia="仿宋" w:cs="仿宋"/>
          <w:b w:val="0"/>
          <w:i w:val="0"/>
          <w:color w:val="000000"/>
          <w:sz w:val="32"/>
          <w:szCs w:val="32"/>
        </w:rPr>
        <w:t>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6" w:firstLineChars="20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市/区疾控中心组织专家对上报数据进行质控、汇总分析，完成工作评估。</w:t>
      </w:r>
    </w:p>
    <w:p>
      <w:pPr>
        <w:keepNext w:val="0"/>
        <w:keepLines w:val="0"/>
        <w:pageBreakBefore w:val="0"/>
        <w:widowControl w:val="0"/>
        <w:numPr>
          <w:ilvl w:val="0"/>
          <w:numId w:val="2"/>
        </w:numPr>
        <w:kinsoku/>
        <w:wordWrap/>
        <w:overflowPunct/>
        <w:topLinePunct w:val="0"/>
        <w:autoSpaceDE w:val="0"/>
        <w:autoSpaceDN w:val="0"/>
        <w:bidi w:val="0"/>
        <w:adjustRightInd/>
        <w:snapToGrid/>
        <w:spacing w:before="0" w:after="0" w:line="360" w:lineRule="auto"/>
        <w:ind w:left="0" w:leftChars="0" w:right="0" w:rightChars="0" w:firstLine="443" w:firstLineChars="137"/>
        <w:jc w:val="left"/>
        <w:textAlignment w:val="auto"/>
        <w:outlineLvl w:val="9"/>
        <w:rPr>
          <w:rFonts w:hint="eastAsia" w:ascii="楷体" w:hAnsi="楷体" w:eastAsia="楷体" w:cs="楷体"/>
          <w:b/>
          <w:bCs/>
          <w:color w:val="000000"/>
          <w:spacing w:val="1"/>
          <w:sz w:val="32"/>
          <w:lang w:val="en-US" w:eastAsia="zh-CN"/>
        </w:rPr>
      </w:pPr>
      <w:r>
        <w:rPr>
          <w:rFonts w:hint="eastAsia" w:ascii="楷体" w:hAnsi="楷体" w:eastAsia="楷体" w:cs="楷体"/>
          <w:b/>
          <w:bCs/>
          <w:color w:val="000000"/>
          <w:spacing w:val="1"/>
          <w:sz w:val="32"/>
          <w:lang w:val="en-US" w:eastAsia="zh-CN"/>
        </w:rPr>
        <w:t>脑卒中高危人群院内综合干预工作安排</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471" w:leftChars="214" w:right="0" w:rightChars="0" w:firstLine="165" w:firstLineChars="52"/>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1.准备阶段（</w:t>
      </w:r>
      <w:r>
        <w:rPr>
          <w:rFonts w:ascii="仿宋" w:hAnsi="仿宋" w:eastAsia="仿宋" w:cs="仿宋"/>
          <w:b w:val="0"/>
          <w:i w:val="0"/>
          <w:color w:val="000000"/>
          <w:sz w:val="32"/>
          <w:szCs w:val="32"/>
        </w:rPr>
        <w:t>202</w:t>
      </w:r>
      <w:r>
        <w:rPr>
          <w:rFonts w:hint="eastAsia" w:ascii="仿宋" w:hAnsi="仿宋" w:eastAsia="仿宋" w:cs="仿宋"/>
          <w:b w:val="0"/>
          <w:i w:val="0"/>
          <w:color w:val="000000"/>
          <w:sz w:val="32"/>
          <w:szCs w:val="32"/>
          <w:lang w:val="en-US" w:eastAsia="zh-CN"/>
        </w:rPr>
        <w:t>2</w:t>
      </w:r>
      <w:r>
        <w:rPr>
          <w:rFonts w:ascii="仿宋" w:hAnsi="仿宋" w:eastAsia="仿宋" w:cs="仿宋"/>
          <w:b w:val="0"/>
          <w:i w:val="0"/>
          <w:color w:val="000000"/>
          <w:sz w:val="32"/>
          <w:szCs w:val="32"/>
        </w:rPr>
        <w:t>年2月1日—202</w:t>
      </w:r>
      <w:r>
        <w:rPr>
          <w:rFonts w:hint="eastAsia" w:ascii="仿宋" w:hAnsi="仿宋" w:eastAsia="仿宋" w:cs="仿宋"/>
          <w:b w:val="0"/>
          <w:i w:val="0"/>
          <w:color w:val="000000"/>
          <w:sz w:val="32"/>
          <w:szCs w:val="32"/>
          <w:lang w:val="en-US" w:eastAsia="zh-CN"/>
        </w:rPr>
        <w:t>2</w:t>
      </w:r>
      <w:r>
        <w:rPr>
          <w:rFonts w:ascii="仿宋" w:hAnsi="仿宋" w:eastAsia="仿宋" w:cs="仿宋"/>
          <w:b w:val="0"/>
          <w:i w:val="0"/>
          <w:color w:val="000000"/>
          <w:sz w:val="32"/>
          <w:szCs w:val="32"/>
        </w:rPr>
        <w:t>年3月31日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6" w:firstLineChars="20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组织制订项目技术方案、量表和项目预算。召开项目管理工作会，部署2022年度项目重点工作。</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2"/>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2.实施阶段（2022</w:t>
      </w:r>
      <w:r>
        <w:rPr>
          <w:rFonts w:ascii="仿宋" w:hAnsi="仿宋" w:eastAsia="仿宋" w:cs="仿宋"/>
          <w:b w:val="0"/>
          <w:i w:val="0"/>
          <w:color w:val="000000"/>
          <w:sz w:val="32"/>
          <w:szCs w:val="32"/>
        </w:rPr>
        <w:t>年</w:t>
      </w:r>
      <w:r>
        <w:rPr>
          <w:rFonts w:hint="eastAsia" w:ascii="仿宋" w:hAnsi="仿宋" w:eastAsia="仿宋" w:cs="仿宋"/>
          <w:b w:val="0"/>
          <w:i w:val="0"/>
          <w:color w:val="000000"/>
          <w:sz w:val="32"/>
          <w:szCs w:val="32"/>
          <w:lang w:val="en-US" w:eastAsia="zh-CN"/>
        </w:rPr>
        <w:t>4</w:t>
      </w:r>
      <w:r>
        <w:rPr>
          <w:rFonts w:ascii="仿宋" w:hAnsi="仿宋" w:eastAsia="仿宋" w:cs="仿宋"/>
          <w:b w:val="0"/>
          <w:i w:val="0"/>
          <w:color w:val="000000"/>
          <w:sz w:val="32"/>
          <w:szCs w:val="32"/>
        </w:rPr>
        <w:t>月1日－</w:t>
      </w:r>
      <w:r>
        <w:rPr>
          <w:rFonts w:hint="eastAsia" w:ascii="仿宋" w:hAnsi="仿宋" w:eastAsia="仿宋" w:cs="仿宋"/>
          <w:color w:val="000000"/>
          <w:spacing w:val="-1"/>
          <w:sz w:val="32"/>
          <w:lang w:val="en-US" w:eastAsia="zh-CN"/>
        </w:rPr>
        <w:t>2022</w:t>
      </w:r>
      <w:r>
        <w:rPr>
          <w:rFonts w:ascii="仿宋" w:hAnsi="仿宋" w:eastAsia="仿宋" w:cs="仿宋"/>
          <w:b w:val="0"/>
          <w:i w:val="0"/>
          <w:color w:val="000000"/>
          <w:sz w:val="32"/>
          <w:szCs w:val="32"/>
        </w:rPr>
        <w:t>年1</w:t>
      </w:r>
      <w:r>
        <w:rPr>
          <w:rFonts w:hint="eastAsia" w:ascii="仿宋" w:hAnsi="仿宋" w:eastAsia="仿宋" w:cs="仿宋"/>
          <w:b w:val="0"/>
          <w:i w:val="0"/>
          <w:color w:val="000000"/>
          <w:sz w:val="32"/>
          <w:szCs w:val="32"/>
          <w:lang w:val="en-US" w:eastAsia="zh-CN"/>
        </w:rPr>
        <w:t>1</w:t>
      </w:r>
      <w:r>
        <w:rPr>
          <w:rFonts w:ascii="仿宋" w:hAnsi="仿宋" w:eastAsia="仿宋" w:cs="仿宋"/>
          <w:b w:val="0"/>
          <w:i w:val="0"/>
          <w:color w:val="000000"/>
          <w:sz w:val="32"/>
          <w:szCs w:val="32"/>
        </w:rPr>
        <w:t>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2"/>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市人民医院根据脑卒中高危人群院内综合干预工作实施步骤与流程要求，开展脑卒中高危人群综合干预、随访、数据上报、质量控制等工作。按照要求对高、中危人群开展定期随访。</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Chars="214" w:right="0" w:rightChars="0" w:firstLine="318" w:firstLineChars="10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3.评估阶段（2022</w:t>
      </w:r>
      <w:r>
        <w:rPr>
          <w:rFonts w:ascii="仿宋" w:hAnsi="仿宋" w:eastAsia="仿宋" w:cs="仿宋"/>
          <w:b w:val="0"/>
          <w:i w:val="0"/>
          <w:color w:val="000000"/>
          <w:sz w:val="32"/>
          <w:szCs w:val="32"/>
        </w:rPr>
        <w:t>年</w:t>
      </w:r>
      <w:r>
        <w:rPr>
          <w:rFonts w:hint="eastAsia" w:ascii="仿宋" w:hAnsi="仿宋" w:eastAsia="仿宋" w:cs="仿宋"/>
          <w:b w:val="0"/>
          <w:i w:val="0"/>
          <w:color w:val="000000"/>
          <w:sz w:val="32"/>
          <w:szCs w:val="32"/>
          <w:lang w:val="en-US" w:eastAsia="zh-CN"/>
        </w:rPr>
        <w:t>11</w:t>
      </w:r>
      <w:r>
        <w:rPr>
          <w:rFonts w:ascii="仿宋" w:hAnsi="仿宋" w:eastAsia="仿宋" w:cs="仿宋"/>
          <w:b w:val="0"/>
          <w:i w:val="0"/>
          <w:color w:val="000000"/>
          <w:sz w:val="32"/>
          <w:szCs w:val="32"/>
        </w:rPr>
        <w:t>月1日－</w:t>
      </w:r>
      <w:r>
        <w:rPr>
          <w:rFonts w:hint="eastAsia" w:ascii="仿宋" w:hAnsi="仿宋" w:eastAsia="仿宋" w:cs="仿宋"/>
          <w:color w:val="000000"/>
          <w:spacing w:val="-1"/>
          <w:sz w:val="32"/>
          <w:lang w:val="en-US" w:eastAsia="zh-CN"/>
        </w:rPr>
        <w:t>2022</w:t>
      </w:r>
      <w:r>
        <w:rPr>
          <w:rFonts w:ascii="仿宋" w:hAnsi="仿宋" w:eastAsia="仿宋" w:cs="仿宋"/>
          <w:b w:val="0"/>
          <w:i w:val="0"/>
          <w:color w:val="000000"/>
          <w:sz w:val="32"/>
          <w:szCs w:val="32"/>
        </w:rPr>
        <w:t>年1</w:t>
      </w:r>
      <w:r>
        <w:rPr>
          <w:rFonts w:hint="eastAsia" w:ascii="仿宋" w:hAnsi="仿宋" w:eastAsia="仿宋" w:cs="仿宋"/>
          <w:b w:val="0"/>
          <w:i w:val="0"/>
          <w:color w:val="000000"/>
          <w:sz w:val="32"/>
          <w:szCs w:val="32"/>
          <w:lang w:val="en-US" w:eastAsia="zh-CN"/>
        </w:rPr>
        <w:t>2</w:t>
      </w:r>
      <w:r>
        <w:rPr>
          <w:rFonts w:ascii="仿宋" w:hAnsi="仿宋" w:eastAsia="仿宋" w:cs="仿宋"/>
          <w:b w:val="0"/>
          <w:i w:val="0"/>
          <w:color w:val="000000"/>
          <w:sz w:val="32"/>
          <w:szCs w:val="32"/>
        </w:rPr>
        <w:t>月31日</w:t>
      </w:r>
      <w:r>
        <w:rPr>
          <w:rFonts w:hint="eastAsia" w:ascii="仿宋" w:hAnsi="仿宋" w:eastAsia="仿宋" w:cs="仿宋"/>
          <w:color w:val="000000"/>
          <w:spacing w:val="-1"/>
          <w:sz w:val="32"/>
          <w:lang w:val="en-US" w:eastAsia="zh-CN"/>
        </w:rPr>
        <w:t>）。</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right="0" w:rightChars="0" w:firstLine="636" w:firstLineChars="20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sz w:val="32"/>
          <w:lang w:val="en-US" w:eastAsia="zh-CN"/>
        </w:rPr>
        <w:t>市/区疾控中心组织专家对上报数据进行质控、汇总分析，完成工作评估。</w:t>
      </w:r>
    </w:p>
    <w:p>
      <w:pPr>
        <w:keepNext w:val="0"/>
        <w:keepLines w:val="0"/>
        <w:pageBreakBefore w:val="0"/>
        <w:widowControl w:val="0"/>
        <w:numPr>
          <w:ilvl w:val="0"/>
          <w:numId w:val="1"/>
        </w:numPr>
        <w:kinsoku/>
        <w:wordWrap/>
        <w:overflowPunct/>
        <w:topLinePunct w:val="0"/>
        <w:autoSpaceDE w:val="0"/>
        <w:autoSpaceDN w:val="0"/>
        <w:bidi w:val="0"/>
        <w:adjustRightInd/>
        <w:snapToGrid/>
        <w:spacing w:before="0" w:after="0" w:line="360" w:lineRule="auto"/>
        <w:ind w:left="0" w:leftChars="0" w:right="0" w:firstLine="566" w:firstLineChars="175"/>
        <w:jc w:val="left"/>
        <w:textAlignment w:val="auto"/>
        <w:outlineLvl w:val="9"/>
        <w:rPr>
          <w:rFonts w:hint="eastAsia" w:ascii="黑体" w:hAnsi="黑体" w:eastAsia="黑体" w:cs="黑体"/>
          <w:b/>
          <w:bCs/>
          <w:color w:val="000000"/>
          <w:spacing w:val="1"/>
          <w:sz w:val="32"/>
          <w:lang w:val="en-US" w:eastAsia="zh-CN"/>
        </w:rPr>
      </w:pPr>
      <w:r>
        <w:rPr>
          <w:rFonts w:hint="eastAsia" w:ascii="黑体" w:hAnsi="黑体" w:eastAsia="黑体" w:cs="黑体"/>
          <w:b/>
          <w:bCs/>
          <w:color w:val="000000"/>
          <w:spacing w:val="1"/>
          <w:sz w:val="32"/>
          <w:lang w:val="en-US" w:eastAsia="zh-CN"/>
        </w:rPr>
        <w:t>项目经费管理</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afterAutospacing="0" w:line="360" w:lineRule="auto"/>
        <w:ind w:left="0" w:leftChars="0" w:right="0" w:rightChars="0" w:firstLine="636" w:firstLineChars="200"/>
        <w:jc w:val="left"/>
        <w:textAlignment w:val="auto"/>
        <w:outlineLvl w:val="9"/>
        <w:rPr>
          <w:rFonts w:hint="eastAsia" w:ascii="仿宋" w:hAnsi="仿宋" w:eastAsia="仿宋" w:cs="仿宋"/>
          <w:color w:val="000000"/>
          <w:spacing w:val="-1"/>
          <w:kern w:val="0"/>
          <w:sz w:val="32"/>
          <w:szCs w:val="22"/>
          <w:lang w:val="en-US" w:eastAsia="zh-CN" w:bidi="ar-SA"/>
        </w:rPr>
      </w:pPr>
      <w:r>
        <w:rPr>
          <w:rFonts w:hint="eastAsia" w:ascii="仿宋" w:hAnsi="仿宋" w:eastAsia="仿宋" w:cs="仿宋"/>
          <w:color w:val="000000"/>
          <w:spacing w:val="-1"/>
          <w:kern w:val="0"/>
          <w:sz w:val="32"/>
          <w:szCs w:val="22"/>
          <w:lang w:val="en-US" w:eastAsia="zh-CN" w:bidi="ar-SA"/>
        </w:rPr>
        <w:t>各级项目承担单位按照本方案要求及本单位实施计划合理安排和使用专项资金,不得超范围支出。2022年项目经费预拨80万,后期视项目完成情况再行拨付。全部经费由中央财政支持,项目工作经费分为两部分：一是用于社区(院外)开展筛查和干预工作,建立脑卒中高危人群前瞻队列;二是用于项目基地医院开展脑卒中高危人群院内综合干预工作,降低发病率和复发率。具体使用分配如下：</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36" w:firstLineChars="200"/>
        <w:textAlignment w:val="auto"/>
        <w:outlineLvl w:val="9"/>
        <w:rPr>
          <w:rFonts w:hint="eastAsia" w:ascii="仿宋" w:hAnsi="仿宋" w:eastAsia="仿宋" w:cs="仿宋"/>
          <w:color w:val="000000"/>
          <w:spacing w:val="-1"/>
          <w:kern w:val="0"/>
          <w:sz w:val="32"/>
          <w:szCs w:val="22"/>
          <w:lang w:val="en-US" w:eastAsia="zh-CN" w:bidi="ar-SA"/>
        </w:rPr>
      </w:pPr>
      <w:r>
        <w:rPr>
          <w:rFonts w:hint="eastAsia" w:ascii="仿宋" w:hAnsi="仿宋" w:eastAsia="仿宋" w:cs="仿宋"/>
          <w:color w:val="000000"/>
          <w:spacing w:val="-1"/>
          <w:kern w:val="0"/>
          <w:sz w:val="32"/>
          <w:szCs w:val="22"/>
          <w:lang w:val="en-US" w:eastAsia="zh-CN" w:bidi="ar-SA"/>
        </w:rPr>
        <w:t>市人民医院54</w:t>
      </w:r>
      <w:bookmarkStart w:id="0" w:name="_GoBack"/>
      <w:bookmarkEnd w:id="0"/>
      <w:r>
        <w:rPr>
          <w:rFonts w:hint="eastAsia" w:ascii="仿宋" w:hAnsi="仿宋" w:eastAsia="仿宋" w:cs="仿宋"/>
          <w:color w:val="000000"/>
          <w:spacing w:val="-1"/>
          <w:kern w:val="0"/>
          <w:sz w:val="32"/>
          <w:szCs w:val="22"/>
          <w:lang w:val="en-US" w:eastAsia="zh-CN" w:bidi="ar-SA"/>
        </w:rPr>
        <w:t>万,主要用于用于项目启动会议、健康宣教质量控制、指导基层医疗卫生单位开展全人群脑卒中风险评估、开展人群相关的实验室检验、颈动脉超声检查及院内脑卒中高危人群健康综合干预、项目地区数据复核等工作。</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36" w:firstLineChars="200"/>
        <w:textAlignment w:val="auto"/>
        <w:outlineLvl w:val="9"/>
        <w:rPr>
          <w:rFonts w:hint="eastAsia" w:ascii="仿宋" w:hAnsi="仿宋" w:eastAsia="仿宋" w:cs="仿宋"/>
          <w:color w:val="000000"/>
          <w:spacing w:val="-1"/>
          <w:kern w:val="0"/>
          <w:sz w:val="32"/>
          <w:szCs w:val="22"/>
          <w:lang w:val="en-US" w:eastAsia="zh-CN" w:bidi="ar-SA"/>
        </w:rPr>
      </w:pPr>
      <w:r>
        <w:rPr>
          <w:rFonts w:hint="eastAsia" w:ascii="仿宋" w:hAnsi="仿宋" w:eastAsia="仿宋" w:cs="仿宋"/>
          <w:color w:val="000000"/>
          <w:spacing w:val="-1"/>
          <w:kern w:val="0"/>
          <w:sz w:val="32"/>
          <w:szCs w:val="22"/>
          <w:lang w:val="en-US" w:eastAsia="zh-CN" w:bidi="ar-SA"/>
        </w:rPr>
        <w:t>阳光社区卫生服务中心26万,主要用于组织动员筛查人群、宣传教育、项目启动、筛查现场建档、问卷填写,体格检査、数据收集、整理、直报、质控、健康综合干预等工作。</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36" w:firstLineChars="200"/>
        <w:textAlignment w:val="auto"/>
        <w:outlineLvl w:val="9"/>
        <w:rPr>
          <w:rFonts w:hint="eastAsia" w:ascii="仿宋" w:hAnsi="仿宋" w:eastAsia="仿宋" w:cs="仿宋"/>
          <w:color w:val="000000"/>
          <w:spacing w:val="-1"/>
          <w:kern w:val="0"/>
          <w:sz w:val="32"/>
          <w:szCs w:val="22"/>
          <w:lang w:val="en-US" w:eastAsia="zh-CN" w:bidi="ar-SA"/>
        </w:rPr>
      </w:pPr>
      <w:r>
        <w:rPr>
          <w:rFonts w:hint="eastAsia" w:ascii="仿宋" w:hAnsi="仿宋" w:eastAsia="仿宋" w:cs="仿宋"/>
          <w:color w:val="000000"/>
          <w:spacing w:val="-1"/>
          <w:kern w:val="0"/>
          <w:sz w:val="32"/>
          <w:szCs w:val="22"/>
          <w:lang w:val="en-US" w:eastAsia="zh-CN" w:bidi="ar-SA"/>
        </w:rPr>
        <w:t>经费使用范围为:项目启动、培训费、专家讲课费、材料印刷费、人员交通费用、物料或设备运输、差旅费等。专家现场督导费、数据抽检质控费用、专家咨询费用、数据分析利用费用、现场筛查干预数据辅助录入、上报、分析等软硬件设备(如平板电脑、无线网卡等),宣教演示设备(投影仪等)。</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360" w:lineRule="auto"/>
        <w:ind w:left="0" w:leftChars="0" w:right="0" w:rightChars="0" w:firstLine="636" w:firstLineChars="200"/>
        <w:jc w:val="left"/>
        <w:textAlignment w:val="auto"/>
        <w:outlineLvl w:val="9"/>
        <w:rPr>
          <w:rFonts w:hint="eastAsia" w:ascii="仿宋" w:hAnsi="仿宋" w:eastAsia="仿宋" w:cs="仿宋"/>
          <w:color w:val="000000"/>
          <w:spacing w:val="-1"/>
          <w:sz w:val="32"/>
          <w:lang w:val="en-US" w:eastAsia="zh-CN"/>
        </w:rPr>
      </w:pPr>
      <w:r>
        <w:rPr>
          <w:rFonts w:hint="eastAsia" w:ascii="仿宋" w:hAnsi="仿宋" w:eastAsia="仿宋" w:cs="仿宋"/>
          <w:color w:val="000000"/>
          <w:spacing w:val="-1"/>
          <w:kern w:val="0"/>
          <w:sz w:val="32"/>
          <w:szCs w:val="22"/>
          <w:lang w:val="en-US" w:eastAsia="zh-CN" w:bidi="ar-SA"/>
        </w:rPr>
        <w:t>经费使用范围和执行标准参考</w:t>
      </w:r>
      <w:r>
        <w:rPr>
          <w:rFonts w:hint="eastAsia" w:ascii="仿宋" w:hAnsi="仿宋" w:eastAsia="仿宋" w:cs="仿宋"/>
          <w:color w:val="000000"/>
          <w:spacing w:val="-1"/>
          <w:sz w:val="32"/>
          <w:lang w:val="en-US" w:eastAsia="zh-CN"/>
        </w:rPr>
        <w:t>《2022年度脑卒中高危人群筛查与干预项目实施方案》（国卫脑防委员函[2022]1号）要求。</w:t>
      </w:r>
    </w:p>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line="560" w:lineRule="exact"/>
        <w:ind w:left="0" w:leftChars="0" w:right="0" w:rightChars="0" w:firstLine="636" w:firstLineChars="200"/>
        <w:jc w:val="left"/>
        <w:textAlignment w:val="auto"/>
        <w:outlineLvl w:val="9"/>
        <w:rPr>
          <w:rFonts w:hint="eastAsia" w:ascii="仿宋" w:hAnsi="仿宋" w:eastAsia="仿宋" w:cs="仿宋"/>
          <w:color w:val="000000"/>
          <w:spacing w:val="-1"/>
          <w:sz w:val="32"/>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left="895" w:leftChars="0" w:right="0" w:rightChars="0"/>
        <w:jc w:val="left"/>
        <w:textAlignment w:val="auto"/>
        <w:outlineLvl w:val="9"/>
        <w:rPr>
          <w:rFonts w:hint="eastAsia" w:ascii="黑体" w:hAnsi="黑体" w:eastAsia="黑体" w:cs="黑体"/>
          <w:b/>
          <w:bCs/>
          <w:color w:val="000000"/>
          <w:spacing w:val="1"/>
          <w:sz w:val="32"/>
          <w:lang w:val="en-US" w:eastAsia="zh-CN"/>
        </w:rPr>
      </w:pPr>
    </w:p>
    <w:p>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560" w:lineRule="exact"/>
        <w:ind w:leftChars="333" w:right="0" w:rightChars="0"/>
        <w:jc w:val="left"/>
        <w:textAlignment w:val="auto"/>
        <w:outlineLvl w:val="9"/>
        <w:rPr>
          <w:rFonts w:hint="eastAsia" w:ascii="仿宋" w:hAnsi="仿宋" w:eastAsia="仿宋" w:cs="仿宋"/>
          <w:color w:val="000000"/>
          <w:spacing w:val="-1"/>
          <w:sz w:val="32"/>
          <w:lang w:val="en-US" w:eastAsia="zh-CN"/>
        </w:rPr>
      </w:pPr>
    </w:p>
    <w:p>
      <w:pPr>
        <w:keepNext w:val="0"/>
        <w:keepLines w:val="0"/>
        <w:pageBreakBefore w:val="0"/>
        <w:widowControl w:val="0"/>
        <w:kinsoku/>
        <w:wordWrap/>
        <w:overflowPunct/>
        <w:topLinePunct w:val="0"/>
        <w:autoSpaceDE w:val="0"/>
        <w:autoSpaceDN w:val="0"/>
        <w:bidi w:val="0"/>
        <w:adjustRightInd/>
        <w:snapToGrid/>
        <w:spacing w:before="305" w:after="0" w:line="560" w:lineRule="exact"/>
        <w:ind w:left="0" w:right="0" w:firstLine="0"/>
        <w:jc w:val="left"/>
        <w:textAlignment w:val="auto"/>
        <w:outlineLvl w:val="9"/>
        <w:rPr>
          <w:rFonts w:hint="eastAsia" w:ascii="仿宋" w:hAnsi="仿宋" w:eastAsia="仿宋" w:cs="仿宋"/>
          <w:color w:val="000000"/>
          <w:spacing w:val="-1"/>
          <w:sz w:val="32"/>
          <w:lang w:val="en-US" w:eastAsia="zh-CN"/>
        </w:rPr>
      </w:pPr>
    </w:p>
    <w:p>
      <w:pPr>
        <w:widowControl w:val="0"/>
        <w:autoSpaceDE w:val="0"/>
        <w:autoSpaceDN w:val="0"/>
        <w:spacing w:before="305" w:after="0" w:line="319" w:lineRule="exact"/>
        <w:ind w:left="0" w:right="0" w:firstLine="0"/>
        <w:jc w:val="left"/>
        <w:rPr>
          <w:rFonts w:hint="eastAsia" w:ascii="楷体" w:hAnsi="楷体" w:eastAsia="楷体" w:cs="楷体"/>
          <w:b/>
          <w:bCs/>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2C1B129"/>
    <w:multiLevelType w:val="singleLevel"/>
    <w:tmpl w:val="C2C1B129"/>
    <w:lvl w:ilvl="0" w:tentative="0">
      <w:start w:val="1"/>
      <w:numFmt w:val="chineseCounting"/>
      <w:suff w:val="nothing"/>
      <w:lvlText w:val="（%1）"/>
      <w:lvlJc w:val="left"/>
      <w:pPr>
        <w:ind w:left="895" w:leftChars="0" w:firstLine="0" w:firstLineChars="0"/>
      </w:pPr>
      <w:rPr>
        <w:rFonts w:hint="eastAsia"/>
      </w:rPr>
    </w:lvl>
  </w:abstractNum>
  <w:abstractNum w:abstractNumId="1">
    <w:nsid w:val="37323F10"/>
    <w:multiLevelType w:val="singleLevel"/>
    <w:tmpl w:val="37323F10"/>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10621F"/>
    <w:rsid w:val="03030087"/>
    <w:rsid w:val="042A5784"/>
    <w:rsid w:val="0A564F72"/>
    <w:rsid w:val="0E93041B"/>
    <w:rsid w:val="0F624AA9"/>
    <w:rsid w:val="0FDB161F"/>
    <w:rsid w:val="11BE0F23"/>
    <w:rsid w:val="12C727E5"/>
    <w:rsid w:val="14582632"/>
    <w:rsid w:val="16506DF9"/>
    <w:rsid w:val="1DC24CED"/>
    <w:rsid w:val="25424C3C"/>
    <w:rsid w:val="2A0331EA"/>
    <w:rsid w:val="2E491C87"/>
    <w:rsid w:val="308A249D"/>
    <w:rsid w:val="32DA0606"/>
    <w:rsid w:val="37144C50"/>
    <w:rsid w:val="384E6D85"/>
    <w:rsid w:val="3A065CA2"/>
    <w:rsid w:val="3AA2674B"/>
    <w:rsid w:val="40CE69AF"/>
    <w:rsid w:val="4BF67C52"/>
    <w:rsid w:val="50D45591"/>
    <w:rsid w:val="524B5FBD"/>
    <w:rsid w:val="5DBB6503"/>
    <w:rsid w:val="5EB72BC8"/>
    <w:rsid w:val="64FB15C5"/>
    <w:rsid w:val="668333C1"/>
    <w:rsid w:val="66D52883"/>
    <w:rsid w:val="6B055FFE"/>
    <w:rsid w:val="6D6906DA"/>
    <w:rsid w:val="720F38E9"/>
    <w:rsid w:val="76F51212"/>
    <w:rsid w:val="7D3163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en-US" w:eastAsia="en-US" w:bidi="ar-SA"/>
    </w:rPr>
  </w:style>
  <w:style w:type="character" w:default="1" w:styleId="3">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character" w:customStyle="1" w:styleId="5">
    <w:name w:val="fontstyle01"/>
    <w:basedOn w:val="3"/>
    <w:qFormat/>
    <w:uiPriority w:val="0"/>
    <w:rPr>
      <w:rFonts w:ascii="仿宋" w:hAnsi="仿宋" w:eastAsia="仿宋" w:cs="仿宋"/>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2226</Words>
  <Characters>2358</Characters>
  <Lines>0</Lines>
  <Paragraphs>0</Paragraphs>
  <TotalTime>7</TotalTime>
  <ScaleCrop>false</ScaleCrop>
  <LinksUpToDate>false</LinksUpToDate>
  <CharactersWithSpaces>2370</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2021-11-25T00:58:00Z</dcterms:created>
  <dc:creator>Administrator</dc:creator>
  <cp:lastModifiedBy>烨</cp:lastModifiedBy>
  <cp:lastPrinted>2022-05-17T09:47:00Z</cp:lastPrinted>
  <dcterms:modified xsi:type="dcterms:W3CDTF">2022-07-04T09:38:40Z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6185DACF09BC48119263F8B8FE0A0BC3</vt:lpwstr>
  </property>
</Properties>
</file>