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verflowPunct w:val="0"/>
        <w:autoSpaceDE w:val="0"/>
        <w:jc w:val="center"/>
        <w:rPr>
          <w:rFonts w:ascii="Times New Roman" w:hAnsi="Times New Roman" w:eastAsia="华文宋体"/>
          <w:b/>
          <w:bCs/>
          <w:color w:val="000000"/>
          <w:sz w:val="36"/>
          <w:szCs w:val="36"/>
        </w:rPr>
      </w:pPr>
    </w:p>
    <w:p>
      <w:pPr>
        <w:overflowPunct w:val="0"/>
        <w:autoSpaceDE w:val="0"/>
        <w:jc w:val="center"/>
        <w:rPr>
          <w:rFonts w:ascii="Times New Roman" w:hAnsi="Times New Roman" w:eastAsia="方正小标宋简体"/>
          <w:bCs/>
          <w:color w:val="000000"/>
          <w:sz w:val="52"/>
          <w:szCs w:val="52"/>
        </w:rPr>
      </w:pPr>
      <w:r>
        <w:rPr>
          <w:rFonts w:ascii="Times New Roman" w:hAnsi="Times New Roman" w:eastAsia="方正小标宋简体"/>
          <w:bCs/>
          <w:color w:val="000000"/>
          <w:sz w:val="52"/>
          <w:szCs w:val="52"/>
        </w:rPr>
        <w:t>铜官区“十四五”工业和信息化</w:t>
      </w:r>
    </w:p>
    <w:p>
      <w:pPr>
        <w:overflowPunct w:val="0"/>
        <w:autoSpaceDE w:val="0"/>
        <w:jc w:val="center"/>
        <w:rPr>
          <w:rFonts w:ascii="Times New Roman" w:hAnsi="Times New Roman" w:eastAsia="方正小标宋简体"/>
          <w:bCs/>
          <w:color w:val="000000"/>
          <w:sz w:val="52"/>
          <w:szCs w:val="52"/>
        </w:rPr>
      </w:pPr>
      <w:r>
        <w:rPr>
          <w:rFonts w:ascii="Times New Roman" w:hAnsi="Times New Roman" w:eastAsia="方正小标宋简体"/>
          <w:bCs/>
          <w:color w:val="000000"/>
          <w:sz w:val="52"/>
          <w:szCs w:val="52"/>
        </w:rPr>
        <w:t>发 展 规 划</w:t>
      </w:r>
    </w:p>
    <w:p>
      <w:pPr>
        <w:pStyle w:val="2"/>
        <w:jc w:val="center"/>
        <w:rPr>
          <w:rFonts w:hint="eastAsia" w:eastAsia="方正小标宋简体"/>
          <w:b w:val="0"/>
          <w:bCs w:val="0"/>
          <w:sz w:val="20"/>
          <w:szCs w:val="20"/>
          <w:lang w:eastAsia="zh-CN"/>
        </w:rPr>
      </w:pPr>
      <w:r>
        <w:rPr>
          <w:rFonts w:hint="eastAsia" w:ascii="Times New Roman" w:hAnsi="Times New Roman" w:eastAsia="方正小标宋简体"/>
          <w:b w:val="0"/>
          <w:bCs w:val="0"/>
          <w:color w:val="000000"/>
          <w:sz w:val="36"/>
          <w:szCs w:val="36"/>
          <w:lang w:eastAsia="zh-CN"/>
        </w:rPr>
        <w:t>（公众征求意见稿）</w:t>
      </w:r>
    </w:p>
    <w:p>
      <w:pPr>
        <w:overflowPunct w:val="0"/>
        <w:autoSpaceDE w:val="0"/>
        <w:jc w:val="center"/>
        <w:rPr>
          <w:rFonts w:ascii="Times New Roman" w:hAnsi="Times New Roman" w:eastAsia="华文宋体"/>
          <w:b/>
          <w:bCs/>
          <w:color w:val="000000"/>
          <w:sz w:val="36"/>
          <w:szCs w:val="36"/>
        </w:rPr>
      </w:pPr>
    </w:p>
    <w:p>
      <w:pPr>
        <w:pStyle w:val="10"/>
        <w:overflowPunct w:val="0"/>
        <w:autoSpaceDE w:val="0"/>
        <w:ind w:firstLine="721"/>
        <w:rPr>
          <w:rFonts w:ascii="Times New Roman" w:hAnsi="Times New Roman" w:eastAsia="华文宋体"/>
          <w:b/>
          <w:bCs/>
          <w:color w:val="000000"/>
          <w:sz w:val="36"/>
          <w:szCs w:val="36"/>
        </w:rPr>
      </w:pPr>
      <w:bookmarkStart w:id="117" w:name="_GoBack"/>
      <w:bookmarkEnd w:id="117"/>
    </w:p>
    <w:p>
      <w:pPr>
        <w:pStyle w:val="10"/>
        <w:overflowPunct w:val="0"/>
        <w:autoSpaceDE w:val="0"/>
        <w:ind w:firstLine="721"/>
        <w:rPr>
          <w:rFonts w:ascii="Times New Roman" w:hAnsi="Times New Roman" w:eastAsia="华文宋体"/>
          <w:b/>
          <w:bCs/>
          <w:color w:val="000000"/>
          <w:sz w:val="36"/>
          <w:szCs w:val="36"/>
        </w:rPr>
      </w:pPr>
    </w:p>
    <w:p>
      <w:pPr>
        <w:pStyle w:val="10"/>
        <w:overflowPunct w:val="0"/>
        <w:autoSpaceDE w:val="0"/>
        <w:ind w:firstLine="721"/>
        <w:rPr>
          <w:rFonts w:ascii="Times New Roman" w:hAnsi="Times New Roman" w:eastAsia="华文宋体"/>
          <w:b/>
          <w:bCs/>
          <w:color w:val="000000"/>
          <w:sz w:val="36"/>
          <w:szCs w:val="36"/>
        </w:rPr>
      </w:pPr>
    </w:p>
    <w:p>
      <w:pPr>
        <w:pStyle w:val="10"/>
        <w:overflowPunct w:val="0"/>
        <w:autoSpaceDE w:val="0"/>
        <w:ind w:firstLine="721"/>
        <w:rPr>
          <w:rFonts w:ascii="Times New Roman" w:hAnsi="Times New Roman" w:eastAsia="华文宋体"/>
          <w:b/>
          <w:bCs/>
          <w:color w:val="000000"/>
          <w:sz w:val="36"/>
          <w:szCs w:val="36"/>
        </w:rPr>
      </w:pPr>
    </w:p>
    <w:p>
      <w:pPr>
        <w:pStyle w:val="10"/>
        <w:overflowPunct w:val="0"/>
        <w:autoSpaceDE w:val="0"/>
        <w:ind w:firstLine="721"/>
        <w:rPr>
          <w:rFonts w:ascii="Times New Roman" w:hAnsi="Times New Roman" w:eastAsia="华文宋体"/>
          <w:b/>
          <w:bCs/>
          <w:color w:val="000000"/>
          <w:sz w:val="36"/>
          <w:szCs w:val="36"/>
        </w:rPr>
      </w:pPr>
    </w:p>
    <w:p>
      <w:pPr>
        <w:pStyle w:val="10"/>
        <w:overflowPunct w:val="0"/>
        <w:autoSpaceDE w:val="0"/>
        <w:ind w:firstLine="721"/>
        <w:rPr>
          <w:rFonts w:ascii="Times New Roman" w:hAnsi="Times New Roman" w:eastAsia="华文宋体"/>
          <w:b/>
          <w:bCs/>
          <w:color w:val="000000"/>
          <w:sz w:val="36"/>
          <w:szCs w:val="36"/>
        </w:rPr>
      </w:pPr>
    </w:p>
    <w:p>
      <w:pPr>
        <w:pStyle w:val="10"/>
        <w:overflowPunct w:val="0"/>
        <w:autoSpaceDE w:val="0"/>
        <w:ind w:firstLine="721"/>
        <w:rPr>
          <w:rFonts w:ascii="Times New Roman" w:hAnsi="Times New Roman" w:eastAsia="华文宋体"/>
          <w:b/>
          <w:bCs/>
          <w:color w:val="000000"/>
          <w:sz w:val="36"/>
          <w:szCs w:val="36"/>
        </w:rPr>
      </w:pPr>
    </w:p>
    <w:p>
      <w:pPr>
        <w:pStyle w:val="10"/>
        <w:overflowPunct w:val="0"/>
        <w:autoSpaceDE w:val="0"/>
        <w:ind w:firstLine="721"/>
        <w:rPr>
          <w:rFonts w:ascii="Times New Roman" w:hAnsi="Times New Roman" w:eastAsia="华文宋体"/>
          <w:b/>
          <w:bCs/>
          <w:color w:val="000000"/>
          <w:sz w:val="36"/>
          <w:szCs w:val="36"/>
        </w:rPr>
      </w:pPr>
    </w:p>
    <w:p>
      <w:pPr>
        <w:pStyle w:val="10"/>
        <w:overflowPunct w:val="0"/>
        <w:autoSpaceDE w:val="0"/>
        <w:jc w:val="center"/>
        <w:rPr>
          <w:rFonts w:hint="eastAsia" w:ascii="Times New Roman" w:hAnsi="Times New Roman" w:eastAsia="楷体_GB2312"/>
          <w:bCs/>
          <w:color w:val="000000"/>
          <w:sz w:val="32"/>
          <w:szCs w:val="32"/>
        </w:rPr>
      </w:pPr>
    </w:p>
    <w:p>
      <w:pPr>
        <w:pStyle w:val="10"/>
        <w:overflowPunct w:val="0"/>
        <w:autoSpaceDE w:val="0"/>
        <w:jc w:val="center"/>
        <w:rPr>
          <w:rFonts w:ascii="Times New Roman" w:hAnsi="Times New Roman" w:eastAsia="楷体_GB2312"/>
          <w:bCs/>
          <w:color w:val="000000"/>
          <w:sz w:val="32"/>
          <w:szCs w:val="32"/>
        </w:rPr>
      </w:pPr>
    </w:p>
    <w:p>
      <w:pPr>
        <w:pStyle w:val="10"/>
        <w:overflowPunct w:val="0"/>
        <w:autoSpaceDE w:val="0"/>
        <w:jc w:val="center"/>
        <w:rPr>
          <w:rFonts w:ascii="楷体" w:hAnsi="楷体" w:eastAsia="楷体" w:cs="楷体"/>
          <w:bCs/>
          <w:color w:val="000000"/>
          <w:sz w:val="40"/>
          <w:szCs w:val="40"/>
        </w:rPr>
      </w:pPr>
      <w:r>
        <w:rPr>
          <w:rFonts w:hint="eastAsia" w:ascii="楷体" w:hAnsi="楷体" w:eastAsia="楷体" w:cs="楷体"/>
          <w:bCs/>
          <w:color w:val="000000"/>
          <w:sz w:val="40"/>
          <w:szCs w:val="40"/>
        </w:rPr>
        <w:t>铜官区经济和信息化局</w:t>
      </w:r>
    </w:p>
    <w:p>
      <w:pPr>
        <w:pStyle w:val="10"/>
        <w:overflowPunct w:val="0"/>
        <w:autoSpaceDE w:val="0"/>
        <w:jc w:val="center"/>
        <w:rPr>
          <w:rFonts w:ascii="Times New Roman" w:hAnsi="Times New Roman" w:eastAsia="楷体_GB2312"/>
          <w:bCs/>
          <w:color w:val="000000"/>
          <w:sz w:val="40"/>
          <w:szCs w:val="40"/>
        </w:rPr>
      </w:pPr>
      <w:r>
        <w:rPr>
          <w:rFonts w:ascii="Times New Roman" w:hAnsi="Times New Roman" w:eastAsia="楷体_GB2312"/>
          <w:bCs/>
          <w:color w:val="000000"/>
          <w:sz w:val="40"/>
          <w:szCs w:val="40"/>
        </w:rPr>
        <w:t>202</w:t>
      </w:r>
      <w:r>
        <w:rPr>
          <w:rFonts w:hint="eastAsia" w:ascii="Times New Roman" w:hAnsi="Times New Roman" w:eastAsia="楷体_GB2312"/>
          <w:bCs/>
          <w:color w:val="000000"/>
          <w:sz w:val="40"/>
          <w:szCs w:val="40"/>
        </w:rPr>
        <w:t>2</w:t>
      </w:r>
      <w:r>
        <w:rPr>
          <w:rFonts w:ascii="Times New Roman" w:hAnsi="Times New Roman" w:eastAsia="楷体_GB2312"/>
          <w:bCs/>
          <w:color w:val="000000"/>
          <w:sz w:val="40"/>
          <w:szCs w:val="40"/>
        </w:rPr>
        <w:t>年</w:t>
      </w:r>
      <w:r>
        <w:rPr>
          <w:rFonts w:hint="eastAsia" w:ascii="Times New Roman" w:hAnsi="Times New Roman" w:eastAsia="楷体_GB2312"/>
          <w:bCs/>
          <w:color w:val="000000"/>
          <w:sz w:val="40"/>
          <w:szCs w:val="40"/>
        </w:rPr>
        <w:t>4</w:t>
      </w:r>
      <w:r>
        <w:rPr>
          <w:rFonts w:ascii="Times New Roman" w:hAnsi="Times New Roman" w:eastAsia="楷体_GB2312"/>
          <w:bCs/>
          <w:color w:val="000000"/>
          <w:sz w:val="40"/>
          <w:szCs w:val="40"/>
        </w:rPr>
        <w:t>月</w:t>
      </w:r>
    </w:p>
    <w:p>
      <w:pPr>
        <w:pStyle w:val="10"/>
        <w:overflowPunct w:val="0"/>
        <w:autoSpaceDE w:val="0"/>
        <w:jc w:val="center"/>
        <w:rPr>
          <w:rFonts w:ascii="Times New Roman" w:hAnsi="Times New Roman" w:eastAsia="楷体_GB2312"/>
          <w:bCs/>
          <w:color w:val="000000"/>
          <w:sz w:val="32"/>
          <w:szCs w:val="32"/>
        </w:rPr>
      </w:pPr>
    </w:p>
    <w:p>
      <w:pPr>
        <w:pStyle w:val="10"/>
        <w:overflowPunct w:val="0"/>
        <w:autoSpaceDE w:val="0"/>
        <w:jc w:val="center"/>
        <w:rPr>
          <w:rFonts w:ascii="Times New Roman" w:hAnsi="Times New Roman" w:eastAsia="楷体_GB2312"/>
          <w:bCs/>
          <w:color w:val="000000"/>
          <w:sz w:val="32"/>
          <w:szCs w:val="32"/>
        </w:rPr>
      </w:pPr>
    </w:p>
    <w:p>
      <w:pPr>
        <w:overflowPunct w:val="0"/>
        <w:autoSpaceDE w:val="0"/>
        <w:jc w:val="left"/>
        <w:rPr>
          <w:rFonts w:ascii="Times New Roman" w:hAnsi="Times New Roman" w:eastAsia="华文宋体"/>
          <w:b/>
          <w:bCs/>
          <w:color w:val="000000"/>
          <w:sz w:val="32"/>
          <w:szCs w:val="32"/>
        </w:rPr>
      </w:pPr>
      <w:r>
        <w:rPr>
          <w:rFonts w:ascii="Times New Roman" w:hAnsi="Times New Roman" w:eastAsia="华文宋体"/>
          <w:b/>
          <w:bCs/>
          <w:color w:val="000000"/>
          <w:sz w:val="32"/>
          <w:szCs w:val="32"/>
        </w:rPr>
        <w:br w:type="page"/>
      </w:r>
    </w:p>
    <w:p>
      <w:pPr>
        <w:spacing w:line="580" w:lineRule="exact"/>
        <w:jc w:val="center"/>
        <w:rPr>
          <w:rFonts w:ascii="黑体" w:hAnsi="黑体" w:eastAsia="黑体" w:cs="黑体"/>
          <w:sz w:val="44"/>
          <w:szCs w:val="44"/>
        </w:rPr>
      </w:pPr>
    </w:p>
    <w:p>
      <w:pPr>
        <w:spacing w:line="580" w:lineRule="exact"/>
        <w:jc w:val="center"/>
        <w:rPr>
          <w:rFonts w:ascii="黑体" w:hAnsi="黑体" w:eastAsia="黑体" w:cs="黑体"/>
          <w:sz w:val="44"/>
          <w:szCs w:val="44"/>
          <w:highlight w:val="yellow"/>
        </w:rPr>
      </w:pPr>
      <w:r>
        <w:rPr>
          <w:rFonts w:hint="eastAsia" w:ascii="黑体" w:hAnsi="黑体" w:eastAsia="黑体" w:cs="黑体"/>
          <w:sz w:val="44"/>
          <w:szCs w:val="44"/>
          <w:highlight w:val="yellow"/>
        </w:rPr>
        <w:t>目  录</w:t>
      </w:r>
    </w:p>
    <w:p>
      <w:pPr>
        <w:pStyle w:val="24"/>
        <w:tabs>
          <w:tab w:val="right" w:leader="dot" w:pos="9062"/>
        </w:tabs>
        <w:overflowPunct w:val="0"/>
        <w:autoSpaceDE w:val="0"/>
        <w:spacing w:line="580" w:lineRule="exact"/>
        <w:ind w:firstLine="560"/>
        <w:rPr>
          <w:sz w:val="32"/>
          <w:szCs w:val="32"/>
          <w:highlight w:val="yellow"/>
        </w:rPr>
      </w:pP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第一章 发展基础</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16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主要成就</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16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突出问题</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19</w:t>
      </w: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第二章 发展环境</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20</w:t>
      </w:r>
    </w:p>
    <w:p>
      <w:pPr>
        <w:pStyle w:val="24"/>
        <w:tabs>
          <w:tab w:val="right" w:leader="dot" w:pos="9062"/>
        </w:tabs>
        <w:overflowPunct w:val="0"/>
        <w:autoSpaceDE w:val="0"/>
        <w:spacing w:line="580" w:lineRule="exact"/>
        <w:ind w:left="0"/>
        <w:rPr>
          <w:rStyle w:val="36"/>
          <w:rFonts w:ascii="Times New Roman" w:hAnsi="Times New Roman" w:eastAsia="仿宋_GB2312" w:cs="Times New Roman"/>
          <w:smallCaps w:val="0"/>
          <w:color w:val="000000"/>
          <w:sz w:val="32"/>
          <w:szCs w:val="32"/>
          <w:highlight w:val="yellow"/>
          <w:u w:val="none"/>
        </w:rPr>
      </w:pPr>
      <w:r>
        <w:rPr>
          <w:rFonts w:hint="eastAsia" w:ascii="黑体" w:hAnsi="黑体" w:eastAsia="黑体" w:cs="黑体"/>
          <w:sz w:val="32"/>
          <w:szCs w:val="32"/>
          <w:highlight w:val="yellow"/>
        </w:rPr>
        <w:t>第三章 总体思路</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23</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指导思想</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23</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基本原则</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24</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第三节 主要目标</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25</w:t>
      </w: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第四章 优化产业空间布局，提升园区发展水平</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28</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构建“一区四园”发展格局</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28</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引导生产空间集约高效</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30</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第三节 促进生活空间宜居适度</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30</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第四节 实现生态空间山清水秀</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31</w:t>
      </w: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第五章 壮大优势主导产业，推动产业集群发展</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32</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铜基新材料产业</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32</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高端装备制造业</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37</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第三节 新型电子信息产业</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42</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第四节 化工新材料产业</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47</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第五节 医卫大健康产业</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50</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第六节 非煤矿山领域</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52</w:t>
      </w: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第六章 融合发展第三产业，增强工业发展支撑</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54</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科技服务</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55</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现代物流</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56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第三节 电子商务</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57</w:t>
      </w: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第七章 强化数字经济引领，完善新型基础设施</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59</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实施“5G +工业互联网”</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59</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努力打造创新型智慧园区</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61</w:t>
      </w: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第八章 实施九大重点工程，增强工业竞争优势</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63</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三重一创专项工程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63</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产业提质增效工程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65</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第三节 高质量技术改造工程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66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第四节 优质企业培育工程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67</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第五节 两化融合发展工程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68</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第六节 创业促进引领工程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69</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第七节 绿色制造推广工程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70</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第八节 品牌质量提升工程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71</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第九节 民营经济壮大工程</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72</w:t>
      </w:r>
    </w:p>
    <w:p>
      <w:pPr>
        <w:pStyle w:val="24"/>
        <w:tabs>
          <w:tab w:val="right" w:leader="dot" w:pos="9062"/>
        </w:tabs>
        <w:overflowPunct w:val="0"/>
        <w:autoSpaceDE w:val="0"/>
        <w:spacing w:line="580" w:lineRule="exact"/>
        <w:ind w:left="0"/>
        <w:rPr>
          <w:rFonts w:ascii="黑体" w:hAnsi="黑体" w:eastAsia="黑体" w:cs="黑体"/>
          <w:sz w:val="32"/>
          <w:szCs w:val="32"/>
          <w:highlight w:val="yellow"/>
        </w:rPr>
      </w:pPr>
      <w:r>
        <w:rPr>
          <w:rFonts w:hint="eastAsia" w:ascii="黑体" w:hAnsi="黑体" w:eastAsia="黑体" w:cs="黑体"/>
          <w:sz w:val="32"/>
          <w:szCs w:val="32"/>
          <w:highlight w:val="yellow"/>
        </w:rPr>
        <w:t>第九章 保障措施</w:t>
      </w:r>
      <w:r>
        <w:rPr>
          <w:rFonts w:hint="eastAsia" w:ascii="黑体" w:hAnsi="黑体" w:eastAsia="黑体" w:cs="黑体"/>
          <w:sz w:val="32"/>
          <w:szCs w:val="32"/>
          <w:highlight w:val="yellow"/>
        </w:rPr>
        <w:tab/>
      </w:r>
      <w:r>
        <w:rPr>
          <w:rFonts w:hint="eastAsia" w:ascii="黑体" w:hAnsi="黑体" w:eastAsia="黑体" w:cs="黑体"/>
          <w:sz w:val="32"/>
          <w:szCs w:val="32"/>
          <w:highlight w:val="yellow"/>
        </w:rPr>
        <w:t>76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第一节 加强统筹协调</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第二节 创新工作机制</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第三节 强化要素保障</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76</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highlight w:val="yellow"/>
          <w:u w:val="none"/>
        </w:rPr>
      </w:pPr>
      <w:r>
        <w:rPr>
          <w:rStyle w:val="36"/>
          <w:rFonts w:hint="eastAsia" w:ascii="Times New Roman" w:hAnsi="Times New Roman" w:eastAsia="仿宋_GB2312" w:cs="Times New Roman"/>
          <w:smallCaps w:val="0"/>
          <w:color w:val="000000"/>
          <w:sz w:val="32"/>
          <w:szCs w:val="32"/>
          <w:highlight w:val="yellow"/>
          <w:u w:val="none"/>
        </w:rPr>
        <w:t>第四节 扩大对外开放</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77</w:t>
      </w:r>
    </w:p>
    <w:p>
      <w:pPr>
        <w:pStyle w:val="24"/>
        <w:tabs>
          <w:tab w:val="right" w:leader="dot" w:pos="9062"/>
        </w:tabs>
        <w:overflowPunct w:val="0"/>
        <w:autoSpaceDE w:val="0"/>
        <w:spacing w:line="580" w:lineRule="exact"/>
        <w:ind w:firstLine="560"/>
        <w:rPr>
          <w:rStyle w:val="36"/>
          <w:rFonts w:ascii="Times New Roman" w:hAnsi="Times New Roman" w:eastAsia="仿宋_GB2312" w:cs="Times New Roman"/>
          <w:smallCaps w:val="0"/>
          <w:color w:val="000000"/>
          <w:sz w:val="32"/>
          <w:szCs w:val="32"/>
          <w:u w:val="none"/>
        </w:rPr>
      </w:pPr>
      <w:r>
        <w:rPr>
          <w:rStyle w:val="36"/>
          <w:rFonts w:hint="eastAsia" w:ascii="Times New Roman" w:hAnsi="Times New Roman" w:eastAsia="仿宋_GB2312" w:cs="Times New Roman"/>
          <w:smallCaps w:val="0"/>
          <w:color w:val="000000"/>
          <w:sz w:val="32"/>
          <w:szCs w:val="32"/>
          <w:highlight w:val="yellow"/>
          <w:u w:val="none"/>
        </w:rPr>
        <w:t>第五节 严格考核评估</w:t>
      </w:r>
      <w:r>
        <w:rPr>
          <w:rStyle w:val="36"/>
          <w:rFonts w:hint="eastAsia" w:ascii="Times New Roman" w:hAnsi="Times New Roman" w:eastAsia="仿宋_GB2312" w:cs="Times New Roman"/>
          <w:smallCaps w:val="0"/>
          <w:color w:val="000000"/>
          <w:sz w:val="32"/>
          <w:szCs w:val="32"/>
          <w:highlight w:val="yellow"/>
          <w:u w:val="none"/>
        </w:rPr>
        <w:tab/>
      </w:r>
      <w:r>
        <w:rPr>
          <w:rStyle w:val="36"/>
          <w:rFonts w:hint="eastAsia" w:ascii="Times New Roman" w:hAnsi="Times New Roman" w:eastAsia="仿宋_GB2312" w:cs="Times New Roman"/>
          <w:smallCaps w:val="0"/>
          <w:color w:val="000000"/>
          <w:sz w:val="32"/>
          <w:szCs w:val="32"/>
          <w:highlight w:val="yellow"/>
          <w:u w:val="none"/>
        </w:rPr>
        <w:t>77</w:t>
      </w:r>
    </w:p>
    <w:p>
      <w:pPr>
        <w:pStyle w:val="10"/>
        <w:overflowPunct w:val="0"/>
        <w:autoSpaceDE w:val="0"/>
        <w:rPr>
          <w:rFonts w:ascii="Times New Roman" w:hAnsi="Times New Roman" w:eastAsia="华文宋体"/>
          <w:color w:val="000000"/>
          <w:sz w:val="32"/>
        </w:rPr>
      </w:pPr>
      <w:r>
        <w:rPr>
          <w:rFonts w:ascii="Times New Roman" w:hAnsi="Times New Roman" w:eastAsia="华文宋体"/>
          <w:color w:val="000000"/>
          <w:sz w:val="32"/>
        </w:rPr>
        <w:br w:type="page"/>
      </w:r>
    </w:p>
    <w:p>
      <w:pPr>
        <w:pStyle w:val="10"/>
        <w:overflowPunct w:val="0"/>
        <w:autoSpaceDE w:val="0"/>
        <w:spacing w:after="0"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四五”时期是我国全面建成小康社会、实现第一个百年奋斗目标之后，乘势而上开启全面建设社会主义现代化国家新征程、向第二个百年奋斗目标进军的第一个五年，也是铜官区聚焦“四高四美”、聚力“三区建设”，</w:t>
      </w:r>
      <w:r>
        <w:rPr>
          <w:rFonts w:ascii="Times New Roman" w:hAnsi="Times New Roman" w:eastAsia="仿宋_GB2312"/>
          <w:color w:val="000000"/>
          <w:sz w:val="32"/>
          <w:szCs w:val="32"/>
        </w:rPr>
        <w:t>奋力谱写新阶段现代化幸福铜官建设新篇</w:t>
      </w:r>
      <w:r>
        <w:rPr>
          <w:rFonts w:ascii="Times New Roman" w:hAnsi="Times New Roman" w:eastAsia="仿宋_GB2312"/>
          <w:color w:val="000000"/>
          <w:sz w:val="32"/>
        </w:rPr>
        <w:t>的关键期，更是铜官工业创新转型、奋力追赶的关键期。为推动铜官区“十四五”时期工业经济高质量发展，依据《铜陵市“十四五”工业和信息化发展规划》及《铜官区国民经济和社会发展第十四个五年规划和二〇三五年远景纲要》要求，制定本规划，规划编制基准年为2020年，规划期为2021—2025年。</w:t>
      </w:r>
    </w:p>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sz w:val="44"/>
          <w:szCs w:val="44"/>
        </w:rPr>
      </w:pPr>
      <w:bookmarkStart w:id="0" w:name="_Toc90645406"/>
      <w:r>
        <w:rPr>
          <w:rFonts w:hint="eastAsia" w:ascii="Times New Roman" w:hAnsi="Times New Roman" w:eastAsia="方正小标宋简体" w:cs="Times New Roman"/>
          <w:color w:val="000000"/>
          <w:sz w:val="44"/>
          <w:szCs w:val="44"/>
        </w:rPr>
        <w:t xml:space="preserve">第一章 </w:t>
      </w:r>
      <w:r>
        <w:rPr>
          <w:rFonts w:ascii="Times New Roman" w:hAnsi="Times New Roman" w:eastAsia="方正小标宋简体" w:cs="Times New Roman"/>
          <w:color w:val="000000"/>
          <w:sz w:val="44"/>
          <w:szCs w:val="44"/>
        </w:rPr>
        <w:t xml:space="preserve"> 发展基础</w:t>
      </w:r>
      <w:bookmarkEnd w:id="0"/>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三五”期间，面对实体经济下行压力加大、中美贸易摩擦影响加深、新冠疫情影响蔓延、企业生产经营困难多等诸多不利因素，铜官区坚持稳中求进工作总基调，践行新发展理念，按照高质量发展要求，积极抢抓长三角一体化、长江经济带建设、中部地区崛起等重大机遇，加快优势产业转型升级，培育壮大战略新兴产业，推动建立工业绿色转型发展体系，不断激发制造业新动能新活力新优势，全区工业经济取得了显著成效，为“十四五”工业经济高质量发展打下坚实基础。</w:t>
      </w:r>
    </w:p>
    <w:p>
      <w:pPr>
        <w:pStyle w:val="4"/>
        <w:keepNext w:val="0"/>
        <w:keepLines w:val="0"/>
        <w:overflowPunct w:val="0"/>
        <w:autoSpaceDE w:val="0"/>
        <w:spacing w:line="600" w:lineRule="exact"/>
        <w:jc w:val="center"/>
        <w:rPr>
          <w:rFonts w:ascii="Times New Roman" w:hAnsi="Times New Roman"/>
          <w:b w:val="0"/>
          <w:bCs/>
          <w:color w:val="000000"/>
        </w:rPr>
      </w:pPr>
      <w:bookmarkStart w:id="1" w:name="_Toc90645407"/>
      <w:r>
        <w:rPr>
          <w:rFonts w:ascii="Times New Roman" w:hAnsi="Times New Roman"/>
          <w:b w:val="0"/>
          <w:bCs/>
          <w:color w:val="000000"/>
        </w:rPr>
        <w:t>第一节 主要成就</w:t>
      </w:r>
      <w:bookmarkEnd w:id="1"/>
    </w:p>
    <w:p>
      <w:pPr>
        <w:overflowPunct w:val="0"/>
        <w:autoSpaceDE w:val="0"/>
        <w:spacing w:line="600" w:lineRule="exact"/>
        <w:ind w:firstLine="640" w:firstLineChars="200"/>
        <w:rPr>
          <w:rFonts w:ascii="Times New Roman" w:hAnsi="Times New Roman" w:eastAsia="仿宋_GB2312"/>
          <w:color w:val="000000"/>
          <w:sz w:val="32"/>
        </w:rPr>
      </w:pPr>
      <w:bookmarkStart w:id="2" w:name="_Toc2406"/>
      <w:bookmarkStart w:id="3" w:name="_Toc11568"/>
      <w:bookmarkStart w:id="4" w:name="_Toc3314"/>
      <w:bookmarkStart w:id="5" w:name="_Toc23589"/>
      <w:bookmarkStart w:id="6" w:name="_Toc11549"/>
      <w:bookmarkStart w:id="7" w:name="_Toc183"/>
      <w:bookmarkStart w:id="8" w:name="_Toc21970"/>
      <w:r>
        <w:rPr>
          <w:rFonts w:ascii="Times New Roman" w:hAnsi="Times New Roman" w:eastAsia="仿宋_GB2312"/>
          <w:color w:val="000000"/>
          <w:sz w:val="32"/>
        </w:rPr>
        <w:t>以供给侧结构性改革为主线，深入贯彻落实铜陵市“千百十亿工程”和“四送一服”双千工程，强化工业经济运行分析监测，狠抓行业安全生产监管，工业经济发展总量、规模、效益实现新的跃升。</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综合实力上新台阶。</w:t>
      </w:r>
      <w:r>
        <w:rPr>
          <w:rFonts w:ascii="Times New Roman" w:hAnsi="Times New Roman" w:eastAsia="仿宋_GB2312"/>
          <w:color w:val="000000"/>
          <w:sz w:val="32"/>
        </w:rPr>
        <w:t>截至“十三五”末，全区</w:t>
      </w:r>
      <w:r>
        <w:rPr>
          <w:rFonts w:hint="eastAsia" w:ascii="Times New Roman" w:hAnsi="Times New Roman" w:eastAsia="仿宋_GB2312"/>
          <w:color w:val="000000"/>
          <w:sz w:val="32"/>
        </w:rPr>
        <w:t>直统</w:t>
      </w:r>
      <w:r>
        <w:rPr>
          <w:rFonts w:ascii="Times New Roman" w:hAnsi="Times New Roman" w:eastAsia="仿宋_GB2312"/>
          <w:color w:val="000000"/>
          <w:sz w:val="32"/>
        </w:rPr>
        <w:t>规上工业企业数量达到</w:t>
      </w:r>
      <w:r>
        <w:rPr>
          <w:rFonts w:hint="eastAsia" w:ascii="Times New Roman" w:hAnsi="Times New Roman" w:eastAsia="仿宋_GB2312"/>
          <w:color w:val="000000"/>
          <w:sz w:val="32"/>
        </w:rPr>
        <w:t>69</w:t>
      </w:r>
      <w:r>
        <w:rPr>
          <w:rFonts w:ascii="Times New Roman" w:hAnsi="Times New Roman" w:eastAsia="仿宋_GB2312"/>
          <w:color w:val="000000"/>
          <w:sz w:val="32"/>
        </w:rPr>
        <w:t>家，比“十二五”末增加6家。2020年，全区规上工业增加值、规上工业产值分别达</w:t>
      </w:r>
      <w:r>
        <w:rPr>
          <w:rFonts w:hint="eastAsia" w:ascii="Times New Roman" w:hAnsi="Times New Roman" w:eastAsia="仿宋_GB2312"/>
          <w:color w:val="000000"/>
          <w:sz w:val="32"/>
        </w:rPr>
        <w:t>60.4</w:t>
      </w:r>
      <w:r>
        <w:rPr>
          <w:rFonts w:ascii="Times New Roman" w:hAnsi="Times New Roman" w:eastAsia="仿宋_GB2312"/>
          <w:color w:val="000000"/>
          <w:sz w:val="32"/>
        </w:rPr>
        <w:t>亿元，</w:t>
      </w:r>
      <w:r>
        <w:rPr>
          <w:rFonts w:hint="eastAsia" w:ascii="Times New Roman" w:hAnsi="Times New Roman" w:eastAsia="仿宋_GB2312"/>
          <w:color w:val="000000"/>
          <w:sz w:val="32"/>
        </w:rPr>
        <w:t>405.1</w:t>
      </w:r>
      <w:r>
        <w:rPr>
          <w:rFonts w:ascii="Times New Roman" w:hAnsi="Times New Roman" w:eastAsia="仿宋_GB2312"/>
          <w:color w:val="000000"/>
          <w:sz w:val="32"/>
        </w:rPr>
        <w:t>亿元，创历史新高；规模以上工业利润11.2亿元，年均增长12.7%；</w:t>
      </w:r>
      <w:r>
        <w:rPr>
          <w:rFonts w:ascii="Times New Roman" w:hAnsi="Times New Roman" w:eastAsia="仿宋_GB2312"/>
          <w:color w:val="000000"/>
          <w:sz w:val="32"/>
          <w:szCs w:val="32"/>
        </w:rPr>
        <w:t>累计完成技改投资312亿元</w:t>
      </w:r>
      <w:r>
        <w:rPr>
          <w:rFonts w:ascii="Times New Roman" w:hAnsi="Times New Roman" w:eastAsia="仿宋_GB2312"/>
          <w:color w:val="000000"/>
          <w:sz w:val="32"/>
        </w:rPr>
        <w:t>。龙头企业阵容不断扩大，蓝盾光电子、洁雅生物科技等成为行业细分领域头部企业，亿元以上企业达到22家、十亿元以上企业达2家，新增上市企业1家。“十三五”期间，荣获</w:t>
      </w:r>
      <w:r>
        <w:rPr>
          <w:rFonts w:ascii="Times New Roman" w:hAnsi="Times New Roman" w:eastAsia="仿宋_GB2312"/>
          <w:color w:val="000000"/>
          <w:sz w:val="32"/>
          <w:szCs w:val="32"/>
        </w:rPr>
        <w:t>全省制造业发展综合十强区等荣誉称号。</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产业结构不断优化。</w:t>
      </w:r>
      <w:r>
        <w:rPr>
          <w:rFonts w:ascii="Times New Roman" w:hAnsi="Times New Roman" w:eastAsia="仿宋_GB2312"/>
          <w:color w:val="000000"/>
          <w:sz w:val="32"/>
        </w:rPr>
        <w:t>铜基新材料、装备制造、电子信息三大主导产业规上产值占全部规上工业总产值比重达83%，比2015年提高22个百分点。新兴产业加速培育，大气环境综合立体监测产业化、电子材料及新型元器件、智能化流体控制装备关键零部件先后获评为省重大新兴产业工程。2020年，高新技术产业增加值29.8亿元，占全部工业增加值的比重达到73%，比2015年提高了6个百分点；战略性新兴产业产值71亿元，年均增长7.2%。</w:t>
      </w:r>
    </w:p>
    <w:p>
      <w:pPr>
        <w:overflowPunct w:val="0"/>
        <w:autoSpaceDE w:val="0"/>
        <w:spacing w:line="580" w:lineRule="exact"/>
        <w:ind w:firstLine="643" w:firstLineChars="200"/>
        <w:rPr>
          <w:rFonts w:ascii="Times New Roman" w:hAnsi="Times New Roman" w:eastAsia="仿宋_GB2312"/>
          <w:color w:val="000000"/>
          <w:sz w:val="32"/>
        </w:rPr>
      </w:pPr>
      <w:bookmarkStart w:id="9" w:name="_Toc1520"/>
      <w:bookmarkStart w:id="10" w:name="_Toc9589"/>
      <w:bookmarkStart w:id="11" w:name="_Toc2628"/>
      <w:bookmarkStart w:id="12" w:name="_Toc10800"/>
      <w:bookmarkStart w:id="13" w:name="_Toc7665"/>
      <w:bookmarkStart w:id="14" w:name="_Toc19929"/>
      <w:bookmarkStart w:id="15" w:name="_Toc30633"/>
      <w:r>
        <w:rPr>
          <w:rFonts w:ascii="Times New Roman" w:hAnsi="Times New Roman" w:eastAsia="楷体_GB2312"/>
          <w:b/>
          <w:color w:val="000000"/>
          <w:sz w:val="32"/>
        </w:rPr>
        <w:t>创新能力</w:t>
      </w:r>
      <w:bookmarkEnd w:id="9"/>
      <w:bookmarkEnd w:id="10"/>
      <w:bookmarkEnd w:id="11"/>
      <w:bookmarkEnd w:id="12"/>
      <w:bookmarkEnd w:id="13"/>
      <w:bookmarkEnd w:id="14"/>
      <w:bookmarkEnd w:id="15"/>
      <w:r>
        <w:rPr>
          <w:rFonts w:ascii="Times New Roman" w:hAnsi="Times New Roman" w:eastAsia="楷体_GB2312"/>
          <w:b/>
          <w:color w:val="000000"/>
          <w:sz w:val="32"/>
        </w:rPr>
        <w:t>明显增强。</w:t>
      </w:r>
      <w:r>
        <w:rPr>
          <w:rFonts w:ascii="Times New Roman" w:hAnsi="Times New Roman" w:eastAsia="仿宋_GB2312"/>
          <w:color w:val="000000"/>
          <w:sz w:val="32"/>
        </w:rPr>
        <w:t>狮子山高新区成功争创“国字号”品牌，“一区多园”发展模式确立，“3+N”产业体系加速形成，成为引领创新驱动的主战场。加大校企合作力度，</w:t>
      </w:r>
      <w:r>
        <w:rPr>
          <w:rFonts w:hint="eastAsia" w:ascii="Times New Roman" w:hAnsi="Times New Roman" w:eastAsia="仿宋_GB2312"/>
          <w:color w:val="000000"/>
          <w:sz w:val="32"/>
        </w:rPr>
        <w:t>武汉理工</w:t>
      </w:r>
      <w:r>
        <w:rPr>
          <w:rFonts w:ascii="Times New Roman" w:hAnsi="Times New Roman" w:eastAsia="仿宋_GB2312"/>
          <w:color w:val="000000"/>
          <w:sz w:val="32"/>
        </w:rPr>
        <w:t>大学等3个国家级技术转移中心落地运营，新建国家、省级重点实验室1家，新增各类重点工程中心等8个。企业研发投入不断加大，</w:t>
      </w:r>
      <w:r>
        <w:rPr>
          <w:rFonts w:hint="eastAsia" w:ascii="Times New Roman" w:hAnsi="Times New Roman" w:eastAsia="仿宋_GB2312"/>
          <w:color w:val="000000"/>
          <w:sz w:val="32"/>
        </w:rPr>
        <w:t>规上工业企业研发投入占主营业务收入比重达到1.36%</w:t>
      </w:r>
      <w:r>
        <w:rPr>
          <w:rFonts w:ascii="Times New Roman" w:hAnsi="Times New Roman" w:eastAsia="仿宋_GB2312"/>
          <w:color w:val="000000"/>
          <w:sz w:val="32"/>
        </w:rPr>
        <w:t>，居全省前列，高新技术企业达到7</w:t>
      </w:r>
      <w:r>
        <w:rPr>
          <w:rFonts w:hint="eastAsia" w:ascii="Times New Roman" w:hAnsi="Times New Roman" w:eastAsia="仿宋_GB2312"/>
          <w:color w:val="000000"/>
          <w:sz w:val="32"/>
        </w:rPr>
        <w:t>7</w:t>
      </w:r>
      <w:r>
        <w:rPr>
          <w:rFonts w:ascii="Times New Roman" w:hAnsi="Times New Roman" w:eastAsia="仿宋_GB2312"/>
          <w:color w:val="000000"/>
          <w:sz w:val="32"/>
        </w:rPr>
        <w:t>家、省级专精特新企业13家、新认定省级首台（套）重大技术装备产品14项、省级工业新产品18个，居全市前列。</w:t>
      </w:r>
    </w:p>
    <w:p>
      <w:pPr>
        <w:overflowPunct w:val="0"/>
        <w:autoSpaceDE w:val="0"/>
        <w:spacing w:line="580" w:lineRule="exact"/>
        <w:ind w:firstLine="643" w:firstLineChars="200"/>
        <w:rPr>
          <w:rFonts w:ascii="Times New Roman" w:hAnsi="Times New Roman" w:eastAsia="仿宋_GB2312"/>
          <w:color w:val="000000"/>
          <w:sz w:val="32"/>
          <w:szCs w:val="32"/>
        </w:rPr>
      </w:pPr>
      <w:bookmarkStart w:id="16" w:name="_Toc22639"/>
      <w:bookmarkStart w:id="17" w:name="_Toc25359"/>
      <w:bookmarkStart w:id="18" w:name="_Toc15487"/>
      <w:bookmarkStart w:id="19" w:name="_Toc27515"/>
      <w:bookmarkStart w:id="20" w:name="_Toc16823"/>
      <w:bookmarkStart w:id="21" w:name="_Toc31993"/>
      <w:bookmarkStart w:id="22" w:name="_Toc21029"/>
      <w:r>
        <w:rPr>
          <w:rFonts w:ascii="Times New Roman" w:hAnsi="Times New Roman" w:eastAsia="楷体_GB2312"/>
          <w:b/>
          <w:color w:val="000000"/>
          <w:sz w:val="32"/>
        </w:rPr>
        <w:t>融合</w:t>
      </w:r>
      <w:bookmarkEnd w:id="16"/>
      <w:bookmarkEnd w:id="17"/>
      <w:bookmarkEnd w:id="18"/>
      <w:bookmarkEnd w:id="19"/>
      <w:bookmarkEnd w:id="20"/>
      <w:bookmarkEnd w:id="21"/>
      <w:bookmarkEnd w:id="22"/>
      <w:r>
        <w:rPr>
          <w:rFonts w:ascii="Times New Roman" w:hAnsi="Times New Roman" w:eastAsia="楷体_GB2312"/>
          <w:b/>
          <w:color w:val="000000"/>
          <w:sz w:val="32"/>
        </w:rPr>
        <w:t>发展加快推进。</w:t>
      </w:r>
      <w:r>
        <w:rPr>
          <w:rFonts w:ascii="Times New Roman" w:hAnsi="Times New Roman" w:eastAsia="仿宋_GB2312"/>
          <w:color w:val="000000"/>
          <w:sz w:val="32"/>
        </w:rPr>
        <w:t>加快新一代信息技术与制造业融合发展，紧紧围绕工业互联网建设，</w:t>
      </w:r>
      <w:bookmarkStart w:id="23" w:name="_Toc31178"/>
      <w:bookmarkStart w:id="24" w:name="_Toc19425"/>
      <w:bookmarkStart w:id="25" w:name="_Toc9465"/>
      <w:bookmarkStart w:id="26" w:name="_Toc11258"/>
      <w:bookmarkStart w:id="27" w:name="_Toc9333"/>
      <w:bookmarkStart w:id="28" w:name="_Toc25927"/>
      <w:bookmarkStart w:id="29" w:name="_Toc31647"/>
      <w:r>
        <w:rPr>
          <w:rFonts w:ascii="Times New Roman" w:hAnsi="Times New Roman" w:eastAsia="仿宋_GB2312"/>
          <w:color w:val="000000"/>
          <w:sz w:val="32"/>
        </w:rPr>
        <w:t>大力实施“皖企登云”，推进数字化转型，21家企业与长江工业大数据签订“上云”协议，5家企业获批省级制造业和互联网融合发展试点，新增省级数字化车间5家，智能化工厂2家，通过国家“两化”融合管理体系认证企业22家。</w:t>
      </w:r>
      <w:bookmarkEnd w:id="23"/>
      <w:bookmarkEnd w:id="24"/>
      <w:bookmarkEnd w:id="25"/>
      <w:bookmarkEnd w:id="26"/>
      <w:bookmarkEnd w:id="27"/>
      <w:bookmarkEnd w:id="28"/>
      <w:bookmarkEnd w:id="29"/>
      <w:r>
        <w:rPr>
          <w:rFonts w:ascii="Times New Roman" w:hAnsi="Times New Roman" w:eastAsia="仿宋_GB2312"/>
          <w:color w:val="000000"/>
          <w:sz w:val="32"/>
        </w:rPr>
        <w:t>数字经济等新业态新模式竞相发展，新认定大数据企业52家，铜官数谷成功获批省级软件与信息技术服务业集聚区，软件和信息服务业营业收入年均增长10%，获得数字经济发展获得省政府真抓实干激励。</w:t>
      </w:r>
    </w:p>
    <w:bookmarkEnd w:id="2"/>
    <w:bookmarkEnd w:id="3"/>
    <w:bookmarkEnd w:id="4"/>
    <w:bookmarkEnd w:id="5"/>
    <w:bookmarkEnd w:id="6"/>
    <w:bookmarkEnd w:id="7"/>
    <w:bookmarkEnd w:id="8"/>
    <w:p>
      <w:pPr>
        <w:overflowPunct w:val="0"/>
        <w:autoSpaceDE w:val="0"/>
        <w:spacing w:line="580" w:lineRule="exact"/>
        <w:ind w:firstLine="643" w:firstLineChars="200"/>
        <w:rPr>
          <w:rFonts w:ascii="Times New Roman" w:hAnsi="Times New Roman" w:eastAsia="仿宋_GB2312"/>
          <w:color w:val="000000"/>
          <w:sz w:val="32"/>
        </w:rPr>
      </w:pPr>
      <w:bookmarkStart w:id="30" w:name="_Toc18303"/>
      <w:bookmarkStart w:id="31" w:name="_Toc24629"/>
      <w:bookmarkStart w:id="32" w:name="_Toc28884"/>
      <w:bookmarkStart w:id="33" w:name="_Toc29189"/>
      <w:bookmarkStart w:id="34" w:name="_Toc21740"/>
      <w:bookmarkStart w:id="35" w:name="_Toc28242"/>
      <w:bookmarkStart w:id="36" w:name="_Toc9590"/>
      <w:r>
        <w:rPr>
          <w:rFonts w:ascii="Times New Roman" w:hAnsi="Times New Roman" w:eastAsia="楷体_GB2312"/>
          <w:b/>
          <w:color w:val="000000"/>
          <w:sz w:val="32"/>
        </w:rPr>
        <w:t>绿色发展卓有成效。</w:t>
      </w:r>
      <w:r>
        <w:rPr>
          <w:rFonts w:ascii="Times New Roman" w:hAnsi="Times New Roman" w:eastAsia="仿宋_GB2312"/>
          <w:color w:val="000000"/>
          <w:sz w:val="32"/>
        </w:rPr>
        <w:t>积极鼓励企业走“绿色低碳发展”之路，推进节能技术改造和资源综合利用，改造提升传统产业，加强淘汰落后产能。积极推动长江一公里内企业搬迁拆除，提前完成鸿兴化工、盛华船厂设备拆除，推进恒兴化工关闭拆除。深入实施工业企业“双减”工程，推动重点用能生产企业进行工业技术改造。积极创建绿色矿山，推进金九铜矿、狮子山矿业创建市级绿色矿山，支持金九铜矿申报市级绿色矿山。常态化开展扬尘污染整治，加大扬尘工业企业视屏在线监测系统建设，督促扬尘企业整改到位。</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营商环境持续优化。</w:t>
      </w:r>
      <w:r>
        <w:rPr>
          <w:rFonts w:ascii="Times New Roman" w:hAnsi="Times New Roman" w:eastAsia="仿宋_GB2312"/>
          <w:color w:val="000000"/>
          <w:sz w:val="32"/>
        </w:rPr>
        <w:t>常态化开展“四送一服”双千工程活动，出台《铜官区推进科技创新的若干政策意见》、设立《铜官区民营经济发展专项资金》，持续深化“放管服”改革，形成闭环管理、全程响应等工作机制。服务体系建设进一步健全，打造省级众创空间、科技孵化器4个，新增省级中小企业公共服务示范平台1家、省级工业设计中心2家。五松公司信访问题及改制“后半篇文章”获省委领导批示肯定，沉积十余年的市运输公司等历史遗留问题顺利解决。2020年，民营经济税收贡献度达82.9%，市场主体累计达到51281户，荣膺全省一类县区民营经济发展十强称号。</w:t>
      </w:r>
    </w:p>
    <w:bookmarkEnd w:id="30"/>
    <w:bookmarkEnd w:id="31"/>
    <w:bookmarkEnd w:id="32"/>
    <w:bookmarkEnd w:id="33"/>
    <w:bookmarkEnd w:id="34"/>
    <w:bookmarkEnd w:id="35"/>
    <w:bookmarkEnd w:id="36"/>
    <w:p>
      <w:pPr>
        <w:pStyle w:val="4"/>
        <w:keepNext w:val="0"/>
        <w:keepLines w:val="0"/>
        <w:overflowPunct w:val="0"/>
        <w:autoSpaceDE w:val="0"/>
        <w:spacing w:line="600" w:lineRule="exact"/>
        <w:jc w:val="center"/>
        <w:rPr>
          <w:rFonts w:ascii="Times New Roman" w:hAnsi="Times New Roman"/>
          <w:b w:val="0"/>
          <w:bCs/>
          <w:color w:val="000000"/>
        </w:rPr>
      </w:pPr>
      <w:bookmarkStart w:id="37" w:name="_Toc90645408"/>
      <w:r>
        <w:rPr>
          <w:rFonts w:ascii="Times New Roman" w:hAnsi="Times New Roman"/>
          <w:b w:val="0"/>
          <w:bCs/>
          <w:color w:val="000000"/>
        </w:rPr>
        <w:t>第二节 突出问题</w:t>
      </w:r>
      <w:bookmarkEnd w:id="37"/>
    </w:p>
    <w:p>
      <w:pPr>
        <w:pStyle w:val="26"/>
        <w:widowControl w:val="0"/>
        <w:overflowPunct w:val="0"/>
        <w:autoSpaceDE w:val="0"/>
        <w:spacing w:before="0" w:beforeAutospacing="0" w:after="0" w:afterAutospacing="0" w:line="600" w:lineRule="exact"/>
        <w:ind w:firstLine="640"/>
        <w:rPr>
          <w:rFonts w:ascii="Times New Roman" w:hAnsi="Times New Roman" w:cs="Times New Roman"/>
          <w:color w:val="000000"/>
          <w:kern w:val="2"/>
          <w:szCs w:val="24"/>
        </w:rPr>
      </w:pPr>
      <w:r>
        <w:rPr>
          <w:rFonts w:ascii="Times New Roman" w:hAnsi="Times New Roman" w:cs="Times New Roman"/>
          <w:color w:val="000000"/>
          <w:kern w:val="2"/>
          <w:szCs w:val="24"/>
        </w:rPr>
        <w:t>“十三五”期间铜官区工业经济发展取得了较好成绩，但工业经济发展不平衡不充分的矛盾依然存在，工业经济高质量发展还存在一些问题和困难亟需发力解决。</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产业结构单一。</w:t>
      </w:r>
      <w:r>
        <w:rPr>
          <w:rFonts w:ascii="Times New Roman" w:hAnsi="Times New Roman" w:eastAsia="仿宋_GB2312"/>
          <w:color w:val="000000"/>
          <w:sz w:val="32"/>
        </w:rPr>
        <w:t>目前，铜官区工业经济发展仍存在一业独大的局面。金隆铜业产值占全区总产值60%以上，但对全区产业拉动效应不足，难以形成产业集聚。流体装备、轨道交通、电梯设备、精细化工、电子信息等领域企业整体规模不大，尚未形成集聚效应。以终端消费品生产为主的雅洁生物虽然成长性很好，但尚处于单打独斗局面，上下游产业链有效支撑不足。</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新兴产业薄弱。</w:t>
      </w:r>
      <w:r>
        <w:rPr>
          <w:rFonts w:ascii="Times New Roman" w:hAnsi="Times New Roman" w:eastAsia="仿宋_GB2312"/>
          <w:color w:val="000000"/>
          <w:sz w:val="32"/>
        </w:rPr>
        <w:t>电子信息、新材料、新能源等新兴产业的企业集群优势还没有显现，园区内上下游配套产业没有形成空间上集聚和共享平台。新业态、新技术、新模式创新力度明显不足，现代物流、研发设计、物联网、工业互联网、临港经济、5G通讯和数字经济等发展滞后，对标江浙沪，新型基础设施建设仍然任重道远。新兴产业有效投资增长乏力，招大引强仍需发力，部分重点项目进度滞后。</w:t>
      </w:r>
      <w:bookmarkStart w:id="38" w:name="_Toc4612"/>
      <w:bookmarkStart w:id="39" w:name="_Toc90645409"/>
      <w:bookmarkStart w:id="40" w:name="_Toc12751"/>
      <w:bookmarkStart w:id="41" w:name="_Toc20765"/>
      <w:bookmarkStart w:id="42" w:name="_Toc2272"/>
      <w:bookmarkStart w:id="43" w:name="_Toc15647"/>
      <w:bookmarkStart w:id="44" w:name="_Toc30508"/>
      <w:bookmarkStart w:id="45" w:name="_Toc31775"/>
      <w:bookmarkStart w:id="46" w:name="_Toc19430"/>
      <w:bookmarkStart w:id="47" w:name="_Toc24084"/>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资源要素紧缺。</w:t>
      </w:r>
      <w:r>
        <w:rPr>
          <w:rFonts w:ascii="Times New Roman" w:hAnsi="Times New Roman" w:eastAsia="仿宋_GB2312"/>
          <w:color w:val="000000"/>
          <w:sz w:val="32"/>
        </w:rPr>
        <w:t>由于历史和区位条件等因素，国家级高新区狮子山高新区现有用地空间不到1000亩，横港绿色化工园区未来面临升级改造压力，用地空间不足，都市工业园也面临“退城入园”和“退二进三”的发展要求。工业企业存在普通技工难招的问题，产业态势、城市能级、城市配套上面临大城市“人才虹吸”的风险，引进和留住高级人才的成本大、难度大。</w:t>
      </w:r>
    </w:p>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sz w:val="44"/>
          <w:szCs w:val="44"/>
        </w:rPr>
      </w:pPr>
      <w:r>
        <w:rPr>
          <w:rFonts w:hint="eastAsia" w:ascii="Times New Roman" w:hAnsi="Times New Roman" w:eastAsia="方正小标宋简体" w:cs="Times New Roman"/>
          <w:color w:val="000000"/>
          <w:sz w:val="44"/>
          <w:szCs w:val="44"/>
        </w:rPr>
        <w:t>第二章  发展环境</w:t>
      </w:r>
      <w:bookmarkEnd w:id="38"/>
      <w:bookmarkEnd w:id="39"/>
      <w:bookmarkEnd w:id="40"/>
      <w:bookmarkEnd w:id="41"/>
      <w:bookmarkEnd w:id="42"/>
      <w:bookmarkEnd w:id="43"/>
      <w:bookmarkEnd w:id="44"/>
      <w:bookmarkEnd w:id="45"/>
      <w:bookmarkEnd w:id="46"/>
      <w:bookmarkEnd w:id="47"/>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从国际环境看，</w:t>
      </w:r>
      <w:r>
        <w:rPr>
          <w:rFonts w:ascii="Times New Roman" w:hAnsi="Times New Roman" w:eastAsia="仿宋_GB2312"/>
          <w:color w:val="000000"/>
          <w:sz w:val="32"/>
        </w:rPr>
        <w:t>当今世界正经历百年未有之大变局，新冠肺炎疫情全球大流行促使大变局加速变化，国际经济、科技、文化、安全、政治等格局发生深刻调整，世界进入动荡变革期。全球化遭遇逆流，保护主义、单边主义上升，世界经济深度衰退，国际贸易和投资大幅萎缩，主要国际市场内部循环日益凸显。尤其是中美知识产权争端和贸易摩擦不断加剧，持续加大“芯片”等一批“卡脖子”高技术产品的对华出口限制力度，进一步增加了我国高科技产业发展的阻力。与此同时，全球经济一体化仍是主要趋势，在新一轮产业革命和科技革命的综合影响下，5G、工业互联网、人工智能、大数据技术日新月异，助推制造业向数字化、网络化、智能化转型发展，全球产业分工格局将进入深度调整期。“十四五”时期，我国工业高质量发展机遇与挑战并存。</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从国内环境看，</w:t>
      </w:r>
      <w:r>
        <w:rPr>
          <w:rFonts w:ascii="Times New Roman" w:hAnsi="Times New Roman" w:eastAsia="仿宋_GB2312"/>
          <w:color w:val="000000"/>
          <w:sz w:val="32"/>
        </w:rPr>
        <w:t>我国已经进入高质量发展阶段，开启全面建设社会主义现代化新征程。“十四五”，我国经济进入转变发展方式、优化经济结构、转换增长动力的关键期，经济发展前景向好，但也面临着结构性、体制性、周期性问题相互交织所带来的困难和挑战，经济发展不平衡、不充分问题依然突出，重点领域关键环节改革任务任然艰巨，必须坚持稳中求进工作总基调，贯彻新发展理念，加快构建以国内大循环为主体、国内国际双循环相互促进的新发展格局。总体来看，我国经济潜力足、韧性强、回旋空间大、政策工具多的基本面没有变。经过多年发展，我国已经具有全球最完整、规模最大的工业体系、强大的生产能力、完善的配套能力。“十八大”以来，我国深入实施创新驱动发展战略，推动中国制造2025、“互联网+”、大众创业万众创新等行动计划，已经在5G移动通讯、超级计算机、量子通信科技、人工智能、高铁技术等方面形成了一批拥有自主知识产权和核心技术的重要成果，为“十四五”我国工业进入全球产业链高端和价值链核心奠定了坚实的基础。</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从区域环境看，</w:t>
      </w:r>
      <w:r>
        <w:rPr>
          <w:rFonts w:ascii="Times New Roman" w:hAnsi="Times New Roman" w:eastAsia="仿宋_GB2312"/>
          <w:color w:val="000000"/>
          <w:sz w:val="32"/>
        </w:rPr>
        <w:t>安徽承东启西、连南贯北，是“一带一路”和长江经济带建设的重要节点，具有长三角高质量一体化发展和中部崛起等国家战略双覆盖优势，“十四五”加快发展面临优越的政策环境。2020年，中国（安徽）自由贸易试验区获批，为未来打造新时代内陆地区改革开放新高地提供了重要支撑。建设合肥综合性国家科学中心、合肥滨湖科学城、合芜蚌国家自主创新示范区、全面创新改革试验省和“四个一”创新主平台，为打造科技创新策源地提供了重要保障，也为我省进入创新发展的新时代奠定了坚实基础。铜陵位于八百里皖江中游，是皖江示范区核心城市，拥有国家一类开放口岸、国家首批对台直航港口和万吨级海轮进江终点港，京福高铁与宁安高铁、京台高速与沪渝高速在铜陵交汇，沪铜铁路、铜九铁路穿境而过，铜南宣高速建成通车，市区距九华山机场24公里，立体交通网络基本形成，基本实现了与江浙沪地区的高水平互联互通。</w:t>
      </w:r>
    </w:p>
    <w:p>
      <w:pPr>
        <w:pStyle w:val="10"/>
        <w:overflowPunct w:val="0"/>
        <w:autoSpaceDE w:val="0"/>
        <w:spacing w:after="0"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从产业环境看，</w:t>
      </w:r>
      <w:r>
        <w:rPr>
          <w:rFonts w:ascii="Times New Roman" w:hAnsi="Times New Roman" w:eastAsia="仿宋_GB2312"/>
          <w:color w:val="000000"/>
          <w:sz w:val="32"/>
        </w:rPr>
        <w:t>随着《中国制造2025》、《新材料关键技术产业化实施方案》、《有色金属行业智能加工工厂建设指南（试行）》、《关于扩大战略性新兴产业投资培育壮大新增长点增长极的指导意见》、《基础电子元器件产业发展行动计划（2021—2023年）》、《长江三角洲区域一体化发展规划纲要》、《“安徽工业精品”提升行动计划（2018-2022年）》等一系列重大发展战略的确立以及行动方案的制定实施，铜官区工业发展将进入新的时代。铜精深加工一直是铜陵市优势特色产业，铜官区现有金隆铜业、海亮铜业等龙头企业，铜精深加工产业占铜官区工业70%左右的体量。良好的铜精深加工产业基础，有利于推动传统产品精深化发展和PCB（印制电路板）高端化发展，符合再生铜综合利用等发展趋势。目前，铜官区先进装备制造业主要集中在流体装备、轨道交通装备、电梯专业设备三大领域，传统阀门一方面正在向耐腐蚀、超高温、超低温、超高压、真空等高端特种工业阀门转型，另一方面也在向水处理设备系统集成、工业总承包方向集成发展，均符合战略性新兴产业发展导向；轨道交通涵盖轨道交通车辆、电气化和通信信号等多个专业领域，符合高铁、城轨等核心部件发展的高成长市场需求，有利于进一步参与长三角产业分工合作，重点发展铁路设备、机车零部件，拓展铁路设备涉铜零部件，形成全省轨道交通零部件重要生产基地；电梯专业设备企业具备的核心技术，符合电梯行业大承载量、高速等未来产品发展趋势。</w:t>
      </w:r>
      <w:bookmarkStart w:id="48" w:name="_Toc90645410"/>
    </w:p>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sz w:val="44"/>
          <w:szCs w:val="44"/>
        </w:rPr>
      </w:pPr>
      <w:r>
        <w:rPr>
          <w:rFonts w:hint="eastAsia" w:ascii="Times New Roman" w:hAnsi="Times New Roman" w:eastAsia="方正小标宋简体" w:cs="Times New Roman"/>
          <w:color w:val="000000"/>
          <w:sz w:val="44"/>
          <w:szCs w:val="44"/>
        </w:rPr>
        <w:t xml:space="preserve">第三章  </w:t>
      </w:r>
      <w:bookmarkStart w:id="49" w:name="_Toc25698"/>
      <w:r>
        <w:rPr>
          <w:rFonts w:hint="eastAsia" w:ascii="Times New Roman" w:hAnsi="Times New Roman" w:eastAsia="方正小标宋简体" w:cs="Times New Roman"/>
          <w:color w:val="000000"/>
          <w:sz w:val="44"/>
          <w:szCs w:val="44"/>
        </w:rPr>
        <w:t>总体思路</w:t>
      </w:r>
      <w:bookmarkEnd w:id="48"/>
      <w:bookmarkEnd w:id="49"/>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紧紧围绕制造业扩量提质增效行动计划，坚持把做实做优做强实体经济作为主攻方向，一手抓传统产业转型升级，一手抓战略性新兴产业发展壮大，推动制造业加速向数字化网络化智能化发展，夯实产业基础能力，提升产业链供应链现代化水平。</w:t>
      </w:r>
    </w:p>
    <w:p>
      <w:pPr>
        <w:pStyle w:val="4"/>
        <w:keepNext w:val="0"/>
        <w:keepLines w:val="0"/>
        <w:overflowPunct w:val="0"/>
        <w:autoSpaceDE w:val="0"/>
        <w:spacing w:line="600" w:lineRule="exact"/>
        <w:jc w:val="center"/>
        <w:rPr>
          <w:rFonts w:ascii="Times New Roman" w:hAnsi="Times New Roman"/>
          <w:b w:val="0"/>
          <w:bCs/>
          <w:color w:val="000000"/>
        </w:rPr>
      </w:pPr>
      <w:bookmarkStart w:id="50" w:name="_Toc90645411"/>
      <w:bookmarkStart w:id="51" w:name="_Toc5871"/>
      <w:r>
        <w:rPr>
          <w:rFonts w:ascii="Times New Roman" w:hAnsi="Times New Roman"/>
          <w:b w:val="0"/>
          <w:bCs/>
          <w:color w:val="000000"/>
        </w:rPr>
        <w:t>第一节 指导思想</w:t>
      </w:r>
      <w:bookmarkEnd w:id="50"/>
      <w:bookmarkEnd w:id="51"/>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坚持以马克思列宁主义、毛泽东思想、邓小平理论、“三个代表”重要思想、科学发展观、习近平新时代中国特色社会主义思想为指导，全面贯彻落实党的十九大和历次全会与习近平总书记考察安徽重要讲话指示和在扎实推进长三角一体化发展座谈会上的重要讲话精神，坚持“发展高科技、实现产业化”方向，按照构建以国内大循环为主体、国内国际双循环相互促进的新发展格局发展要求，深入实施制造强区战略，立足产业基础，对标先进地区，全面参与长三角地区产业分工合作，围绕产业链部署创新链、围绕创新链布局产业链，优化园区产业空间布局，加强园区新型基础设施建设，围绕铜基新材料、电子信息、先进装备制造、精细化工等重点领域，加快推进产业基础高级化和产业链现代化，着力打造皖江城市带重要的新兴产业集聚地。</w:t>
      </w:r>
    </w:p>
    <w:p>
      <w:pPr>
        <w:pStyle w:val="4"/>
        <w:keepNext w:val="0"/>
        <w:keepLines w:val="0"/>
        <w:overflowPunct w:val="0"/>
        <w:autoSpaceDE w:val="0"/>
        <w:spacing w:line="600" w:lineRule="exact"/>
        <w:jc w:val="center"/>
        <w:rPr>
          <w:rFonts w:ascii="Times New Roman" w:hAnsi="Times New Roman"/>
          <w:b w:val="0"/>
          <w:bCs/>
          <w:color w:val="000000"/>
        </w:rPr>
      </w:pPr>
      <w:bookmarkStart w:id="52" w:name="_Toc90645412"/>
      <w:bookmarkStart w:id="53" w:name="_Toc28654"/>
      <w:r>
        <w:rPr>
          <w:rFonts w:ascii="Times New Roman" w:hAnsi="Times New Roman"/>
          <w:b w:val="0"/>
          <w:bCs/>
          <w:color w:val="000000"/>
        </w:rPr>
        <w:t>第二节 基本原则</w:t>
      </w:r>
      <w:bookmarkEnd w:id="52"/>
      <w:bookmarkEnd w:id="53"/>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根据上述指导思想，坚持以下基本原则：</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创新引领，转型发展。</w:t>
      </w:r>
      <w:r>
        <w:rPr>
          <w:rFonts w:ascii="Times New Roman" w:hAnsi="Times New Roman" w:eastAsia="仿宋_GB2312"/>
          <w:color w:val="000000"/>
          <w:sz w:val="32"/>
        </w:rPr>
        <w:t>深入实施创新驱动战略，充分利用长三角地区丰富的创新资源和科技资源，围绕产业发展重大领域，推动科技与产业深度融合，推动工业增长动力由要素驱动向创新驱动转变，加快传统产业转型升级，着力培育新兴产业，实现产业结构向高端化转变，发展模式向内涵式和集约化转变。</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合作共赢，共同发展。</w:t>
      </w:r>
      <w:r>
        <w:rPr>
          <w:rFonts w:ascii="Times New Roman" w:hAnsi="Times New Roman" w:eastAsia="仿宋_GB2312"/>
          <w:color w:val="000000"/>
          <w:sz w:val="32"/>
        </w:rPr>
        <w:t>按照长三角地区高质量一体化发展要求，充分发挥大开放背景下的区位和交通优势，以及铜精深加工、先进装备制造、电子信息、精细化工等产业基础好的优势，积极参与产业分工合作和生产力布局，实现合作共赢、共同发展。</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高端突破，融合发展。</w:t>
      </w:r>
      <w:r>
        <w:rPr>
          <w:rFonts w:ascii="Times New Roman" w:hAnsi="Times New Roman" w:eastAsia="仿宋_GB2312"/>
          <w:color w:val="000000"/>
          <w:sz w:val="32"/>
        </w:rPr>
        <w:t>通过大数据、云计算、物联网、人工智能、智慧制造等技术，推动传统产业提质增效，推进生产过程智能化，发展基于互联网的个性化定制、云制造等新型制造模式，不断提升产业发展层次，推动产业价值链向高端攀升，加快产业融合发展。</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集群集聚，集约发展。</w:t>
      </w:r>
      <w:r>
        <w:rPr>
          <w:rFonts w:ascii="Times New Roman" w:hAnsi="Times New Roman" w:eastAsia="仿宋_GB2312"/>
          <w:color w:val="000000"/>
          <w:sz w:val="32"/>
        </w:rPr>
        <w:t>通过培育和引进关联和配套企业，推动产业链向两端延伸、向高端转变，加快推动产业集群式发展。优化产业园区空间布局，引导各类生产要素向园区集聚，着力发展生产性服务业，实现产城融合发展。</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低碳运营，绿色发展。</w:t>
      </w:r>
      <w:r>
        <w:rPr>
          <w:rFonts w:ascii="Times New Roman" w:hAnsi="Times New Roman" w:eastAsia="仿宋_GB2312"/>
          <w:color w:val="000000"/>
          <w:sz w:val="32"/>
        </w:rPr>
        <w:t>牢牢把握生态优先、绿色转型发展理念，聚焦“产业低碳化、污染减量化、可再生能源利用规模化”，推动“六大主导产业”绿色化发展。特别是要结合狮子山独立工矿区生态修复和生态环境整治，补齐生态环境短板，尽快实现“碳达峰”“碳中和”，让生态环境建设成为经济高质量发展、人民生活幸福的增长点。</w:t>
      </w:r>
    </w:p>
    <w:p>
      <w:pPr>
        <w:pStyle w:val="4"/>
        <w:keepNext w:val="0"/>
        <w:keepLines w:val="0"/>
        <w:overflowPunct w:val="0"/>
        <w:autoSpaceDE w:val="0"/>
        <w:spacing w:line="600" w:lineRule="exact"/>
        <w:jc w:val="center"/>
        <w:rPr>
          <w:rFonts w:ascii="Times New Roman" w:hAnsi="Times New Roman"/>
          <w:b w:val="0"/>
          <w:bCs/>
          <w:color w:val="000000"/>
        </w:rPr>
      </w:pPr>
      <w:bookmarkStart w:id="54" w:name="_Toc90645413"/>
      <w:bookmarkStart w:id="55" w:name="_Toc13678"/>
      <w:r>
        <w:rPr>
          <w:rFonts w:ascii="Times New Roman" w:hAnsi="Times New Roman"/>
          <w:b w:val="0"/>
          <w:bCs/>
          <w:color w:val="000000"/>
        </w:rPr>
        <w:t>第三节 主要目标</w:t>
      </w:r>
      <w:bookmarkEnd w:id="54"/>
      <w:bookmarkEnd w:id="55"/>
    </w:p>
    <w:p>
      <w:pPr>
        <w:pStyle w:val="26"/>
        <w:widowControl w:val="0"/>
        <w:overflowPunct w:val="0"/>
        <w:autoSpaceDE w:val="0"/>
        <w:spacing w:before="0" w:beforeAutospacing="0" w:after="0" w:afterAutospacing="0" w:line="600" w:lineRule="exact"/>
        <w:ind w:firstLine="643"/>
        <w:jc w:val="both"/>
        <w:rPr>
          <w:rFonts w:ascii="Times New Roman" w:hAnsi="Times New Roman" w:cs="Times New Roman"/>
          <w:color w:val="000000"/>
          <w:kern w:val="2"/>
          <w:szCs w:val="24"/>
        </w:rPr>
      </w:pPr>
      <w:r>
        <w:rPr>
          <w:rFonts w:ascii="Times New Roman" w:hAnsi="Times New Roman" w:eastAsia="楷体_GB2312" w:cs="Times New Roman"/>
          <w:b/>
          <w:color w:val="000000"/>
          <w:kern w:val="2"/>
          <w:szCs w:val="24"/>
        </w:rPr>
        <w:t>规模效益再上新台阶。</w:t>
      </w:r>
      <w:r>
        <w:rPr>
          <w:rFonts w:ascii="Times New Roman" w:hAnsi="Times New Roman" w:cs="Times New Roman"/>
          <w:color w:val="000000"/>
          <w:kern w:val="2"/>
          <w:szCs w:val="24"/>
        </w:rPr>
        <w:t>到2025年，全区工业规模进一步壮大，规上工业企业、规上工业增加值实现倍增；规上工业总产值</w:t>
      </w:r>
      <w:r>
        <w:rPr>
          <w:rFonts w:hint="eastAsia" w:ascii="Times New Roman" w:hAnsi="Times New Roman" w:cs="Times New Roman"/>
          <w:color w:val="000000"/>
          <w:kern w:val="2"/>
          <w:szCs w:val="24"/>
        </w:rPr>
        <w:t>突破900亿元，</w:t>
      </w:r>
      <w:r>
        <w:rPr>
          <w:rFonts w:ascii="Times New Roman" w:hAnsi="Times New Roman" w:cs="Times New Roman"/>
          <w:color w:val="000000"/>
          <w:kern w:val="2"/>
          <w:szCs w:val="24"/>
        </w:rPr>
        <w:t>力争达到1000亿元，年均增速达到15%以上；工业投资累计达120亿元，其中技改投资达80亿元。企业盈利能力不断增强，规模以上工业营业收入利润率达到8%以上，规模以上工业全员劳动生产率、亩均增加值、亩均税收达到全省平均水平。</w:t>
      </w:r>
    </w:p>
    <w:p>
      <w:pPr>
        <w:overflowPunct w:val="0"/>
        <w:autoSpaceDE w:val="0"/>
        <w:adjustRightInd w:val="0"/>
        <w:snapToGrid w:val="0"/>
        <w:spacing w:line="63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产业结构实现更优化。</w:t>
      </w:r>
      <w:r>
        <w:rPr>
          <w:rFonts w:ascii="Times New Roman" w:hAnsi="Times New Roman" w:eastAsia="仿宋_GB2312"/>
          <w:color w:val="000000"/>
          <w:sz w:val="32"/>
        </w:rPr>
        <w:t>现代产业体系格局进一步完善，新兴产业成为驱动发展主力。到2025年，</w:t>
      </w:r>
      <w:r>
        <w:rPr>
          <w:rFonts w:ascii="Times New Roman" w:hAnsi="Times New Roman" w:eastAsia="仿宋_GB2312" w:cs="Times New Roman"/>
          <w:color w:val="000000" w:themeColor="text1"/>
          <w:sz w:val="32"/>
          <w:szCs w:val="32"/>
        </w:rPr>
        <w:t>全区制造业增加值</w:t>
      </w:r>
      <w:r>
        <w:rPr>
          <w:rFonts w:hint="eastAsia" w:ascii="Times New Roman" w:hAnsi="Times New Roman" w:eastAsia="仿宋_GB2312" w:cs="Times New Roman"/>
          <w:color w:val="000000" w:themeColor="text1"/>
          <w:sz w:val="32"/>
          <w:szCs w:val="32"/>
        </w:rPr>
        <w:t>占地区生产总值达</w:t>
      </w:r>
      <w:r>
        <w:rPr>
          <w:rFonts w:ascii="Times New Roman" w:hAnsi="Times New Roman" w:eastAsia="仿宋_GB2312" w:cs="Times New Roman"/>
          <w:color w:val="000000" w:themeColor="text1"/>
          <w:sz w:val="32"/>
          <w:szCs w:val="32"/>
        </w:rPr>
        <w:t>30%以上</w:t>
      </w:r>
      <w:r>
        <w:rPr>
          <w:rFonts w:hint="eastAsia" w:ascii="Times New Roman" w:hAnsi="Times New Roman" w:eastAsia="仿宋_GB2312" w:cs="Times New Roman"/>
          <w:color w:val="000000" w:themeColor="text1"/>
          <w:sz w:val="32"/>
          <w:szCs w:val="32"/>
        </w:rPr>
        <w:t>，</w:t>
      </w:r>
      <w:r>
        <w:rPr>
          <w:rFonts w:ascii="Times New Roman" w:hAnsi="Times New Roman" w:eastAsia="仿宋_GB2312" w:cs="Times New Roman"/>
          <w:color w:val="000000" w:themeColor="text1"/>
          <w:sz w:val="32"/>
          <w:szCs w:val="32"/>
        </w:rPr>
        <w:t>战略性新兴产业、高新技术产业增加值占规模以上工业比重分别达到</w:t>
      </w:r>
      <w:r>
        <w:rPr>
          <w:rFonts w:hint="eastAsia" w:ascii="Times New Roman" w:hAnsi="Times New Roman" w:eastAsia="仿宋_GB2312" w:cs="Times New Roman"/>
          <w:color w:val="000000" w:themeColor="text1"/>
          <w:sz w:val="32"/>
          <w:szCs w:val="32"/>
        </w:rPr>
        <w:t>30</w:t>
      </w:r>
      <w:r>
        <w:rPr>
          <w:rFonts w:ascii="Times New Roman" w:hAnsi="Times New Roman" w:eastAsia="仿宋_GB2312" w:cs="Times New Roman"/>
          <w:color w:val="000000" w:themeColor="text1"/>
          <w:sz w:val="32"/>
          <w:szCs w:val="32"/>
        </w:rPr>
        <w:t>%以上、50%以上，</w:t>
      </w:r>
      <w:r>
        <w:rPr>
          <w:rFonts w:ascii="Times New Roman" w:hAnsi="Times New Roman" w:eastAsia="仿宋_GB2312"/>
          <w:color w:val="000000"/>
          <w:sz w:val="32"/>
        </w:rPr>
        <w:t>主导产业产值占规模以上工业80%以上，培育500亿元产业1个，</w:t>
      </w:r>
      <w:r>
        <w:rPr>
          <w:rFonts w:hint="eastAsia" w:ascii="Times New Roman" w:hAnsi="Times New Roman" w:eastAsia="仿宋_GB2312"/>
          <w:color w:val="000000"/>
          <w:sz w:val="32"/>
        </w:rPr>
        <w:t>3</w:t>
      </w:r>
      <w:r>
        <w:rPr>
          <w:rFonts w:ascii="Times New Roman" w:hAnsi="Times New Roman" w:eastAsia="仿宋_GB2312"/>
          <w:color w:val="000000"/>
          <w:sz w:val="32"/>
        </w:rPr>
        <w:t>00亿元产业1个，50亿元产业3个。</w:t>
      </w:r>
    </w:p>
    <w:p>
      <w:pPr>
        <w:pStyle w:val="26"/>
        <w:widowControl w:val="0"/>
        <w:overflowPunct w:val="0"/>
        <w:autoSpaceDE w:val="0"/>
        <w:spacing w:before="0" w:beforeAutospacing="0" w:after="0" w:afterAutospacing="0" w:line="630" w:lineRule="exact"/>
        <w:ind w:firstLine="643"/>
        <w:jc w:val="both"/>
        <w:rPr>
          <w:rFonts w:ascii="Times New Roman" w:hAnsi="Times New Roman" w:cs="Times New Roman"/>
          <w:color w:val="000000"/>
          <w:kern w:val="2"/>
          <w:szCs w:val="24"/>
          <w:highlight w:val="yellow"/>
        </w:rPr>
      </w:pPr>
      <w:r>
        <w:rPr>
          <w:rFonts w:ascii="Times New Roman" w:hAnsi="Times New Roman" w:eastAsia="楷体_GB2312" w:cs="Times New Roman"/>
          <w:b/>
          <w:color w:val="000000"/>
          <w:kern w:val="2"/>
          <w:szCs w:val="24"/>
        </w:rPr>
        <w:t>创新能力得到新提升。</w:t>
      </w:r>
      <w:r>
        <w:rPr>
          <w:rFonts w:ascii="Times New Roman" w:hAnsi="Times New Roman" w:cs="Times New Roman"/>
          <w:color w:val="000000"/>
          <w:kern w:val="2"/>
          <w:szCs w:val="24"/>
        </w:rPr>
        <w:t>到2025年，规上工业企业研发投入占</w:t>
      </w:r>
      <w:r>
        <w:rPr>
          <w:rFonts w:hint="eastAsia" w:ascii="Times New Roman" w:hAnsi="Times New Roman" w:cs="Times New Roman"/>
          <w:color w:val="000000"/>
          <w:kern w:val="2"/>
          <w:szCs w:val="24"/>
        </w:rPr>
        <w:t>主营业务收入比重提升至1.6%</w:t>
      </w:r>
      <w:r>
        <w:rPr>
          <w:rFonts w:ascii="Times New Roman" w:hAnsi="Times New Roman" w:cs="Times New Roman"/>
          <w:color w:val="000000"/>
          <w:kern w:val="2"/>
          <w:szCs w:val="24"/>
        </w:rPr>
        <w:t>左右，规上企业研发机构覆盖率50%以上。研发平台，省级以上企业技术中心（制造业创新中心）突破15家。培育“三首产品”20个以上，制修订工信领域国家、行业、团体标准10个以上。工信部“专精特新”冠军企业达4户</w:t>
      </w:r>
      <w:r>
        <w:rPr>
          <w:rFonts w:hint="eastAsia" w:ascii="Times New Roman" w:hAnsi="Times New Roman" w:cs="Times New Roman"/>
          <w:color w:val="000000"/>
          <w:kern w:val="2"/>
          <w:szCs w:val="24"/>
        </w:rPr>
        <w:t>，年均增加省级以上“专精特新”企业3户以上</w:t>
      </w:r>
      <w:r>
        <w:rPr>
          <w:rFonts w:ascii="Times New Roman" w:hAnsi="Times New Roman" w:cs="Times New Roman"/>
          <w:color w:val="000000"/>
          <w:kern w:val="2"/>
          <w:szCs w:val="24"/>
        </w:rPr>
        <w:t>。</w:t>
      </w:r>
    </w:p>
    <w:p>
      <w:pPr>
        <w:pStyle w:val="26"/>
        <w:widowControl w:val="0"/>
        <w:overflowPunct w:val="0"/>
        <w:autoSpaceDE w:val="0"/>
        <w:spacing w:before="0" w:beforeAutospacing="0" w:after="0" w:afterAutospacing="0" w:line="630" w:lineRule="exact"/>
        <w:ind w:firstLine="643"/>
        <w:jc w:val="both"/>
        <w:rPr>
          <w:rFonts w:ascii="Times New Roman" w:hAnsi="Times New Roman" w:cs="Times New Roman"/>
          <w:color w:val="000000"/>
          <w:kern w:val="2"/>
          <w:szCs w:val="24"/>
        </w:rPr>
      </w:pPr>
      <w:r>
        <w:rPr>
          <w:rFonts w:ascii="Times New Roman" w:hAnsi="Times New Roman" w:eastAsia="楷体_GB2312" w:cs="Times New Roman"/>
          <w:b/>
          <w:color w:val="000000"/>
          <w:kern w:val="2"/>
          <w:szCs w:val="24"/>
        </w:rPr>
        <w:t>数字赋能取得新突破。</w:t>
      </w:r>
      <w:r>
        <w:rPr>
          <w:rFonts w:ascii="Times New Roman" w:hAnsi="Times New Roman" w:cs="Times New Roman"/>
          <w:color w:val="000000"/>
          <w:kern w:val="2"/>
          <w:szCs w:val="24"/>
        </w:rPr>
        <w:t>“十四五”期间，数字经济产业增加值年均增速达到30%，到2025年，“两化”融合发展指数、产业数字化指数分别达到95以上、90以上；工业设备联网率达到80%，关键工序数控化率达到90%；推广工业机器人20台，建成数字化车间8个。</w:t>
      </w:r>
      <w:r>
        <w:rPr>
          <w:rFonts w:hint="eastAsia" w:ascii="Times New Roman" w:hAnsi="Times New Roman" w:cs="Times New Roman"/>
          <w:color w:val="000000"/>
          <w:kern w:val="2"/>
          <w:szCs w:val="24"/>
        </w:rPr>
        <w:t>年均</w:t>
      </w:r>
      <w:r>
        <w:rPr>
          <w:rFonts w:ascii="Times New Roman" w:hAnsi="Times New Roman" w:cs="Times New Roman"/>
          <w:color w:val="000000"/>
          <w:kern w:val="2"/>
          <w:szCs w:val="24"/>
        </w:rPr>
        <w:t>增服务型制造企业</w:t>
      </w:r>
      <w:r>
        <w:rPr>
          <w:rFonts w:hint="eastAsia" w:ascii="Times New Roman" w:hAnsi="Times New Roman" w:cs="Times New Roman"/>
          <w:color w:val="000000"/>
          <w:kern w:val="2"/>
          <w:szCs w:val="24"/>
        </w:rPr>
        <w:t>1-2</w:t>
      </w:r>
      <w:r>
        <w:rPr>
          <w:rFonts w:ascii="Times New Roman" w:hAnsi="Times New Roman" w:cs="Times New Roman"/>
          <w:color w:val="000000"/>
          <w:kern w:val="2"/>
          <w:szCs w:val="24"/>
        </w:rPr>
        <w:t>家，</w:t>
      </w:r>
      <w:r>
        <w:rPr>
          <w:rFonts w:hint="eastAsia" w:ascii="Times New Roman" w:hAnsi="Times New Roman" w:cs="Times New Roman"/>
          <w:color w:val="000000"/>
          <w:kern w:val="2"/>
          <w:szCs w:val="24"/>
        </w:rPr>
        <w:t>软件</w:t>
      </w:r>
      <w:r>
        <w:rPr>
          <w:rFonts w:ascii="Times New Roman" w:hAnsi="Times New Roman" w:cs="Times New Roman"/>
          <w:color w:val="000000"/>
          <w:kern w:val="2"/>
          <w:szCs w:val="24"/>
        </w:rPr>
        <w:t>和信息服务业营业收入年均增长15%以上。</w:t>
      </w:r>
    </w:p>
    <w:p>
      <w:pPr>
        <w:pStyle w:val="26"/>
        <w:widowControl w:val="0"/>
        <w:overflowPunct w:val="0"/>
        <w:autoSpaceDE w:val="0"/>
        <w:spacing w:before="0" w:beforeAutospacing="0" w:after="0" w:afterAutospacing="0" w:line="630" w:lineRule="exact"/>
        <w:ind w:firstLine="643"/>
        <w:jc w:val="both"/>
        <w:rPr>
          <w:rFonts w:ascii="Times New Roman" w:hAnsi="Times New Roman" w:cs="Times New Roman"/>
          <w:color w:val="000000"/>
          <w:kern w:val="2"/>
          <w:szCs w:val="24"/>
        </w:rPr>
      </w:pPr>
      <w:r>
        <w:rPr>
          <w:rFonts w:ascii="Times New Roman" w:hAnsi="Times New Roman" w:eastAsia="楷体_GB2312" w:cs="Times New Roman"/>
          <w:b/>
          <w:color w:val="000000"/>
          <w:kern w:val="2"/>
          <w:szCs w:val="24"/>
        </w:rPr>
        <w:t>绿色低碳达到新水平。</w:t>
      </w:r>
      <w:r>
        <w:rPr>
          <w:rFonts w:ascii="Times New Roman" w:hAnsi="Times New Roman" w:cs="Times New Roman"/>
          <w:color w:val="000000"/>
          <w:kern w:val="2"/>
          <w:szCs w:val="24"/>
        </w:rPr>
        <w:t>“十四五”期间，主要污染物排放总量得到有效控制，单位工业增加值能耗、单位工业增加值用水量、主要污染物排放完成预期控制目标。高耗能产业增加值占规上工业比重下降5个百分点。工业固体废弃物综合利用率达95%以上，绿色制造模式广泛应用，绿色制造体系基本形成。</w:t>
      </w:r>
    </w:p>
    <w:tbl>
      <w:tblPr>
        <w:tblStyle w:val="30"/>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641"/>
        <w:gridCol w:w="3709"/>
        <w:gridCol w:w="1058"/>
        <w:gridCol w:w="1216"/>
        <w:gridCol w:w="1600"/>
        <w:gridCol w:w="1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9887" w:type="dxa"/>
            <w:gridSpan w:val="7"/>
            <w:noWrap/>
            <w:vAlign w:val="center"/>
          </w:tcPr>
          <w:p>
            <w:pPr>
              <w:overflowPunct w:val="0"/>
              <w:autoSpaceDE w:val="0"/>
              <w:spacing w:line="400" w:lineRule="exact"/>
              <w:jc w:val="center"/>
              <w:rPr>
                <w:rFonts w:ascii="Times New Roman" w:hAnsi="Times New Roman" w:eastAsia="黑体"/>
                <w:color w:val="000000"/>
                <w:sz w:val="24"/>
              </w:rPr>
            </w:pPr>
            <w:r>
              <w:rPr>
                <w:rFonts w:hint="eastAsia" w:ascii="Times New Roman" w:hAnsi="Times New Roman" w:eastAsia="黑体"/>
                <w:color w:val="000000"/>
                <w:sz w:val="28"/>
                <w:szCs w:val="28"/>
              </w:rPr>
              <w:t>表</w:t>
            </w:r>
            <w:r>
              <w:rPr>
                <w:rFonts w:ascii="Times New Roman" w:hAnsi="Times New Roman" w:eastAsia="黑体"/>
                <w:color w:val="000000"/>
                <w:sz w:val="28"/>
                <w:szCs w:val="28"/>
              </w:rPr>
              <w:t>1：“十四五”工业和信息化发展主要指标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1049" w:type="dxa"/>
            <w:gridSpan w:val="2"/>
            <w:noWrap/>
            <w:vAlign w:val="center"/>
          </w:tcPr>
          <w:p>
            <w:pPr>
              <w:overflowPunct w:val="0"/>
              <w:autoSpaceDE w:val="0"/>
              <w:spacing w:line="400" w:lineRule="exact"/>
              <w:jc w:val="center"/>
              <w:rPr>
                <w:rFonts w:ascii="Times New Roman" w:hAnsi="Times New Roman" w:eastAsia="黑体"/>
                <w:color w:val="000000"/>
                <w:sz w:val="24"/>
              </w:rPr>
            </w:pPr>
            <w:r>
              <w:rPr>
                <w:rFonts w:ascii="Times New Roman" w:hAnsi="Times New Roman" w:eastAsia="黑体"/>
                <w:color w:val="000000"/>
                <w:sz w:val="24"/>
              </w:rPr>
              <w:t>项 目</w:t>
            </w:r>
          </w:p>
        </w:tc>
        <w:tc>
          <w:tcPr>
            <w:tcW w:w="3709" w:type="dxa"/>
            <w:noWrap/>
            <w:vAlign w:val="center"/>
          </w:tcPr>
          <w:p>
            <w:pPr>
              <w:overflowPunct w:val="0"/>
              <w:autoSpaceDE w:val="0"/>
              <w:spacing w:line="400" w:lineRule="exact"/>
              <w:jc w:val="center"/>
              <w:rPr>
                <w:rFonts w:ascii="Times New Roman" w:hAnsi="Times New Roman" w:eastAsia="黑体"/>
                <w:color w:val="000000"/>
                <w:szCs w:val="21"/>
              </w:rPr>
            </w:pPr>
            <w:r>
              <w:rPr>
                <w:rFonts w:ascii="Times New Roman" w:hAnsi="Times New Roman" w:eastAsia="黑体"/>
                <w:color w:val="000000"/>
                <w:sz w:val="32"/>
                <w:szCs w:val="21"/>
              </w:rPr>
              <w:t>主要指标</w:t>
            </w:r>
          </w:p>
        </w:tc>
        <w:tc>
          <w:tcPr>
            <w:tcW w:w="1058" w:type="dxa"/>
            <w:noWrap/>
            <w:vAlign w:val="center"/>
          </w:tcPr>
          <w:p>
            <w:pPr>
              <w:overflowPunct w:val="0"/>
              <w:autoSpaceDE w:val="0"/>
              <w:spacing w:line="400" w:lineRule="exact"/>
              <w:jc w:val="center"/>
              <w:rPr>
                <w:rFonts w:ascii="Times New Roman" w:hAnsi="Times New Roman" w:eastAsia="黑体"/>
                <w:color w:val="000000"/>
                <w:szCs w:val="21"/>
              </w:rPr>
            </w:pPr>
            <w:r>
              <w:rPr>
                <w:rFonts w:ascii="Times New Roman" w:hAnsi="Times New Roman" w:eastAsia="黑体"/>
                <w:color w:val="000000"/>
                <w:sz w:val="32"/>
                <w:szCs w:val="21"/>
              </w:rPr>
              <w:t>单位</w:t>
            </w:r>
          </w:p>
        </w:tc>
        <w:tc>
          <w:tcPr>
            <w:tcW w:w="1216" w:type="dxa"/>
            <w:noWrap/>
            <w:vAlign w:val="center"/>
          </w:tcPr>
          <w:p>
            <w:pPr>
              <w:overflowPunct w:val="0"/>
              <w:autoSpaceDE w:val="0"/>
              <w:spacing w:line="400" w:lineRule="exact"/>
              <w:jc w:val="center"/>
              <w:rPr>
                <w:rFonts w:ascii="Times New Roman" w:hAnsi="Times New Roman" w:eastAsia="黑体"/>
                <w:color w:val="000000"/>
                <w:szCs w:val="21"/>
              </w:rPr>
            </w:pPr>
            <w:r>
              <w:rPr>
                <w:rFonts w:ascii="Times New Roman" w:hAnsi="Times New Roman" w:eastAsia="黑体"/>
                <w:color w:val="000000"/>
                <w:sz w:val="32"/>
                <w:szCs w:val="21"/>
              </w:rPr>
              <w:t>2020年</w:t>
            </w:r>
          </w:p>
        </w:tc>
        <w:tc>
          <w:tcPr>
            <w:tcW w:w="1600" w:type="dxa"/>
            <w:noWrap/>
            <w:vAlign w:val="center"/>
          </w:tcPr>
          <w:p>
            <w:pPr>
              <w:overflowPunct w:val="0"/>
              <w:autoSpaceDE w:val="0"/>
              <w:spacing w:line="400" w:lineRule="exact"/>
              <w:jc w:val="center"/>
              <w:rPr>
                <w:rFonts w:ascii="Times New Roman" w:hAnsi="Times New Roman" w:eastAsia="黑体"/>
                <w:color w:val="000000"/>
                <w:szCs w:val="21"/>
              </w:rPr>
            </w:pPr>
            <w:r>
              <w:rPr>
                <w:rFonts w:ascii="Times New Roman" w:hAnsi="Times New Roman" w:eastAsia="黑体"/>
                <w:color w:val="000000"/>
                <w:sz w:val="32"/>
                <w:szCs w:val="21"/>
              </w:rPr>
              <w:t>2025年</w:t>
            </w:r>
          </w:p>
        </w:tc>
        <w:tc>
          <w:tcPr>
            <w:tcW w:w="1255" w:type="dxa"/>
            <w:noWrap/>
            <w:vAlign w:val="center"/>
          </w:tcPr>
          <w:p>
            <w:pPr>
              <w:overflowPunct w:val="0"/>
              <w:autoSpaceDE w:val="0"/>
              <w:spacing w:line="400" w:lineRule="exact"/>
              <w:jc w:val="center"/>
              <w:rPr>
                <w:rFonts w:ascii="Times New Roman" w:hAnsi="Times New Roman" w:eastAsia="黑体"/>
                <w:color w:val="000000"/>
                <w:szCs w:val="21"/>
              </w:rPr>
            </w:pPr>
            <w:r>
              <w:rPr>
                <w:rFonts w:ascii="Times New Roman" w:hAnsi="Times New Roman" w:eastAsia="黑体"/>
                <w:color w:val="000000"/>
                <w:sz w:val="32"/>
                <w:szCs w:val="21"/>
              </w:rPr>
              <w:t>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restart"/>
            <w:noWrap/>
            <w:vAlign w:val="center"/>
          </w:tcPr>
          <w:p>
            <w:pPr>
              <w:overflowPunct w:val="0"/>
              <w:autoSpaceDE w:val="0"/>
              <w:spacing w:line="500" w:lineRule="exact"/>
              <w:jc w:val="center"/>
              <w:rPr>
                <w:rFonts w:ascii="Times New Roman" w:hAnsi="Times New Roman" w:eastAsia="仿宋"/>
                <w:b/>
                <w:bCs/>
                <w:color w:val="000000"/>
                <w:sz w:val="24"/>
              </w:rPr>
            </w:pPr>
            <w:r>
              <w:rPr>
                <w:rFonts w:ascii="Times New Roman" w:hAnsi="Times New Roman" w:eastAsia="仿宋_GB2312"/>
                <w:b/>
                <w:bCs/>
                <w:color w:val="000000"/>
                <w:sz w:val="24"/>
              </w:rPr>
              <w:t>规规模质效</w:t>
            </w: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规上工业产值</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亿元</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405.1</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1000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2</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工业增加值</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亿元</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84.2</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w:t>
            </w:r>
            <w:r>
              <w:rPr>
                <w:rFonts w:hint="eastAsia" w:ascii="Times New Roman" w:hAnsi="Times New Roman" w:eastAsia="仿宋_GB2312"/>
                <w:color w:val="000000"/>
                <w:sz w:val="32"/>
                <w:szCs w:val="21"/>
              </w:rPr>
              <w:t>7</w:t>
            </w:r>
            <w:r>
              <w:rPr>
                <w:rFonts w:ascii="Times New Roman" w:hAnsi="Times New Roman" w:eastAsia="仿宋_GB2312"/>
                <w:color w:val="000000"/>
                <w:sz w:val="32"/>
                <w:szCs w:val="21"/>
              </w:rPr>
              <w:t>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3</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制造业增加值占GDP比重</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21.8</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
                <w:color w:val="000000"/>
                <w:sz w:val="32"/>
                <w:szCs w:val="21"/>
              </w:rPr>
              <w:t>30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4</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规上工业企业数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户</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
                <w:color w:val="000000"/>
                <w:sz w:val="32"/>
                <w:szCs w:val="21"/>
              </w:rPr>
              <w:t>69</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140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5</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营业收入过百亿元企业数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2</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6</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规上工业增加值率</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szCs w:val="21"/>
              </w:rPr>
            </w:pPr>
            <w:r>
              <w:rPr>
                <w:rFonts w:hint="eastAsia" w:ascii="Times New Roman" w:hAnsi="Times New Roman" w:eastAsia="仿宋_GB2312"/>
                <w:sz w:val="32"/>
                <w:szCs w:val="21"/>
              </w:rPr>
              <w:t>15</w:t>
            </w:r>
          </w:p>
        </w:tc>
        <w:tc>
          <w:tcPr>
            <w:tcW w:w="1600" w:type="dxa"/>
            <w:noWrap/>
            <w:vAlign w:val="center"/>
          </w:tcPr>
          <w:p>
            <w:pPr>
              <w:overflowPunct w:val="0"/>
              <w:autoSpaceDE w:val="0"/>
              <w:spacing w:line="500" w:lineRule="exact"/>
              <w:jc w:val="center"/>
              <w:rPr>
                <w:rFonts w:ascii="Times New Roman" w:hAnsi="Times New Roman" w:eastAsia="仿宋"/>
                <w:szCs w:val="21"/>
              </w:rPr>
            </w:pPr>
            <w:r>
              <w:rPr>
                <w:rFonts w:ascii="Times New Roman" w:hAnsi="Times New Roman" w:eastAsia="仿宋_GB2312"/>
                <w:sz w:val="32"/>
                <w:szCs w:val="21"/>
              </w:rPr>
              <w:t>1</w:t>
            </w:r>
            <w:r>
              <w:rPr>
                <w:rFonts w:hint="eastAsia" w:ascii="Times New Roman" w:hAnsi="Times New Roman" w:eastAsia="仿宋_GB2312"/>
                <w:sz w:val="32"/>
                <w:szCs w:val="21"/>
              </w:rPr>
              <w:t>8</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7</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省级以上开发区规上企业亩均税收</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万</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11.8</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20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hint="eastAsia" w:ascii="Times New Roman" w:hAnsi="Times New Roman" w:eastAsia="仿宋_GB2312"/>
                <w:color w:val="000000"/>
                <w:sz w:val="24"/>
              </w:rPr>
              <w:t>8</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战略性新兴产业产值占规上工业比重</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17</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30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hint="eastAsia" w:ascii="Times New Roman" w:hAnsi="Times New Roman" w:eastAsia="仿宋_GB2312"/>
                <w:color w:val="000000"/>
                <w:sz w:val="24"/>
              </w:rPr>
              <w:t>9</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高新技术产业增加值占规上工业比重</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
                <w:color w:val="000000"/>
                <w:sz w:val="32"/>
                <w:szCs w:val="21"/>
              </w:rPr>
              <w:t>50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restart"/>
            <w:noWrap/>
            <w:vAlign w:val="center"/>
          </w:tcPr>
          <w:p>
            <w:pPr>
              <w:overflowPunct w:val="0"/>
              <w:autoSpaceDE w:val="0"/>
              <w:spacing w:line="500" w:lineRule="exact"/>
              <w:jc w:val="center"/>
              <w:rPr>
                <w:rFonts w:ascii="Times New Roman" w:hAnsi="Times New Roman" w:eastAsia="仿宋"/>
                <w:b/>
                <w:bCs/>
                <w:color w:val="000000"/>
                <w:sz w:val="24"/>
              </w:rPr>
            </w:pPr>
            <w:r>
              <w:rPr>
                <w:rFonts w:ascii="Times New Roman" w:hAnsi="Times New Roman" w:eastAsia="仿宋_GB2312"/>
                <w:b/>
                <w:bCs/>
                <w:color w:val="000000"/>
                <w:sz w:val="24"/>
              </w:rPr>
              <w:t>创创新能力</w:t>
            </w: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0</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规上企业研发机构覆盖率</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4</w:t>
            </w:r>
            <w:r>
              <w:rPr>
                <w:rFonts w:hint="eastAsia" w:ascii="Times New Roman" w:hAnsi="Times New Roman" w:eastAsia="仿宋_GB2312"/>
                <w:color w:val="000000"/>
                <w:sz w:val="32"/>
                <w:szCs w:val="21"/>
              </w:rPr>
              <w:t>2</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5</w:t>
            </w:r>
            <w:r>
              <w:rPr>
                <w:rFonts w:ascii="Times New Roman" w:hAnsi="Times New Roman" w:eastAsia="仿宋_GB2312"/>
                <w:color w:val="000000"/>
                <w:sz w:val="32"/>
                <w:szCs w:val="21"/>
              </w:rPr>
              <w:t>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1</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规上企业研发投入占</w:t>
            </w:r>
            <w:r>
              <w:rPr>
                <w:rFonts w:hint="eastAsia" w:ascii="Times New Roman" w:hAnsi="Times New Roman" w:eastAsia="仿宋_GB2312"/>
                <w:color w:val="000000"/>
                <w:sz w:val="32"/>
                <w:szCs w:val="21"/>
              </w:rPr>
              <w:t>主营业务收入比重</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
                <w:color w:val="000000"/>
                <w:sz w:val="32"/>
                <w:szCs w:val="21"/>
              </w:rPr>
              <w:t>1.32</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
                <w:color w:val="000000"/>
                <w:sz w:val="32"/>
                <w:szCs w:val="21"/>
              </w:rPr>
              <w:t>1.6</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2</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省级以上企业技术中心（制造业创新中心）数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9</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15</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3</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新增工信领域国家、行业、团体标准</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46</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60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4</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三首产品数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szCs w:val="21"/>
              </w:rPr>
            </w:pPr>
            <w:r>
              <w:rPr>
                <w:rFonts w:ascii="Times New Roman" w:hAnsi="Times New Roman" w:eastAsia="仿宋_GB2312"/>
                <w:sz w:val="32"/>
                <w:szCs w:val="21"/>
              </w:rPr>
              <w:t>14</w:t>
            </w:r>
          </w:p>
        </w:tc>
        <w:tc>
          <w:tcPr>
            <w:tcW w:w="1600" w:type="dxa"/>
            <w:noWrap/>
            <w:vAlign w:val="center"/>
          </w:tcPr>
          <w:p>
            <w:pPr>
              <w:overflowPunct w:val="0"/>
              <w:autoSpaceDE w:val="0"/>
              <w:spacing w:line="500" w:lineRule="exact"/>
              <w:jc w:val="center"/>
              <w:rPr>
                <w:rFonts w:ascii="Times New Roman" w:hAnsi="Times New Roman" w:eastAsia="仿宋"/>
                <w:szCs w:val="21"/>
              </w:rPr>
            </w:pPr>
            <w:r>
              <w:rPr>
                <w:rFonts w:hint="eastAsia" w:ascii="Times New Roman" w:hAnsi="Times New Roman" w:eastAsia="仿宋_GB2312"/>
                <w:sz w:val="32"/>
                <w:szCs w:val="21"/>
              </w:rPr>
              <w:t>2</w:t>
            </w:r>
            <w:r>
              <w:rPr>
                <w:rFonts w:ascii="Times New Roman" w:hAnsi="Times New Roman" w:eastAsia="仿宋_GB2312"/>
                <w:sz w:val="32"/>
                <w:szCs w:val="21"/>
              </w:rPr>
              <w:t>0</w:t>
            </w:r>
          </w:p>
        </w:tc>
        <w:tc>
          <w:tcPr>
            <w:tcW w:w="1255" w:type="dxa"/>
            <w:noWrap/>
            <w:vAlign w:val="center"/>
          </w:tcPr>
          <w:p>
            <w:pPr>
              <w:overflowPunct w:val="0"/>
              <w:autoSpaceDE w:val="0"/>
              <w:spacing w:line="500" w:lineRule="exact"/>
              <w:jc w:val="center"/>
              <w:rPr>
                <w:rFonts w:ascii="Times New Roman" w:hAnsi="Times New Roman" w:eastAsia="黑体"/>
                <w:szCs w:val="21"/>
              </w:rPr>
            </w:pPr>
            <w:r>
              <w:rPr>
                <w:rFonts w:ascii="Times New Roman" w:hAnsi="Times New Roman" w:eastAsia="仿宋_GB2312"/>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restart"/>
            <w:noWrap/>
            <w:vAlign w:val="center"/>
          </w:tcPr>
          <w:p>
            <w:pPr>
              <w:overflowPunct w:val="0"/>
              <w:autoSpaceDE w:val="0"/>
              <w:spacing w:line="500" w:lineRule="exact"/>
              <w:jc w:val="center"/>
              <w:rPr>
                <w:rFonts w:ascii="Times New Roman" w:hAnsi="Times New Roman" w:eastAsia="仿宋"/>
                <w:b/>
                <w:bCs/>
                <w:color w:val="000000"/>
                <w:sz w:val="24"/>
              </w:rPr>
            </w:pPr>
            <w:r>
              <w:rPr>
                <w:rFonts w:ascii="Times New Roman" w:hAnsi="Times New Roman" w:eastAsia="仿宋_GB2312"/>
                <w:b/>
                <w:bCs/>
                <w:color w:val="000000"/>
                <w:sz w:val="24"/>
              </w:rPr>
              <w:t>两两化融合</w:t>
            </w: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5</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两化融合指数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31.8</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50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6</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省级以上工业设计中心</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7</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7</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智能工厂数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2</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5</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1</w:t>
            </w:r>
            <w:r>
              <w:rPr>
                <w:rFonts w:hint="eastAsia" w:ascii="Times New Roman" w:hAnsi="Times New Roman" w:eastAsia="仿宋_GB2312"/>
                <w:color w:val="000000"/>
                <w:sz w:val="24"/>
              </w:rPr>
              <w:t>8</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数字化车间数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5</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13</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仿宋"/>
                <w:b/>
                <w:bCs/>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hint="eastAsia" w:ascii="Times New Roman" w:hAnsi="Times New Roman" w:eastAsia="仿宋_GB2312"/>
                <w:color w:val="000000"/>
                <w:sz w:val="24"/>
              </w:rPr>
              <w:t>19</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工业机器人推广数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台</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5</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20</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restart"/>
            <w:noWrap/>
            <w:vAlign w:val="center"/>
          </w:tcPr>
          <w:p>
            <w:pPr>
              <w:overflowPunct w:val="0"/>
              <w:autoSpaceDE w:val="0"/>
              <w:spacing w:line="500" w:lineRule="exact"/>
              <w:jc w:val="center"/>
              <w:rPr>
                <w:rFonts w:ascii="Times New Roman" w:hAnsi="Times New Roman" w:eastAsia="仿宋"/>
                <w:b/>
                <w:bCs/>
                <w:color w:val="000000"/>
                <w:sz w:val="24"/>
              </w:rPr>
            </w:pPr>
            <w:r>
              <w:rPr>
                <w:rFonts w:ascii="Times New Roman" w:hAnsi="Times New Roman" w:eastAsia="仿宋_GB2312"/>
                <w:b/>
                <w:bCs/>
                <w:color w:val="000000"/>
                <w:sz w:val="24"/>
              </w:rPr>
              <w:t>绿绿色发展</w:t>
            </w: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2</w:t>
            </w:r>
            <w:r>
              <w:rPr>
                <w:rFonts w:hint="eastAsia" w:ascii="Times New Roman" w:hAnsi="Times New Roman" w:eastAsia="仿宋_GB2312"/>
                <w:color w:val="000000"/>
                <w:sz w:val="24"/>
              </w:rPr>
              <w:t>0</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单位工业增加值能耗年均下降</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吨标煤/万元</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4</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完成市下达目标</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黑体"/>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2</w:t>
            </w:r>
            <w:r>
              <w:rPr>
                <w:rFonts w:hint="eastAsia" w:ascii="Times New Roman" w:hAnsi="Times New Roman" w:eastAsia="仿宋_GB2312"/>
                <w:color w:val="000000"/>
                <w:sz w:val="24"/>
              </w:rPr>
              <w:t>1</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省级节水型示范企业数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0</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黑体"/>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2</w:t>
            </w:r>
            <w:r>
              <w:rPr>
                <w:rFonts w:hint="eastAsia" w:ascii="Times New Roman" w:hAnsi="Times New Roman" w:eastAsia="仿宋_GB2312"/>
                <w:color w:val="000000"/>
                <w:sz w:val="24"/>
              </w:rPr>
              <w:t>2</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工业固体废弃物综合及处置利用率</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完成市下达目标</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8" w:type="dxa"/>
            <w:vMerge w:val="continue"/>
            <w:noWrap/>
            <w:vAlign w:val="center"/>
          </w:tcPr>
          <w:p>
            <w:pPr>
              <w:overflowPunct w:val="0"/>
              <w:autoSpaceDE w:val="0"/>
              <w:spacing w:line="500" w:lineRule="exact"/>
              <w:jc w:val="center"/>
              <w:rPr>
                <w:rFonts w:ascii="Times New Roman" w:hAnsi="Times New Roman" w:eastAsia="黑体"/>
                <w:color w:val="000000"/>
                <w:sz w:val="24"/>
              </w:rPr>
            </w:pPr>
          </w:p>
        </w:tc>
        <w:tc>
          <w:tcPr>
            <w:tcW w:w="641" w:type="dxa"/>
            <w:noWrap/>
            <w:vAlign w:val="center"/>
          </w:tcPr>
          <w:p>
            <w:pPr>
              <w:overflowPunct w:val="0"/>
              <w:autoSpaceDE w:val="0"/>
              <w:spacing w:line="500" w:lineRule="exact"/>
              <w:jc w:val="center"/>
              <w:rPr>
                <w:rFonts w:ascii="Times New Roman" w:hAnsi="Times New Roman" w:eastAsia="仿宋"/>
                <w:color w:val="000000"/>
                <w:sz w:val="24"/>
              </w:rPr>
            </w:pPr>
            <w:r>
              <w:rPr>
                <w:rFonts w:ascii="Times New Roman" w:hAnsi="Times New Roman" w:eastAsia="仿宋_GB2312"/>
                <w:color w:val="000000"/>
                <w:sz w:val="24"/>
              </w:rPr>
              <w:t>2</w:t>
            </w:r>
            <w:r>
              <w:rPr>
                <w:rFonts w:hint="eastAsia" w:ascii="Times New Roman" w:hAnsi="Times New Roman" w:eastAsia="仿宋_GB2312"/>
                <w:color w:val="000000"/>
                <w:sz w:val="24"/>
              </w:rPr>
              <w:t>3</w:t>
            </w:r>
          </w:p>
        </w:tc>
        <w:tc>
          <w:tcPr>
            <w:tcW w:w="3709" w:type="dxa"/>
            <w:noWrap/>
            <w:vAlign w:val="center"/>
          </w:tcPr>
          <w:p>
            <w:pPr>
              <w:overflowPunct w:val="0"/>
              <w:autoSpaceDE w:val="0"/>
              <w:spacing w:line="500" w:lineRule="exact"/>
              <w:rPr>
                <w:rFonts w:ascii="Times New Roman" w:hAnsi="Times New Roman" w:eastAsia="仿宋"/>
                <w:color w:val="000000"/>
                <w:szCs w:val="21"/>
              </w:rPr>
            </w:pPr>
            <w:r>
              <w:rPr>
                <w:rFonts w:ascii="Times New Roman" w:hAnsi="Times New Roman" w:eastAsia="仿宋_GB2312"/>
                <w:color w:val="000000"/>
                <w:sz w:val="32"/>
                <w:szCs w:val="21"/>
              </w:rPr>
              <w:t>省级以上绿色工厂数</w:t>
            </w:r>
          </w:p>
        </w:tc>
        <w:tc>
          <w:tcPr>
            <w:tcW w:w="1058"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个</w:t>
            </w:r>
          </w:p>
        </w:tc>
        <w:tc>
          <w:tcPr>
            <w:tcW w:w="1216" w:type="dxa"/>
            <w:noWrap/>
            <w:vAlign w:val="center"/>
          </w:tcPr>
          <w:p>
            <w:pPr>
              <w:overflowPunct w:val="0"/>
              <w:autoSpaceDE w:val="0"/>
              <w:spacing w:line="500" w:lineRule="exact"/>
              <w:jc w:val="center"/>
              <w:rPr>
                <w:rFonts w:ascii="Times New Roman" w:hAnsi="Times New Roman" w:eastAsia="仿宋"/>
                <w:color w:val="000000"/>
                <w:szCs w:val="21"/>
              </w:rPr>
            </w:pPr>
            <w:r>
              <w:rPr>
                <w:rFonts w:ascii="Times New Roman" w:hAnsi="Times New Roman" w:eastAsia="仿宋_GB2312"/>
                <w:color w:val="000000"/>
                <w:sz w:val="32"/>
                <w:szCs w:val="21"/>
              </w:rPr>
              <w:t>1</w:t>
            </w:r>
          </w:p>
        </w:tc>
        <w:tc>
          <w:tcPr>
            <w:tcW w:w="1600" w:type="dxa"/>
            <w:noWrap/>
            <w:vAlign w:val="center"/>
          </w:tcPr>
          <w:p>
            <w:pPr>
              <w:overflowPunct w:val="0"/>
              <w:autoSpaceDE w:val="0"/>
              <w:spacing w:line="500" w:lineRule="exact"/>
              <w:jc w:val="center"/>
              <w:rPr>
                <w:rFonts w:ascii="Times New Roman" w:hAnsi="Times New Roman" w:eastAsia="仿宋"/>
                <w:color w:val="000000"/>
                <w:szCs w:val="21"/>
              </w:rPr>
            </w:pPr>
            <w:r>
              <w:rPr>
                <w:rFonts w:hint="eastAsia" w:ascii="Times New Roman" w:hAnsi="Times New Roman" w:eastAsia="仿宋_GB2312"/>
                <w:color w:val="000000"/>
                <w:sz w:val="32"/>
                <w:szCs w:val="21"/>
              </w:rPr>
              <w:t>3</w:t>
            </w:r>
          </w:p>
        </w:tc>
        <w:tc>
          <w:tcPr>
            <w:tcW w:w="1255" w:type="dxa"/>
            <w:noWrap/>
            <w:vAlign w:val="center"/>
          </w:tcPr>
          <w:p>
            <w:pPr>
              <w:overflowPunct w:val="0"/>
              <w:autoSpaceDE w:val="0"/>
              <w:spacing w:line="500" w:lineRule="exact"/>
              <w:jc w:val="center"/>
              <w:rPr>
                <w:rFonts w:ascii="Times New Roman" w:hAnsi="Times New Roman" w:eastAsia="黑体"/>
                <w:color w:val="000000"/>
                <w:szCs w:val="21"/>
              </w:rPr>
            </w:pPr>
            <w:r>
              <w:rPr>
                <w:rFonts w:ascii="Times New Roman" w:hAnsi="Times New Roman" w:eastAsia="仿宋_GB2312"/>
                <w:color w:val="000000"/>
                <w:sz w:val="32"/>
                <w:szCs w:val="21"/>
              </w:rPr>
              <w:t>预期性</w:t>
            </w:r>
          </w:p>
        </w:tc>
      </w:tr>
    </w:tbl>
    <w:p>
      <w:pPr>
        <w:pStyle w:val="26"/>
        <w:widowControl w:val="0"/>
        <w:overflowPunct w:val="0"/>
        <w:autoSpaceDE w:val="0"/>
        <w:spacing w:before="0" w:beforeAutospacing="0" w:after="0" w:afterAutospacing="0" w:line="600" w:lineRule="exact"/>
        <w:ind w:firstLine="640"/>
        <w:jc w:val="both"/>
        <w:rPr>
          <w:rFonts w:ascii="Times New Roman" w:hAnsi="Times New Roman" w:cs="Times New Roman"/>
          <w:color w:val="000000"/>
          <w:kern w:val="2"/>
          <w:szCs w:val="24"/>
        </w:rPr>
      </w:pPr>
    </w:p>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w w:val="95"/>
          <w:sz w:val="44"/>
          <w:szCs w:val="44"/>
        </w:rPr>
      </w:pPr>
      <w:bookmarkStart w:id="56" w:name="_Toc19490"/>
      <w:bookmarkStart w:id="57" w:name="_Toc90645414"/>
      <w:r>
        <w:rPr>
          <w:rFonts w:hint="eastAsia" w:ascii="Times New Roman" w:hAnsi="Times New Roman" w:eastAsia="方正小标宋简体" w:cs="Times New Roman"/>
          <w:color w:val="000000"/>
          <w:w w:val="95"/>
          <w:sz w:val="44"/>
          <w:szCs w:val="44"/>
        </w:rPr>
        <w:t>第四章  优化产业空间布局</w:t>
      </w:r>
      <w:bookmarkEnd w:id="56"/>
      <w:r>
        <w:rPr>
          <w:rFonts w:hint="eastAsia" w:ascii="Times New Roman" w:hAnsi="Times New Roman" w:eastAsia="方正小标宋简体" w:cs="Times New Roman"/>
          <w:color w:val="000000"/>
          <w:w w:val="95"/>
          <w:sz w:val="44"/>
          <w:szCs w:val="44"/>
        </w:rPr>
        <w:t>，提升园区发展水平</w:t>
      </w:r>
      <w:bookmarkEnd w:id="57"/>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四五”时期，坚持把狮子山国家级高新区作为全区工业发展的重要载体，着力推进产城融合，坚持以发展新产业、新模式、新业态为主攻方向，构建以铜基新材料产业、电子信息产业、精细化工产业、高端装备制造产业为主导，以现代服务业为支撑的发展格局，加快推动园区从单一的生产型园区经济向综合型城市经济转型。</w:t>
      </w:r>
    </w:p>
    <w:p>
      <w:pPr>
        <w:pStyle w:val="4"/>
        <w:keepNext w:val="0"/>
        <w:keepLines w:val="0"/>
        <w:overflowPunct w:val="0"/>
        <w:autoSpaceDE w:val="0"/>
        <w:spacing w:line="600" w:lineRule="exact"/>
        <w:jc w:val="center"/>
        <w:rPr>
          <w:rFonts w:ascii="Times New Roman" w:hAnsi="Times New Roman"/>
          <w:b w:val="0"/>
          <w:bCs/>
          <w:color w:val="000000"/>
        </w:rPr>
      </w:pPr>
      <w:bookmarkStart w:id="58" w:name="_Toc90645415"/>
      <w:r>
        <w:rPr>
          <w:rFonts w:ascii="Times New Roman" w:hAnsi="Times New Roman"/>
          <w:b w:val="0"/>
          <w:bCs/>
          <w:color w:val="000000"/>
        </w:rPr>
        <w:t>第一节 构建“一区四园”发展格局</w:t>
      </w:r>
      <w:bookmarkEnd w:id="58"/>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——核心区。</w:t>
      </w:r>
      <w:r>
        <w:rPr>
          <w:rFonts w:ascii="Times New Roman" w:hAnsi="Times New Roman" w:eastAsia="仿宋_GB2312"/>
          <w:color w:val="000000"/>
          <w:sz w:val="32"/>
        </w:rPr>
        <w:t>即狮子山高新区，面积为2.55平方公里，主导产业为铜基新材料和高端装备制造，代表性企业有海亮铜业、</w:t>
      </w:r>
      <w:r>
        <w:rPr>
          <w:rFonts w:hint="eastAsia" w:ascii="Times New Roman" w:hAnsi="Times New Roman" w:eastAsia="仿宋_GB2312"/>
          <w:color w:val="000000"/>
          <w:sz w:val="32"/>
        </w:rPr>
        <w:t>洁雅生物、</w:t>
      </w:r>
      <w:r>
        <w:rPr>
          <w:rFonts w:ascii="Times New Roman" w:hAnsi="Times New Roman" w:eastAsia="仿宋_GB2312"/>
          <w:color w:val="000000"/>
          <w:sz w:val="32"/>
        </w:rPr>
        <w:t>铜都流体、天海流体</w:t>
      </w:r>
      <w:r>
        <w:rPr>
          <w:rFonts w:hint="eastAsia" w:ascii="Times New Roman" w:hAnsi="Times New Roman" w:eastAsia="仿宋_GB2312"/>
          <w:color w:val="000000"/>
          <w:sz w:val="32"/>
        </w:rPr>
        <w:t>、赛福电子</w:t>
      </w:r>
      <w:r>
        <w:rPr>
          <w:rFonts w:ascii="Times New Roman" w:hAnsi="Times New Roman" w:eastAsia="仿宋_GB2312"/>
          <w:color w:val="000000"/>
          <w:sz w:val="32"/>
        </w:rPr>
        <w:t>等。“十四五”时期，要盘活闲置土地资源，谋划将周边约6平方公里土地纳入园区范围，加快推进产城融合，缓解发展空间不足问题。</w:t>
      </w:r>
    </w:p>
    <w:p>
      <w:pPr>
        <w:overflowPunct w:val="0"/>
        <w:autoSpaceDE w:val="0"/>
        <w:spacing w:line="600" w:lineRule="exact"/>
        <w:ind w:firstLine="643" w:firstLineChars="200"/>
        <w:rPr>
          <w:rFonts w:ascii="Times New Roman" w:hAnsi="Times New Roman" w:eastAsia="仿宋_GB2312"/>
          <w:color w:val="000000"/>
          <w:sz w:val="32"/>
          <w:highlight w:val="yellow"/>
        </w:rPr>
      </w:pPr>
      <w:r>
        <w:rPr>
          <w:rFonts w:ascii="Times New Roman" w:hAnsi="Times New Roman" w:eastAsia="楷体_GB2312"/>
          <w:b/>
          <w:color w:val="000000"/>
          <w:sz w:val="32"/>
        </w:rPr>
        <w:t>——都市工业园。</w:t>
      </w:r>
      <w:r>
        <w:rPr>
          <w:rFonts w:hint="eastAsia" w:ascii="Times New Roman" w:hAnsi="Times New Roman" w:eastAsia="仿宋_GB2312"/>
          <w:color w:val="000000"/>
          <w:sz w:val="32"/>
        </w:rPr>
        <w:t>主要包括石城路工业区和尚未开发利用的二冶片区。石城路工业区</w:t>
      </w:r>
      <w:r>
        <w:rPr>
          <w:rFonts w:ascii="Times New Roman" w:hAnsi="Times New Roman" w:eastAsia="仿宋_GB2312"/>
          <w:color w:val="000000"/>
          <w:sz w:val="32"/>
        </w:rPr>
        <w:t>现状以蓝盾光电子、三佳集团及其子公司、蓝盾丰山等重点企业为主体，主导产业为电子信息产业</w:t>
      </w:r>
      <w:r>
        <w:rPr>
          <w:rFonts w:hint="eastAsia" w:ascii="Times New Roman" w:hAnsi="Times New Roman" w:eastAsia="仿宋_GB2312"/>
          <w:color w:val="000000"/>
          <w:sz w:val="32"/>
        </w:rPr>
        <w:t>，</w:t>
      </w:r>
      <w:r>
        <w:rPr>
          <w:rFonts w:ascii="Times New Roman" w:hAnsi="Times New Roman" w:eastAsia="仿宋_GB2312"/>
          <w:color w:val="000000"/>
          <w:sz w:val="32"/>
        </w:rPr>
        <w:t>“十四五”期间，要有序推进园区外企业“退城入园”，加快园区外工业用地“退二进三”。</w:t>
      </w:r>
      <w:r>
        <w:rPr>
          <w:rFonts w:hint="eastAsia" w:ascii="Times New Roman" w:hAnsi="Times New Roman" w:eastAsia="仿宋_GB2312"/>
          <w:color w:val="000000"/>
          <w:sz w:val="32"/>
        </w:rPr>
        <w:t>二冶片区围绕与铜陵有色集团公司签订战略合作协议，积极推进发展规划编制工作，将该片区打造成为一区多园的重要载体。</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——横港绿色化工产业园。</w:t>
      </w:r>
      <w:r>
        <w:rPr>
          <w:rFonts w:ascii="Times New Roman" w:hAnsi="Times New Roman" w:eastAsia="仿宋_GB2312"/>
          <w:color w:val="000000"/>
          <w:sz w:val="32"/>
        </w:rPr>
        <w:t>滨江园区地处长江南岸，面积为4.77平方公里，四至范围为：西至滨江大道、东至金岭道南段、南沿铜官大道东侧到桂家湖、北至金山路。主导产业为精细化工，代表性企业有六国化工、安纳达、瑞莱科技等。“十四五”期间，</w:t>
      </w:r>
      <w:r>
        <w:rPr>
          <w:rFonts w:ascii="Times New Roman" w:hAnsi="Times New Roman" w:eastAsia="仿宋_GB2312"/>
          <w:color w:val="000000"/>
          <w:sz w:val="32"/>
          <w:szCs w:val="32"/>
        </w:rPr>
        <w:t>积极支持园区完善化工园区运行工作机制，</w:t>
      </w:r>
      <w:r>
        <w:rPr>
          <w:rFonts w:ascii="Times New Roman" w:hAnsi="Times New Roman" w:eastAsia="仿宋_GB2312"/>
          <w:sz w:val="32"/>
          <w:szCs w:val="32"/>
        </w:rPr>
        <w:t>严格安全、环保、能耗等指标的刚性约束，引导园区企业调整产业结构，提升产品档次，着力招引一批安全环保系数高、亩均产值税收高的优质高效精细化工和化工新材料项目</w:t>
      </w:r>
      <w:r>
        <w:rPr>
          <w:rFonts w:ascii="Times New Roman" w:hAnsi="Times New Roman" w:eastAsia="仿宋_GB2312"/>
          <w:color w:val="000000"/>
          <w:sz w:val="32"/>
        </w:rPr>
        <w:t>。</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——铜官数谷。</w:t>
      </w:r>
      <w:r>
        <w:rPr>
          <w:rFonts w:ascii="Times New Roman" w:hAnsi="Times New Roman" w:eastAsia="仿宋_GB2312"/>
          <w:color w:val="000000"/>
          <w:sz w:val="32"/>
        </w:rPr>
        <w:t>铜官数谷位于中心城区西北区，面积为2.7平方公里。主导产业为数字经济产业，代表性企业有彦祖文化、科大讯飞、网新科技、中科汇联等。“十四五”期间，要加快集聚生产性服务业，重点打造“四新经济”主阵地和产业研发中心。</w:t>
      </w:r>
    </w:p>
    <w:p>
      <w:pPr>
        <w:overflowPunct w:val="0"/>
        <w:autoSpaceDE w:val="0"/>
        <w:spacing w:line="630" w:lineRule="exact"/>
        <w:ind w:firstLine="420" w:firstLineChars="200"/>
      </w:pPr>
    </w:p>
    <w:tbl>
      <w:tblPr>
        <w:tblStyle w:val="30"/>
        <w:tblpPr w:leftFromText="180" w:rightFromText="180" w:vertAnchor="text" w:horzAnchor="margin" w:tblpY="216"/>
        <w:tblW w:w="9195" w:type="dxa"/>
        <w:tblInd w:w="0" w:type="dxa"/>
        <w:tblLayout w:type="fixed"/>
        <w:tblCellMar>
          <w:top w:w="15" w:type="dxa"/>
          <w:left w:w="15" w:type="dxa"/>
          <w:bottom w:w="15" w:type="dxa"/>
          <w:right w:w="15" w:type="dxa"/>
        </w:tblCellMar>
      </w:tblPr>
      <w:tblGrid>
        <w:gridCol w:w="9195"/>
      </w:tblGrid>
      <w:tr>
        <w:tblPrEx>
          <w:tblCellMar>
            <w:top w:w="15" w:type="dxa"/>
            <w:left w:w="15" w:type="dxa"/>
            <w:bottom w:w="15" w:type="dxa"/>
            <w:right w:w="15" w:type="dxa"/>
          </w:tblCellMar>
        </w:tblPrEx>
        <w:trPr>
          <w:trHeight w:val="570" w:hRule="atLeast"/>
        </w:trPr>
        <w:tc>
          <w:tcPr>
            <w:tcW w:w="9195" w:type="dxa"/>
            <w:tcBorders>
              <w:top w:val="single" w:color="auto" w:sz="4" w:space="0"/>
              <w:left w:val="single" w:color="auto" w:sz="4" w:space="0"/>
              <w:bottom w:val="single" w:color="auto" w:sz="4" w:space="0"/>
              <w:right w:val="single" w:color="auto" w:sz="4" w:space="0"/>
            </w:tcBorders>
            <w:noWrap/>
            <w:vAlign w:val="center"/>
          </w:tcPr>
          <w:p>
            <w:pPr>
              <w:pStyle w:val="42"/>
              <w:widowControl w:val="0"/>
              <w:overflowPunct w:val="0"/>
              <w:autoSpaceDE w:val="0"/>
              <w:snapToGrid w:val="0"/>
              <w:spacing w:beforeLines="50" w:beforeAutospacing="0" w:afterLines="50" w:afterAutospacing="0" w:line="240" w:lineRule="auto"/>
              <w:jc w:val="center"/>
              <w:rPr>
                <w:rFonts w:ascii="Times New Roman" w:hAnsi="Times New Roman" w:eastAsia="Heiti SC Medium"/>
                <w:bCs/>
                <w:color w:val="000000"/>
                <w:kern w:val="2"/>
                <w:sz w:val="24"/>
                <w:szCs w:val="24"/>
              </w:rPr>
            </w:pPr>
            <w:bookmarkStart w:id="59" w:name="_Toc10616"/>
            <w:r>
              <w:rPr>
                <w:rFonts w:ascii="Times New Roman" w:hAnsi="Times New Roman" w:eastAsia="黑体"/>
                <w:bCs/>
                <w:color w:val="000000"/>
                <w:kern w:val="2"/>
                <w:sz w:val="32"/>
                <w:szCs w:val="32"/>
              </w:rPr>
              <w:t>专栏1：产业园区基础设施重点项目</w:t>
            </w:r>
          </w:p>
        </w:tc>
      </w:tr>
      <w:tr>
        <w:tblPrEx>
          <w:tblCellMar>
            <w:top w:w="15" w:type="dxa"/>
            <w:left w:w="15" w:type="dxa"/>
            <w:bottom w:w="15" w:type="dxa"/>
            <w:right w:w="15" w:type="dxa"/>
          </w:tblCellMar>
        </w:tblPrEx>
        <w:trPr>
          <w:trHeight w:val="35" w:hRule="atLeast"/>
        </w:trPr>
        <w:tc>
          <w:tcPr>
            <w:tcW w:w="9195"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adjustRightInd w:val="0"/>
              <w:snapToGrid w:val="0"/>
              <w:spacing w:line="500" w:lineRule="exact"/>
              <w:ind w:firstLine="562" w:firstLineChars="200"/>
              <w:rPr>
                <w:rFonts w:ascii="Times New Roman" w:hAnsi="Times New Roman" w:eastAsia="仿宋_GB2312"/>
                <w:color w:val="000000"/>
                <w:sz w:val="28"/>
                <w:szCs w:val="28"/>
              </w:rPr>
            </w:pPr>
            <w:r>
              <w:rPr>
                <w:rFonts w:ascii="Times New Roman" w:hAnsi="Times New Roman" w:eastAsia="仿宋_GB2312"/>
                <w:b/>
                <w:bCs/>
                <w:color w:val="000000"/>
                <w:sz w:val="28"/>
                <w:szCs w:val="28"/>
              </w:rPr>
              <w:t>核心区：</w:t>
            </w:r>
            <w:r>
              <w:rPr>
                <w:rFonts w:ascii="Times New Roman" w:hAnsi="Times New Roman" w:eastAsia="仿宋_GB2312"/>
                <w:color w:val="000000"/>
                <w:sz w:val="28"/>
                <w:szCs w:val="28"/>
              </w:rPr>
              <w:t>地下综合管廊项目、日处理3000吨污水处理厂项目、绿化和亮化工程项目、道路交通工程项目、科技创业园、高端装备产业园项目、高新区扩园工程项目。</w:t>
            </w:r>
          </w:p>
          <w:p>
            <w:pPr>
              <w:overflowPunct w:val="0"/>
              <w:autoSpaceDE w:val="0"/>
              <w:adjustRightInd w:val="0"/>
              <w:snapToGrid w:val="0"/>
              <w:spacing w:line="500" w:lineRule="exact"/>
              <w:ind w:firstLine="562" w:firstLineChars="200"/>
              <w:rPr>
                <w:rFonts w:ascii="Times New Roman" w:hAnsi="Times New Roman" w:eastAsia="仿宋_GB2312"/>
                <w:color w:val="000000"/>
                <w:sz w:val="28"/>
                <w:szCs w:val="28"/>
              </w:rPr>
            </w:pPr>
            <w:r>
              <w:rPr>
                <w:rFonts w:ascii="Times New Roman" w:hAnsi="Times New Roman" w:eastAsia="仿宋_GB2312"/>
                <w:b/>
                <w:bCs/>
                <w:color w:val="000000"/>
                <w:sz w:val="28"/>
                <w:szCs w:val="28"/>
              </w:rPr>
              <w:t>高端制造孵化器基地：</w:t>
            </w:r>
            <w:r>
              <w:rPr>
                <w:rFonts w:ascii="Times New Roman" w:hAnsi="Times New Roman" w:eastAsia="仿宋_GB2312"/>
                <w:color w:val="000000"/>
                <w:sz w:val="28"/>
                <w:szCs w:val="28"/>
              </w:rPr>
              <w:t>智能电器生产基地、高端制造孵化器、高端制造产业基地、电子信息产业园项目、数码印花设备与耗材基地、集成电路封测关键装备与工业智能装备研发及产业化项目、年产300台套工业全自动打包系统生产线及耗材项目。</w:t>
            </w:r>
          </w:p>
          <w:p>
            <w:pPr>
              <w:overflowPunct w:val="0"/>
              <w:autoSpaceDE w:val="0"/>
              <w:adjustRightInd w:val="0"/>
              <w:snapToGrid w:val="0"/>
              <w:spacing w:line="500" w:lineRule="exact"/>
              <w:ind w:firstLine="562" w:firstLineChars="200"/>
              <w:rPr>
                <w:rFonts w:ascii="Times New Roman" w:hAnsi="Times New Roman" w:eastAsia="仿宋_GB2312"/>
                <w:color w:val="000000"/>
                <w:sz w:val="28"/>
                <w:szCs w:val="28"/>
              </w:rPr>
            </w:pPr>
            <w:r>
              <w:rPr>
                <w:rFonts w:ascii="Times New Roman" w:hAnsi="Times New Roman" w:eastAsia="仿宋_GB2312"/>
                <w:b/>
                <w:bCs/>
                <w:color w:val="000000"/>
                <w:sz w:val="28"/>
                <w:szCs w:val="28"/>
              </w:rPr>
              <w:t>横港绿色化工园区：</w:t>
            </w:r>
            <w:r>
              <w:rPr>
                <w:rFonts w:ascii="Times New Roman" w:hAnsi="Times New Roman" w:eastAsia="仿宋_GB2312"/>
                <w:color w:val="000000"/>
                <w:sz w:val="28"/>
                <w:szCs w:val="28"/>
              </w:rPr>
              <w:t>年产10万吨碳酸二甲酯项目、40万吨/年磷酸装置节能减排改造项目、磷石膏生态环境影响综合整治及绿色发展、5万吨磷酸铁提升项目颜料工业绿色化、高值化升级改造工程、</w:t>
            </w:r>
          </w:p>
          <w:p>
            <w:pPr>
              <w:overflowPunct w:val="0"/>
              <w:autoSpaceDE w:val="0"/>
              <w:adjustRightInd w:val="0"/>
              <w:snapToGrid w:val="0"/>
              <w:spacing w:line="560" w:lineRule="exact"/>
              <w:ind w:firstLine="562" w:firstLineChars="200"/>
              <w:rPr>
                <w:rFonts w:ascii="Times New Roman" w:hAnsi="Times New Roman" w:eastAsia="华文宋体"/>
                <w:color w:val="000000"/>
              </w:rPr>
            </w:pPr>
            <w:r>
              <w:rPr>
                <w:rFonts w:ascii="Times New Roman" w:hAnsi="Times New Roman" w:eastAsia="仿宋_GB2312"/>
                <w:b/>
                <w:bCs/>
                <w:color w:val="000000"/>
                <w:sz w:val="28"/>
                <w:szCs w:val="28"/>
              </w:rPr>
              <w:t>铜官数谷：</w:t>
            </w:r>
            <w:r>
              <w:rPr>
                <w:rFonts w:ascii="Times New Roman" w:hAnsi="Times New Roman" w:eastAsia="仿宋_GB2312"/>
                <w:color w:val="000000"/>
                <w:sz w:val="28"/>
                <w:szCs w:val="28"/>
              </w:rPr>
              <w:t>科技孵化器项目。</w:t>
            </w:r>
          </w:p>
        </w:tc>
      </w:tr>
      <w:bookmarkEnd w:id="59"/>
    </w:tbl>
    <w:p>
      <w:pPr>
        <w:pStyle w:val="4"/>
        <w:keepNext w:val="0"/>
        <w:keepLines w:val="0"/>
        <w:overflowPunct w:val="0"/>
        <w:autoSpaceDE w:val="0"/>
        <w:spacing w:line="600" w:lineRule="exact"/>
        <w:jc w:val="center"/>
        <w:rPr>
          <w:rFonts w:ascii="Times New Roman" w:hAnsi="Times New Roman"/>
          <w:b w:val="0"/>
          <w:bCs/>
          <w:color w:val="000000"/>
        </w:rPr>
      </w:pPr>
      <w:bookmarkStart w:id="60" w:name="_Toc90645416"/>
      <w:bookmarkStart w:id="61" w:name="_Toc321290224"/>
      <w:r>
        <w:rPr>
          <w:rFonts w:ascii="Times New Roman" w:hAnsi="Times New Roman"/>
          <w:b w:val="0"/>
          <w:bCs/>
          <w:color w:val="000000"/>
        </w:rPr>
        <w:t>第二节 引导生产空间集约高效</w:t>
      </w:r>
      <w:bookmarkEnd w:id="60"/>
      <w:bookmarkEnd w:id="61"/>
    </w:p>
    <w:p>
      <w:pPr>
        <w:overflowPunct w:val="0"/>
        <w:autoSpaceDE w:val="0"/>
        <w:spacing w:line="600" w:lineRule="exact"/>
        <w:ind w:firstLine="640"/>
        <w:rPr>
          <w:rFonts w:ascii="Times New Roman" w:hAnsi="Times New Roman" w:eastAsia="仿宋_GB2312"/>
          <w:color w:val="000000"/>
          <w:sz w:val="32"/>
        </w:rPr>
      </w:pPr>
      <w:r>
        <w:rPr>
          <w:rFonts w:ascii="Times New Roman" w:hAnsi="Times New Roman" w:eastAsia="仿宋_GB2312"/>
          <w:color w:val="000000"/>
          <w:sz w:val="32"/>
        </w:rPr>
        <w:t>加强项目规划和选址引导，合理、集约、高效利用土地资源。加强用地结构控制，立足开发区功能定位，增加工业及生产性服务业用地比例，集中建设企业非生产性配套设施，提高基础设施共享程度和利用效率。充分利用地上地下空间，鼓励企业优化设计，提高厂房建设标准，建设多层车间、入地下沉式厂房。根据产业发展需要建设多层标准厂房、科技企业孵化器。推进工业用地挖潜增效，通过厂房加层、利用地下空间、翻建等途径实施“零增地”技术改造。</w:t>
      </w:r>
    </w:p>
    <w:p>
      <w:pPr>
        <w:pStyle w:val="4"/>
        <w:keepNext w:val="0"/>
        <w:keepLines w:val="0"/>
        <w:overflowPunct w:val="0"/>
        <w:autoSpaceDE w:val="0"/>
        <w:spacing w:line="600" w:lineRule="exact"/>
        <w:jc w:val="center"/>
        <w:rPr>
          <w:rFonts w:ascii="Times New Roman" w:hAnsi="Times New Roman"/>
          <w:b w:val="0"/>
          <w:bCs/>
          <w:color w:val="000000"/>
        </w:rPr>
      </w:pPr>
      <w:bookmarkStart w:id="62" w:name="_Toc321290225"/>
      <w:bookmarkStart w:id="63" w:name="_Toc90645417"/>
      <w:r>
        <w:rPr>
          <w:rFonts w:ascii="Times New Roman" w:hAnsi="Times New Roman"/>
          <w:b w:val="0"/>
          <w:bCs/>
          <w:color w:val="000000"/>
        </w:rPr>
        <w:t>第三节 促进生活空间宜居适度</w:t>
      </w:r>
      <w:bookmarkEnd w:id="62"/>
      <w:bookmarkEnd w:id="63"/>
    </w:p>
    <w:p>
      <w:pPr>
        <w:overflowPunct w:val="0"/>
        <w:autoSpaceDE w:val="0"/>
        <w:spacing w:line="600" w:lineRule="exact"/>
        <w:ind w:firstLine="640"/>
        <w:rPr>
          <w:rFonts w:ascii="Times New Roman" w:hAnsi="Times New Roman" w:eastAsia="仿宋_GB2312"/>
          <w:color w:val="000000"/>
          <w:sz w:val="32"/>
        </w:rPr>
      </w:pPr>
      <w:r>
        <w:rPr>
          <w:rFonts w:ascii="Times New Roman" w:hAnsi="Times New Roman" w:eastAsia="仿宋_GB2312"/>
          <w:color w:val="000000"/>
          <w:sz w:val="32"/>
        </w:rPr>
        <w:t>促进产城融合发展，合理配置商业、居住用地，规划建设人口集聚区和综合服务区，协调布局工业、交通、商贸、居住、景观等各项城市功能，营造良好的综合环境。适度超前投入，加强园区新型基础设施建设，保障生产和生活需要。加大会展经济、楼宇经济、流量经济和城市休闲经济培育发展力度，加强生产生活服务设施建设，引进知名商业品牌，以及金融、会计、律师、中介咨询等专业机构，加快将开发园区建设成为新的金融商务、现代休闲和商业文化中心。</w:t>
      </w:r>
    </w:p>
    <w:p>
      <w:pPr>
        <w:pStyle w:val="4"/>
        <w:keepNext w:val="0"/>
        <w:keepLines w:val="0"/>
        <w:overflowPunct w:val="0"/>
        <w:autoSpaceDE w:val="0"/>
        <w:spacing w:line="600" w:lineRule="exact"/>
        <w:jc w:val="center"/>
        <w:rPr>
          <w:rFonts w:ascii="Times New Roman" w:hAnsi="Times New Roman"/>
          <w:b w:val="0"/>
          <w:bCs/>
          <w:color w:val="000000"/>
        </w:rPr>
      </w:pPr>
      <w:bookmarkStart w:id="64" w:name="_Toc321290226"/>
      <w:bookmarkStart w:id="65" w:name="_Toc90645418"/>
      <w:r>
        <w:rPr>
          <w:rFonts w:ascii="Times New Roman" w:hAnsi="Times New Roman"/>
          <w:b w:val="0"/>
          <w:bCs/>
          <w:color w:val="000000"/>
        </w:rPr>
        <w:t>第四节 实现生态空间山清水秀</w:t>
      </w:r>
      <w:bookmarkEnd w:id="64"/>
      <w:bookmarkEnd w:id="65"/>
    </w:p>
    <w:p>
      <w:pPr>
        <w:overflowPunct w:val="0"/>
        <w:autoSpaceDE w:val="0"/>
        <w:spacing w:line="600" w:lineRule="exact"/>
        <w:ind w:firstLine="640"/>
        <w:rPr>
          <w:rFonts w:ascii="Times New Roman" w:hAnsi="Times New Roman" w:eastAsia="仿宋"/>
          <w:color w:val="000000"/>
          <w:sz w:val="32"/>
        </w:rPr>
        <w:sectPr>
          <w:headerReference r:id="rId5" w:type="first"/>
          <w:footerReference r:id="rId8" w:type="first"/>
          <w:headerReference r:id="rId3" w:type="default"/>
          <w:footerReference r:id="rId6" w:type="default"/>
          <w:headerReference r:id="rId4" w:type="even"/>
          <w:footerReference r:id="rId7" w:type="even"/>
          <w:pgSz w:w="11905" w:h="16838"/>
          <w:pgMar w:top="1701" w:right="1531" w:bottom="1701" w:left="1531" w:header="851" w:footer="1247" w:gutter="0"/>
          <w:pgNumType w:fmt="numberInDash"/>
          <w:cols w:space="0" w:num="1"/>
          <w:docGrid w:type="lines" w:linePitch="315" w:charSpace="0"/>
        </w:sectPr>
      </w:pPr>
      <w:r>
        <w:rPr>
          <w:rFonts w:ascii="Times New Roman" w:hAnsi="Times New Roman" w:eastAsia="仿宋_GB2312"/>
          <w:color w:val="000000"/>
          <w:sz w:val="32"/>
        </w:rPr>
        <w:t>以创建国家生态工业示范园区为抓手，按照开发区整体用地结构中交通设施用地和绿地比例不得高于15%要求，严禁规划建设脱离实际的宽马路、大广场、绿化带，加快打造资源节约型、环境友好型的生态示范园区。合理规划开发园区拓展区，依托自然地形地貌，拓展生态休闲旅游功能。</w:t>
      </w:r>
    </w:p>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sz w:val="44"/>
          <w:szCs w:val="44"/>
        </w:rPr>
      </w:pPr>
      <w:bookmarkStart w:id="66" w:name="_Toc2137"/>
      <w:bookmarkStart w:id="67" w:name="_Toc90645419"/>
      <w:r>
        <w:rPr>
          <w:rFonts w:hint="eastAsia" w:ascii="Times New Roman" w:hAnsi="Times New Roman" w:eastAsia="方正小标宋简体" w:cs="Times New Roman"/>
          <w:color w:val="000000"/>
          <w:sz w:val="44"/>
          <w:szCs w:val="44"/>
        </w:rPr>
        <w:t xml:space="preserve">第五章 </w:t>
      </w:r>
      <w:bookmarkEnd w:id="66"/>
      <w:r>
        <w:rPr>
          <w:rFonts w:hint="eastAsia" w:ascii="Times New Roman" w:hAnsi="Times New Roman" w:eastAsia="方正小标宋简体" w:cs="Times New Roman"/>
          <w:color w:val="000000"/>
          <w:sz w:val="44"/>
          <w:szCs w:val="44"/>
        </w:rPr>
        <w:t xml:space="preserve"> 壮大主导产业，推动产业集群发展</w:t>
      </w:r>
      <w:bookmarkEnd w:id="67"/>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推动工业经济发展质量变革、效率变革、动力变革，提高全要素生产率，加快推动产业基础高级化、产业链现代化，着力建设实体经济、科技创新、现代金融、人力资源协同发展的产业支撑体系。紧紧围绕高端制造、智能制造、绿色制造、精品制造、服务型制造“五大制造”方向，大力推动企业技术改造，推进传统产业转型升级。优化主导产业结构，延伸产业链</w:t>
      </w:r>
      <w:r>
        <w:rPr>
          <w:rFonts w:hint="eastAsia" w:ascii="Times New Roman" w:hAnsi="Times New Roman" w:eastAsia="仿宋_GB2312"/>
          <w:color w:val="000000"/>
          <w:sz w:val="32"/>
        </w:rPr>
        <w:t>条</w:t>
      </w:r>
      <w:r>
        <w:rPr>
          <w:rFonts w:ascii="Times New Roman" w:hAnsi="Times New Roman" w:eastAsia="仿宋_GB2312"/>
          <w:color w:val="000000"/>
          <w:sz w:val="32"/>
        </w:rPr>
        <w:t>，</w:t>
      </w:r>
      <w:r>
        <w:rPr>
          <w:rFonts w:hint="eastAsia" w:ascii="Times New Roman" w:hAnsi="Times New Roman" w:eastAsia="仿宋_GB2312"/>
          <w:color w:val="000000"/>
          <w:sz w:val="32"/>
        </w:rPr>
        <w:t>推动铜基新材料</w:t>
      </w:r>
      <w:r>
        <w:rPr>
          <w:rFonts w:ascii="Times New Roman" w:hAnsi="Times New Roman" w:eastAsia="仿宋_GB2312"/>
          <w:color w:val="000000"/>
          <w:sz w:val="32"/>
        </w:rPr>
        <w:t>、</w:t>
      </w:r>
      <w:r>
        <w:rPr>
          <w:rFonts w:hint="eastAsia" w:ascii="Times New Roman" w:hAnsi="Times New Roman" w:eastAsia="仿宋_GB2312"/>
          <w:color w:val="000000"/>
          <w:sz w:val="32"/>
        </w:rPr>
        <w:t>高端</w:t>
      </w:r>
      <w:r>
        <w:rPr>
          <w:rFonts w:ascii="Times New Roman" w:hAnsi="Times New Roman" w:eastAsia="仿宋_GB2312"/>
          <w:color w:val="000000"/>
          <w:sz w:val="32"/>
        </w:rPr>
        <w:t>装备制造、</w:t>
      </w:r>
      <w:r>
        <w:rPr>
          <w:rFonts w:hint="eastAsia" w:ascii="Times New Roman" w:hAnsi="Times New Roman" w:eastAsia="仿宋_GB2312"/>
          <w:color w:val="000000"/>
          <w:sz w:val="32"/>
        </w:rPr>
        <w:t>新一代</w:t>
      </w:r>
      <w:r>
        <w:rPr>
          <w:rFonts w:ascii="Times New Roman" w:hAnsi="Times New Roman" w:eastAsia="仿宋_GB2312"/>
          <w:color w:val="000000"/>
          <w:sz w:val="32"/>
        </w:rPr>
        <w:t>电子信息、</w:t>
      </w:r>
      <w:r>
        <w:rPr>
          <w:rFonts w:hint="eastAsia" w:ascii="Times New Roman" w:hAnsi="Times New Roman" w:eastAsia="仿宋_GB2312"/>
          <w:color w:val="000000"/>
          <w:sz w:val="32"/>
        </w:rPr>
        <w:t>化工新材料、医卫大健康产业</w:t>
      </w:r>
      <w:r>
        <w:rPr>
          <w:rFonts w:ascii="Times New Roman" w:hAnsi="Times New Roman" w:eastAsia="仿宋_GB2312"/>
          <w:color w:val="000000"/>
          <w:sz w:val="32"/>
        </w:rPr>
        <w:t>提档升级，实现工业高质量发展。</w:t>
      </w:r>
    </w:p>
    <w:p>
      <w:pPr>
        <w:pStyle w:val="4"/>
        <w:keepNext w:val="0"/>
        <w:keepLines w:val="0"/>
        <w:numPr>
          <w:ilvl w:val="0"/>
          <w:numId w:val="1"/>
        </w:numPr>
        <w:overflowPunct w:val="0"/>
        <w:autoSpaceDE w:val="0"/>
        <w:spacing w:line="600" w:lineRule="exact"/>
        <w:jc w:val="center"/>
        <w:rPr>
          <w:rFonts w:ascii="Times New Roman" w:hAnsi="Times New Roman"/>
          <w:b w:val="0"/>
          <w:bCs/>
          <w:color w:val="000000"/>
        </w:rPr>
      </w:pPr>
      <w:bookmarkStart w:id="68" w:name="_Toc90645420"/>
      <w:bookmarkStart w:id="69" w:name="_Toc28910"/>
      <w:r>
        <w:rPr>
          <w:rFonts w:hint="eastAsia" w:ascii="Times New Roman" w:hAnsi="Times New Roman"/>
          <w:b w:val="0"/>
          <w:bCs/>
          <w:color w:val="000000"/>
        </w:rPr>
        <w:t>铜基新材料</w:t>
      </w:r>
      <w:r>
        <w:rPr>
          <w:rFonts w:ascii="Times New Roman" w:hAnsi="Times New Roman"/>
          <w:b w:val="0"/>
          <w:bCs/>
          <w:color w:val="000000"/>
        </w:rPr>
        <w:t>产业</w:t>
      </w:r>
      <w:bookmarkEnd w:id="68"/>
      <w:bookmarkEnd w:id="69"/>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“十四五”期间，立足现有产业和技术、人才基础，加强龙头企业培育、项目协调、创新驱动和招商引资等工作力度，</w:t>
      </w:r>
      <w:r>
        <w:rPr>
          <w:rFonts w:ascii="Times New Roman" w:hAnsi="Times New Roman" w:eastAsia="仿宋_GB2312"/>
          <w:color w:val="000000"/>
          <w:sz w:val="32"/>
          <w:lang w:val="zh-CN"/>
        </w:rPr>
        <w:t>保持</w:t>
      </w:r>
      <w:r>
        <w:rPr>
          <w:rFonts w:ascii="Times New Roman" w:hAnsi="Times New Roman" w:eastAsia="仿宋_GB2312"/>
          <w:color w:val="000000"/>
          <w:sz w:val="32"/>
        </w:rPr>
        <w:t>铜产业在国内的领先地位，加强与江西鹰潭铜、云南东川、湖北大冶和黄石等国内主要铜产业基地的合作与交流，努力促进五大基地在产业链共建、产业上互补、产品上互通的格局，避免低端同质化竞争，形成高端相互促进的合作关系。同时加强铜产业平台的合作与共享，发挥“5G+工业互联网”的效能，做好全行业的分工与协作。聚焦铜管、铜粉、铜合金、铜板带箔材等涉铜产业，继续巩固铜工艺品加工领先地位，着力发展各种铜精密配件、零件生产，构建铜精深加工、铜贸易、铜文化为一体的铜加工产业板块，力争2025年实现产值500亿元。</w:t>
      </w:r>
    </w:p>
    <w:p>
      <w:pPr>
        <w:overflowPunct w:val="0"/>
        <w:autoSpaceDE w:val="0"/>
        <w:spacing w:line="58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铜加工产品。</w:t>
      </w:r>
      <w:r>
        <w:rPr>
          <w:rFonts w:ascii="Times New Roman" w:hAnsi="Times New Roman" w:eastAsia="仿宋_GB2312"/>
          <w:color w:val="000000"/>
          <w:sz w:val="32"/>
        </w:rPr>
        <w:t>完善上下游产品配套，着力发展铜杆（线、缆）、铜板带、铜棒、铜管、铜粉、铜艺术品等铜精深加工产业链，对接轨道交通、电力设备、航天航空等装备产业形成铜零部件的生产集散地，积极发展循环经济，加快铜拆解等配套产业，不断拉伸产业链条，多措并举推进铜产业做大做强。继续深入推进省铜基新材料产业集聚发展基地建设，不断扩大铜产业规模，努力培育行业隐形冠军。“十四五”期间，依托金隆铜业、海亮铜业等龙头企业，重点聚焦铜管、铜粉、铜合金、铜板带箔材等涉铜产业，夯实铜加工基础件的产业基础，做精加工工艺，稳定产品性能，为后续铜精密件的生产打好基础。构建铜精深加工、铜贸易、铜文化为一体的铜加工产业板块，由传统的以铜杆铜线、紫铜管、铜箔、电磁线、铜板带铜产品为主逐步转向以高精度内螺纹铜管材、铜合金、铜粉、高档超薄型铜箔生产线为代表的高端铜深加工产品为主。</w:t>
      </w:r>
    </w:p>
    <w:p>
      <w:pPr>
        <w:overflowPunct w:val="0"/>
        <w:autoSpaceDE w:val="0"/>
        <w:spacing w:line="58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铜工艺品。</w:t>
      </w:r>
      <w:r>
        <w:rPr>
          <w:rFonts w:ascii="Times New Roman" w:hAnsi="Times New Roman" w:eastAsia="仿宋_GB2312"/>
          <w:color w:val="000000"/>
          <w:sz w:val="32"/>
        </w:rPr>
        <w:t>通过发展铜文化产业，促进铜产业与文化创意产业的融合，大力提升铜工艺品设计，发挥铜官区在铜工艺品制造方面的领先优势、贸易方面的集散功能，发展铜产品会展、铜工业旅游和产业体验业务，提升铜都形象和文化内涵，传播“铜文化”，打造“铜名片”。克服铜陵市在吸引设计人才方面的先决劣势，以铜官府铜工业产业园建设为契机，通过与各类设计研究院开展长期合作以及在一、二线城市设置“设计飞地”等模式，积极引进国内外领先的铜艺术品设计团队和企业，加强对工艺设计人员的培训，促进铜工艺品产业链向设计前端发展。了解最新的铜加工工艺发展现状，提升铜工艺品加工工艺，依托三铜包装，积极发展雕梁画栋、各式铜家俱工艺、传统和现代的景泰蓝制作工艺、铜浮雕工艺、铜失蜡法精铸工艺、铜錾刻工艺、斑铜工艺，手工雕刻工艺、超薄滚铸工艺以及西方的青铜雕塑工艺和美国的彩铜工艺等。依托“一带一路”建设，做好铜工艺品市场对内循环的同时，积极发展对外循环，增加出口份额，培育壮大自主品牌，提升企业核心竞争力。</w:t>
      </w:r>
    </w:p>
    <w:p>
      <w:pPr>
        <w:overflowPunct w:val="0"/>
        <w:autoSpaceDE w:val="0"/>
        <w:spacing w:line="58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精密铜件。</w:t>
      </w:r>
      <w:r>
        <w:rPr>
          <w:rFonts w:ascii="Times New Roman" w:hAnsi="Times New Roman" w:eastAsia="仿宋_GB2312"/>
          <w:color w:val="000000"/>
          <w:sz w:val="32"/>
        </w:rPr>
        <w:t>进一步做大做强做优铜制加工件产业，在原有产业基础上，促进产业精深化、高端化发展。依托金隆铜业、海亮铜业等龙头企业，重点发展高效传热式精密内螺纹铜管，大型精密铜铸件，超薄铜箔，各种铜合金粉和高性能铜粉，高性能电磁线，高性能阀门铜配件等。对接铜都流体、富邦电梯等下游企业，发展定制涉铜配件，加强与铜陵PCB产业园的紧密合作，借助新时代5G基础设施和5G产业发展浪潮，加强精密铜配件、铜零件在5G产品尤其是PCB（印制电路板）中的衔接与应用。省内紧盯合肥的家电、新型显示、汽车等产业集群，省外紧盯长三角、珠三角的电子信息产业集群，国际紧盯欧美发达国家需求市场，不断提高精密铜件生产技术和工艺，同时利用上游产品影响力，推动各种铜精密配件的标准化和适配性。提升产品间，甚至产业间铜精密件的替代性，提高铜精密件的生产效率。运用现代市场营销体系，和营销手段，加强电子商务和物流平台建设，打造地区优势品牌，不断壮大铜官区铜加工产业。</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铜集散市场。</w:t>
      </w:r>
      <w:r>
        <w:rPr>
          <w:rFonts w:ascii="Times New Roman" w:hAnsi="Times New Roman" w:eastAsia="仿宋_GB2312"/>
          <w:color w:val="000000"/>
          <w:sz w:val="32"/>
        </w:rPr>
        <w:t>加强与国内主要铜生产基地（五大基地）合作，细化各种铜制产品板块，共同建立成熟、完整、完善的铜产品交易平台，紧盯国内的长三角、珠三角以及国外的欧美主要铜产品需求市场，制定合理的铜定价机制，借鉴国内成熟大宗商品集散市场发展经验，互通线下铜集散市场和线上铜交易平台，打造涵盖铜整个产业链及各种规格的铜产品的交易中心。力争形成千亿集散产业，带动更多铜产业相关产品的本地化生产供应。凭借集散中心的信息优势，利用好期货、期权等金融远期产品和金融衍生产品，维持铜产品在全球范围内的价格稳定，降低价格波动因素对铜贸易市场的影响，保证铜贸易市场稳定发展。</w:t>
      </w:r>
    </w:p>
    <w:p>
      <w:pPr>
        <w:pStyle w:val="10"/>
        <w:overflowPunct w:val="0"/>
        <w:autoSpaceDE w:val="0"/>
        <w:spacing w:after="0"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再生铜产业。</w:t>
      </w:r>
      <w:r>
        <w:rPr>
          <w:rFonts w:ascii="Times New Roman" w:hAnsi="Times New Roman" w:eastAsia="仿宋_GB2312"/>
          <w:color w:val="000000"/>
          <w:sz w:val="32"/>
        </w:rPr>
        <w:t>发挥铜陵市铜产业集聚优势，加强铜官区与义安区在铜拆解领域的深度合作，依托铜集散市场发展，鼓励铜矿产企业对低品位矿、共伴生矿、难选冶矿、尾矿和熔炼渣等资源开发利用，促进铜冶炼企业原料中各种有价元素的回收，冶炼渣综合利用，以及冶炼余热利用，提高废杂铜进入铜加工环节比例，提升铜再生产业附加值。“十四五”期间，以再生铜资源的筛选、分类为先导，根据不同筛选对象分别运用冶炼再生和直接利用两种不用的方法，对再生铜资源进行处理，并在运用冶炼再生法中大力推广湿法冶金工艺，提高再生铜的再利用效率，降低再利用成本。依托铜加工产业基础和铜冶炼技术能力，做大铜拆解（再生铜）产业，逐渐形成再生铜资源筛选分类标准和再加工利用规范，建成国内规模最大的再生铜市场，力争形成百亿级再生铜产业。</w:t>
      </w:r>
    </w:p>
    <w:tbl>
      <w:tblPr>
        <w:tblStyle w:val="30"/>
        <w:tblW w:w="8852" w:type="dxa"/>
        <w:jc w:val="center"/>
        <w:tblLayout w:type="fixed"/>
        <w:tblCellMar>
          <w:top w:w="15" w:type="dxa"/>
          <w:left w:w="15" w:type="dxa"/>
          <w:bottom w:w="15" w:type="dxa"/>
          <w:right w:w="15" w:type="dxa"/>
        </w:tblCellMar>
      </w:tblPr>
      <w:tblGrid>
        <w:gridCol w:w="8852"/>
      </w:tblGrid>
      <w:tr>
        <w:tblPrEx>
          <w:tblCellMar>
            <w:top w:w="15" w:type="dxa"/>
            <w:left w:w="15" w:type="dxa"/>
            <w:bottom w:w="15" w:type="dxa"/>
            <w:right w:w="15" w:type="dxa"/>
          </w:tblCellMar>
        </w:tblPrEx>
        <w:trPr>
          <w:trHeight w:val="570"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pStyle w:val="42"/>
              <w:widowControl w:val="0"/>
              <w:overflowPunct w:val="0"/>
              <w:autoSpaceDE w:val="0"/>
              <w:snapToGrid w:val="0"/>
              <w:spacing w:beforeLines="50" w:beforeAutospacing="0" w:afterLines="50" w:afterAutospacing="0" w:line="240" w:lineRule="auto"/>
              <w:jc w:val="center"/>
              <w:rPr>
                <w:rFonts w:ascii="Times New Roman" w:hAnsi="Times New Roman" w:eastAsia="Heiti SC Medium"/>
                <w:bCs/>
                <w:color w:val="000000"/>
                <w:kern w:val="2"/>
                <w:sz w:val="24"/>
                <w:szCs w:val="24"/>
              </w:rPr>
            </w:pPr>
            <w:r>
              <w:rPr>
                <w:rFonts w:ascii="Times New Roman" w:hAnsi="Times New Roman" w:eastAsia="黑体"/>
                <w:bCs/>
                <w:color w:val="000000"/>
                <w:kern w:val="2"/>
                <w:sz w:val="30"/>
                <w:szCs w:val="30"/>
              </w:rPr>
              <w:t>专栏2：铜</w:t>
            </w:r>
            <w:r>
              <w:rPr>
                <w:rFonts w:hint="eastAsia" w:ascii="Times New Roman" w:hAnsi="Times New Roman" w:eastAsia="黑体"/>
                <w:bCs/>
                <w:color w:val="000000"/>
                <w:kern w:val="2"/>
                <w:sz w:val="30"/>
                <w:szCs w:val="30"/>
              </w:rPr>
              <w:t>基新材料产业</w:t>
            </w:r>
            <w:r>
              <w:rPr>
                <w:rFonts w:ascii="Times New Roman" w:hAnsi="Times New Roman" w:eastAsia="黑体"/>
                <w:bCs/>
                <w:color w:val="000000"/>
                <w:kern w:val="2"/>
                <w:sz w:val="30"/>
                <w:szCs w:val="30"/>
              </w:rPr>
              <w:t>重点项目</w:t>
            </w:r>
          </w:p>
        </w:tc>
      </w:tr>
      <w:tr>
        <w:tblPrEx>
          <w:tblCellMar>
            <w:top w:w="15" w:type="dxa"/>
            <w:left w:w="15" w:type="dxa"/>
            <w:bottom w:w="15" w:type="dxa"/>
            <w:right w:w="15" w:type="dxa"/>
          </w:tblCellMar>
        </w:tblPrEx>
        <w:trPr>
          <w:trHeight w:val="2239"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凯斯威高端铜合金材料（二期）项目：</w:t>
            </w:r>
            <w:r>
              <w:rPr>
                <w:rFonts w:ascii="Times New Roman" w:hAnsi="Times New Roman" w:eastAsia="仿宋_GB2312"/>
                <w:color w:val="000000"/>
                <w:sz w:val="24"/>
              </w:rPr>
              <w:t>总投资1.64亿元，新增年产铜基合金和不锈钢合金生产线，新增产能8000吨高抗蚀船用铜基合金和不锈钢合金材料。</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高新区高端智造造产业基地项目：</w:t>
            </w:r>
            <w:r>
              <w:rPr>
                <w:rFonts w:ascii="Times New Roman" w:hAnsi="Times New Roman" w:eastAsia="仿宋_GB2312"/>
                <w:color w:val="000000"/>
                <w:sz w:val="24"/>
              </w:rPr>
              <w:t>总投资7亿元，占地面积242亩（含三个地块，地块一位于双峰塑业以南、大团山大道以东地块，占地21亩；地块二位于铜井东路以北、铜精山大道以西，占地71亩；地块三位于大团山大道以东、铜井东路以北，占地150亩），拟建设21.8万平方米标准化厂房及相关配套设施，围绕主导产业，打造集生产、加工、服务于一体的流体及大型工程整车智能制造产业基地。</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海亮续建及技改项目</w:t>
            </w:r>
            <w:r>
              <w:rPr>
                <w:rFonts w:hint="eastAsia" w:ascii="Times New Roman" w:hAnsi="Times New Roman" w:eastAsia="仿宋_GB2312"/>
                <w:b/>
                <w:color w:val="000000"/>
                <w:sz w:val="24"/>
              </w:rPr>
              <w:t>：</w:t>
            </w:r>
            <w:r>
              <w:rPr>
                <w:rFonts w:hint="eastAsia" w:ascii="Times New Roman" w:hAnsi="Times New Roman" w:eastAsia="仿宋_GB2312"/>
                <w:color w:val="000000"/>
                <w:sz w:val="24"/>
              </w:rPr>
              <w:t>总投资11亿元，</w:t>
            </w:r>
            <w:r>
              <w:rPr>
                <w:rFonts w:ascii="Times New Roman" w:hAnsi="Times New Roman" w:eastAsia="仿宋_GB2312"/>
                <w:color w:val="000000"/>
                <w:sz w:val="24"/>
              </w:rPr>
              <w:t>计划拆除现有厂房中老化产线设备，新购先进制造产线成套设备，达产后年产能增至1</w:t>
            </w:r>
            <w:r>
              <w:rPr>
                <w:rFonts w:hint="eastAsia" w:ascii="Times New Roman" w:hAnsi="Times New Roman" w:eastAsia="仿宋_GB2312"/>
                <w:color w:val="000000"/>
                <w:sz w:val="24"/>
              </w:rPr>
              <w:t>0</w:t>
            </w:r>
            <w:r>
              <w:rPr>
                <w:rFonts w:ascii="Times New Roman" w:hAnsi="Times New Roman" w:eastAsia="仿宋_GB2312"/>
                <w:color w:val="000000"/>
                <w:sz w:val="24"/>
              </w:rPr>
              <w:t>万吨，年产值将突破百亿大关</w:t>
            </w:r>
            <w:r>
              <w:rPr>
                <w:rFonts w:hint="eastAsia" w:ascii="Times New Roman" w:hAnsi="Times New Roman" w:eastAsia="仿宋_GB2312"/>
                <w:color w:val="000000"/>
                <w:sz w:val="24"/>
              </w:rPr>
              <w:t>。</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hint="eastAsia" w:ascii="Times New Roman" w:hAnsi="Times New Roman" w:eastAsia="仿宋_GB2312"/>
                <w:b/>
                <w:color w:val="000000"/>
                <w:sz w:val="24"/>
              </w:rPr>
              <w:t>电子设备散热模组制造基地项目：</w:t>
            </w:r>
            <w:r>
              <w:rPr>
                <w:rFonts w:hint="eastAsia" w:ascii="Times New Roman" w:hAnsi="Times New Roman" w:eastAsia="仿宋_GB2312"/>
                <w:color w:val="000000"/>
                <w:sz w:val="24"/>
              </w:rPr>
              <w:t>苏州聚力投资11亿元，一期租赁恒瑞电器</w:t>
            </w:r>
            <w:r>
              <w:rPr>
                <w:rFonts w:ascii="Times New Roman" w:hAnsi="Times New Roman" w:eastAsia="仿宋_GB2312"/>
                <w:color w:val="000000"/>
                <w:sz w:val="24"/>
              </w:rPr>
              <w:t>2</w:t>
            </w:r>
            <w:r>
              <w:rPr>
                <w:rFonts w:hint="eastAsia" w:ascii="Times New Roman" w:hAnsi="Times New Roman" w:eastAsia="仿宋_GB2312"/>
                <w:color w:val="000000"/>
                <w:sz w:val="24"/>
              </w:rPr>
              <w:t>万平米厂房，二期占地面积约</w:t>
            </w:r>
            <w:r>
              <w:rPr>
                <w:rFonts w:ascii="Times New Roman" w:hAnsi="Times New Roman" w:eastAsia="仿宋_GB2312"/>
                <w:color w:val="000000"/>
                <w:sz w:val="24"/>
              </w:rPr>
              <w:t>50</w:t>
            </w:r>
            <w:r>
              <w:rPr>
                <w:rFonts w:hint="eastAsia" w:ascii="Times New Roman" w:hAnsi="Times New Roman" w:eastAsia="仿宋_GB2312"/>
                <w:color w:val="000000"/>
                <w:sz w:val="24"/>
              </w:rPr>
              <w:t>亩，新建</w:t>
            </w:r>
            <w:r>
              <w:rPr>
                <w:rFonts w:ascii="Times New Roman" w:hAnsi="Times New Roman" w:eastAsia="仿宋_GB2312"/>
                <w:color w:val="000000"/>
                <w:sz w:val="24"/>
              </w:rPr>
              <w:t>4</w:t>
            </w:r>
            <w:r>
              <w:rPr>
                <w:rFonts w:hint="eastAsia" w:ascii="Times New Roman" w:hAnsi="Times New Roman" w:eastAsia="仿宋_GB2312"/>
                <w:color w:val="000000"/>
                <w:sz w:val="24"/>
              </w:rPr>
              <w:t>万㎡标准化厂房，新上导热铜管、风扇及散热模组产线。</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金畅科技异型铜材精加工项目：</w:t>
            </w:r>
            <w:r>
              <w:rPr>
                <w:rFonts w:ascii="Times New Roman" w:hAnsi="Times New Roman" w:eastAsia="仿宋_GB2312"/>
                <w:color w:val="000000"/>
                <w:sz w:val="24"/>
              </w:rPr>
              <w:t>总投资5亿元，主营异型铜材精加工，年产异型铜材8万吨。</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鑫佳粉体新建8条高端合金粉生产线项目：</w:t>
            </w:r>
            <w:r>
              <w:rPr>
                <w:rFonts w:ascii="Times New Roman" w:hAnsi="Times New Roman" w:eastAsia="仿宋_GB2312"/>
                <w:color w:val="000000"/>
                <w:sz w:val="24"/>
              </w:rPr>
              <w:t>总投资1亿元，项目拟新建8条高端合金粉产线，主要产品包括铜锌锡合金粉、不锈钢粉，年产能约1万吨，年产值预估7亿元。</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金田铜业生产线项目：</w:t>
            </w:r>
            <w:r>
              <w:rPr>
                <w:rFonts w:ascii="Times New Roman" w:hAnsi="Times New Roman" w:eastAsia="仿宋_GB2312"/>
                <w:color w:val="000000"/>
                <w:sz w:val="24"/>
              </w:rPr>
              <w:t>总投资10亿元，拟占地200亩，建设铜板铜管生产基地。</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铜陵西湖铜艺小镇项目：</w:t>
            </w:r>
            <w:r>
              <w:rPr>
                <w:rFonts w:ascii="Times New Roman" w:hAnsi="Times New Roman" w:eastAsia="仿宋_GB2312"/>
                <w:color w:val="000000"/>
                <w:sz w:val="24"/>
              </w:rPr>
              <w:t>总投资15亿元，总建筑面积300万平方米，核心区面积100万平方米，建设公共服务板块、总部经济板块、铜艺创意板块、铜艺人才培训区和运动康养板块。</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安徽文旅集团中国铜街·铜艺术品交易中心项目：</w:t>
            </w:r>
            <w:r>
              <w:rPr>
                <w:rFonts w:ascii="Times New Roman" w:hAnsi="Times New Roman" w:eastAsia="仿宋_GB2312"/>
                <w:color w:val="000000"/>
                <w:sz w:val="24"/>
              </w:rPr>
              <w:t>总投资5亿元，新建包括铜工艺品加工、人才培训、学术交流的综合性平台。</w:t>
            </w:r>
          </w:p>
          <w:p>
            <w:pPr>
              <w:pStyle w:val="10"/>
              <w:overflowPunct w:val="0"/>
              <w:autoSpaceDE w:val="0"/>
              <w:spacing w:after="0" w:line="500" w:lineRule="exact"/>
              <w:ind w:firstLine="482" w:firstLineChars="200"/>
              <w:rPr>
                <w:rFonts w:ascii="Times New Roman" w:hAnsi="Times New Roman" w:eastAsia="宋体"/>
                <w:color w:val="000000"/>
                <w:sz w:val="24"/>
              </w:rPr>
            </w:pPr>
            <w:r>
              <w:rPr>
                <w:rFonts w:hint="eastAsia" w:ascii="Times New Roman" w:hAnsi="Times New Roman" w:eastAsia="仿宋_GB2312"/>
                <w:b/>
                <w:color w:val="000000"/>
                <w:sz w:val="24"/>
              </w:rPr>
              <w:t>新鑫焊材扩建项目：</w:t>
            </w:r>
            <w:r>
              <w:rPr>
                <w:rFonts w:hint="eastAsia" w:ascii="Times New Roman" w:hAnsi="Times New Roman" w:eastAsia="仿宋_GB2312"/>
                <w:color w:val="000000"/>
                <w:sz w:val="24"/>
              </w:rPr>
              <w:t>拟引入投资方，投资2亿元，购置原恒瑞电气5#厂房，搬迁现有厂区设备并新上新型焊材自动化产线。</w:t>
            </w:r>
          </w:p>
        </w:tc>
      </w:tr>
    </w:tbl>
    <w:p>
      <w:pPr>
        <w:pStyle w:val="4"/>
        <w:keepNext w:val="0"/>
        <w:keepLines w:val="0"/>
        <w:overflowPunct w:val="0"/>
        <w:autoSpaceDE w:val="0"/>
        <w:spacing w:line="600" w:lineRule="exact"/>
        <w:jc w:val="center"/>
        <w:rPr>
          <w:rFonts w:ascii="Times New Roman" w:hAnsi="Times New Roman"/>
          <w:b w:val="0"/>
          <w:bCs/>
          <w:color w:val="000000"/>
        </w:rPr>
      </w:pPr>
      <w:bookmarkStart w:id="70" w:name="_Toc90645421"/>
      <w:bookmarkStart w:id="71" w:name="_Toc17649"/>
      <w:r>
        <w:rPr>
          <w:rFonts w:ascii="Times New Roman" w:hAnsi="Times New Roman"/>
          <w:b w:val="0"/>
          <w:bCs/>
          <w:color w:val="000000"/>
        </w:rPr>
        <w:t xml:space="preserve">第二节 </w:t>
      </w:r>
      <w:r>
        <w:rPr>
          <w:rFonts w:hint="eastAsia" w:ascii="Times New Roman" w:hAnsi="Times New Roman"/>
          <w:b w:val="0"/>
          <w:bCs/>
          <w:color w:val="000000"/>
        </w:rPr>
        <w:t>高端</w:t>
      </w:r>
      <w:r>
        <w:rPr>
          <w:rFonts w:ascii="Times New Roman" w:hAnsi="Times New Roman"/>
          <w:b w:val="0"/>
          <w:bCs/>
          <w:color w:val="000000"/>
        </w:rPr>
        <w:t>装备制造业</w:t>
      </w:r>
      <w:bookmarkEnd w:id="70"/>
      <w:bookmarkEnd w:id="71"/>
    </w:p>
    <w:p>
      <w:pPr>
        <w:overflowPunct w:val="0"/>
        <w:autoSpaceDE w:val="0"/>
        <w:spacing w:line="58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四五”期间，以高端化、智能化、绿色化为方向，坚持走“产业结构优、科技含量高、资源消耗少、环境影响小、质量效益好、发展可持续”的高质量发展之路，加快制造业质量变革、效率变革、动力变革。一方面，坚持“抓住铜、延伸铜，不惟铜、超越铜” 产业发展路线，积极发展钢材、铜材、铸件、锻件、密封件、标准件等智能流体装备上游行业，加强与马鞍山、芜湖、宣城等地的产业分工与合作。另一方面，把握生态文明建设、乡村振兴、新型城镇化等基础设施补短板发展机遇，安全、高效、可靠、智能、节能等的需求为导向，适应碳达峰碳中和、一带一路、供给侧改革、“互联网+”、军民融合等国家战略和宏观政策的需要，瞄准巨大的市场空间，着力发展石油天然气、电力、化工、自来水和污水处理、造纸、冶金、制药、食品、采掘、有色金属等下游装备行业，与铜陵市有色冶金、硫磷化工产业，以及周边安庆石油化工产业、马鞍山冶金产业、合肥节能环保产业等形成良好的产业互动，为相关产业转型升级提供核心关键零部件支撑。加强与浙江、山东等先进装备制造业先发地的合作与交流，加强与国内著名院校的产学研合作，加速人才交流，加速科技转化。形成以具有知识产权、高附加值和高技术含量的名牌产品为支撑，具有较强配套能力的装备制造业体系，以企业为主体，引进、消化、吸收与自主创新相结合的装备制造业技术创新、产品创新体制，以及有利于装备制造业快速发展、持续发展的政策体系。到2025年，先进装备制造业工业产值达到50亿元。</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智能流体装备。</w:t>
      </w:r>
      <w:r>
        <w:rPr>
          <w:rFonts w:ascii="Times New Roman" w:hAnsi="Times New Roman" w:eastAsia="仿宋_GB2312"/>
          <w:color w:val="000000"/>
          <w:sz w:val="32"/>
        </w:rPr>
        <w:t>围绕铜陵市智能化流体控制装备关键零部件重大新兴产业工程建设，促进以排水阀门为主的产业集群形成及壮大。依托铜都流体、天海流体、红星阀门、英诺威阀业、新鑫焊材五家重点企业，积极发展盾构机用关键部件制造、水系统阀门智能制造、高端智能环保型阀门制造，加快集聚检验检测、特种焊材等配套企业，形成大中小企业良好的产业协作模式，在盾构机用阀门、船用特种阀门、水处理阀门、给排水阀门、化工用阀门等领域形成错位发展格局。加快建设特种泵阀和给排水控制应用与集成系统研发中心及其产业化综合生产基地、水力实验中心，加快专用铜焊丝的关键技术研究与产业化，打破国外对超大直径盾构、高端智能环保阀门等市场的垄断，实现部分智能化流体控制装备关键零部件基础的国产化和进口替代。“十四五”期间，依托龙头企业，围绕大型调水工程、市政管网工程和污水处理业务领域，重点发展中高压、耐腐蚀等高性能、高技术标准阀门产业；多功能水泵控制阀、安全泄压阀等高端智能阀门产业；超高温、超低温、超高压、真空等高端特种工业阀门产业；工业废污水处理及中水回用成套设备产业。在现有给排水阀门产业基础上，引导产业链向深海阀门、特种阀门、盾构机等领域延伸；研发和生产应用于长距离输水系统的大规格和特大规格给排水阀门，提高全系列品种阀门的综合生产能力，开发智能型执行机构和定位器，提高阀门产品的智能化水平。加快推进铜都流体、天海流体等龙头企业上市。</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轨道交通装备。</w:t>
      </w:r>
      <w:r>
        <w:rPr>
          <w:rFonts w:ascii="Times New Roman" w:hAnsi="Times New Roman" w:eastAsia="仿宋_GB2312"/>
          <w:color w:val="000000"/>
          <w:sz w:val="32"/>
        </w:rPr>
        <w:t>把握轨道交通行业外部环境变化和行业发展趋势，以及轨道交通车辆市场、零部件市场、配套设备市场需求前景，顺应电气化、高速化发展趋势，“十四五”期间，依托南车铜陵车辆厂（是否合适），以火车货车业务板块为重点，巩固和提升现有货车转向架产能，加强对适应中国铁路特点的30吨轴重货车转向架、80吨级通用货车转向架和160-200公里/小时快捷货车转向架等关键技术研究，提升转向架生产技术水平；积极开展重载、快捷货车制动技术研究，提升原有制动控制系统技术水平；降低长、大编组重载列车纵向冲动技术、货车零部件可靠性和疲劳寿命等技术研究，提升牵引控制系统生产技术水平；加强铁路重载、快捷货车设计、制造、安全检测、运用维护和检修、技术管理等标准研究，提升设计以及维修方面的技术水平；开发70吨级铁路货车零部件配套产品系列，并拓展铁路设备涉铜零部件生产领域，开发微机控制系统生产能力，形成较为完整的轨道交通重要部件系统的生产体系，健全轨道货车产业链。</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电梯专业设备制造。</w:t>
      </w:r>
      <w:r>
        <w:rPr>
          <w:rFonts w:ascii="Times New Roman" w:hAnsi="Times New Roman" w:eastAsia="仿宋_GB2312"/>
          <w:color w:val="000000"/>
          <w:sz w:val="32"/>
        </w:rPr>
        <w:t>“十四五”期间，满足我国已成为世界第一大电梯消费市场需求、新型城镇化房地产行业（居民住宅、商超等）快速发展需求，以及老龄化推动存量建筑进行电梯更新与加装，在发展低端电梯产品的基础上，适应电梯行业转型升级发展趋势，积极发展高档电梯产品进口替代。依托富邦公司大承载量的无机房规格电梯项目，做大做强大载重量电梯产业，并依托铜陵装备制造产业基础，延展产业空间，加快高速电梯和手扶电梯布局，促进电梯产业集群集聚发展，加快推进电梯工业园建设和提升。对接马鞍山钢铁生产基地，利用电气系统、曳引系统、门系统中的涉铜部件产品，发挥铜陵铜加工产业基础优势，积极发展电气系统、曳引系统、门系统的主要零部件生产，加快铜官电梯产业向产业链前端发展，形成产业链延伸。积极对接铜官区电子信息产业，加快形成电梯信息控制系统的生产能力，提高电梯产业智能化水平。在电梯生产的基础上，完善电梯使用和维护的标准化流程，形成电梯产业一体化服务。</w:t>
      </w:r>
    </w:p>
    <w:p>
      <w:pPr>
        <w:pStyle w:val="10"/>
        <w:overflowPunct w:val="0"/>
        <w:autoSpaceDE w:val="0"/>
        <w:ind w:firstLine="480"/>
        <w:rPr>
          <w:rFonts w:ascii="Times New Roman" w:hAnsi="Times New Roman" w:eastAsia="宋体"/>
          <w:color w:val="000000"/>
          <w:kern w:val="0"/>
          <w:sz w:val="24"/>
        </w:rPr>
      </w:pPr>
    </w:p>
    <w:tbl>
      <w:tblPr>
        <w:tblStyle w:val="30"/>
        <w:tblW w:w="8782" w:type="dxa"/>
        <w:jc w:val="center"/>
        <w:tblLayout w:type="fixed"/>
        <w:tblCellMar>
          <w:top w:w="15" w:type="dxa"/>
          <w:left w:w="15" w:type="dxa"/>
          <w:bottom w:w="15" w:type="dxa"/>
          <w:right w:w="15" w:type="dxa"/>
        </w:tblCellMar>
      </w:tblPr>
      <w:tblGrid>
        <w:gridCol w:w="8782"/>
      </w:tblGrid>
      <w:tr>
        <w:tblPrEx>
          <w:tblCellMar>
            <w:top w:w="15" w:type="dxa"/>
            <w:left w:w="15" w:type="dxa"/>
            <w:bottom w:w="15" w:type="dxa"/>
            <w:right w:w="15" w:type="dxa"/>
          </w:tblCellMar>
        </w:tblPrEx>
        <w:trPr>
          <w:trHeight w:val="570" w:hRule="atLeast"/>
          <w:jc w:val="center"/>
        </w:trPr>
        <w:tc>
          <w:tcPr>
            <w:tcW w:w="8782"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adjustRightInd w:val="0"/>
              <w:snapToGrid w:val="0"/>
              <w:ind w:firstLine="600"/>
              <w:jc w:val="center"/>
              <w:rPr>
                <w:rFonts w:ascii="Times New Roman" w:hAnsi="Times New Roman" w:eastAsia="仿宋"/>
                <w:color w:val="000000"/>
                <w:szCs w:val="32"/>
              </w:rPr>
            </w:pPr>
            <w:r>
              <w:rPr>
                <w:rFonts w:ascii="Times New Roman" w:hAnsi="Times New Roman" w:eastAsia="黑体"/>
                <w:color w:val="000000"/>
                <w:sz w:val="30"/>
                <w:szCs w:val="30"/>
              </w:rPr>
              <w:t>专栏3：</w:t>
            </w:r>
            <w:r>
              <w:rPr>
                <w:rFonts w:hint="eastAsia" w:ascii="Times New Roman" w:hAnsi="Times New Roman" w:eastAsia="黑体"/>
                <w:color w:val="000000"/>
                <w:sz w:val="30"/>
                <w:szCs w:val="30"/>
              </w:rPr>
              <w:t>高端</w:t>
            </w:r>
            <w:r>
              <w:rPr>
                <w:rFonts w:ascii="Times New Roman" w:hAnsi="Times New Roman" w:eastAsia="黑体"/>
                <w:color w:val="000000"/>
                <w:sz w:val="30"/>
                <w:szCs w:val="30"/>
              </w:rPr>
              <w:t>装备制造业</w:t>
            </w:r>
            <w:r>
              <w:rPr>
                <w:rFonts w:hint="eastAsia" w:ascii="Times New Roman" w:hAnsi="Times New Roman" w:eastAsia="黑体"/>
                <w:color w:val="000000"/>
                <w:sz w:val="30"/>
                <w:szCs w:val="30"/>
              </w:rPr>
              <w:t>产业</w:t>
            </w:r>
            <w:r>
              <w:rPr>
                <w:rFonts w:ascii="Times New Roman" w:hAnsi="Times New Roman" w:eastAsia="黑体"/>
                <w:color w:val="000000"/>
                <w:sz w:val="30"/>
                <w:szCs w:val="30"/>
              </w:rPr>
              <w:t>重点项目</w:t>
            </w:r>
          </w:p>
        </w:tc>
      </w:tr>
      <w:tr>
        <w:tblPrEx>
          <w:tblCellMar>
            <w:top w:w="15" w:type="dxa"/>
            <w:left w:w="15" w:type="dxa"/>
            <w:bottom w:w="15" w:type="dxa"/>
            <w:right w:w="15" w:type="dxa"/>
          </w:tblCellMar>
        </w:tblPrEx>
        <w:trPr>
          <w:trHeight w:val="869" w:hRule="atLeast"/>
          <w:jc w:val="center"/>
        </w:trPr>
        <w:tc>
          <w:tcPr>
            <w:tcW w:w="8782"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adjustRightInd w:val="0"/>
              <w:snapToGrid w:val="0"/>
              <w:spacing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狮子山高新区科技创业园二期项目：</w:t>
            </w:r>
            <w:r>
              <w:rPr>
                <w:rFonts w:ascii="Times New Roman" w:hAnsi="Times New Roman" w:eastAsia="仿宋_GB2312"/>
                <w:color w:val="000000"/>
                <w:sz w:val="24"/>
              </w:rPr>
              <w:t>总投资1.51亿元，建筑面积9.2万平方米，建设矿工创业服务中心、企业孵化器、高端装备加速园等。</w:t>
            </w:r>
          </w:p>
          <w:p>
            <w:pPr>
              <w:overflowPunct w:val="0"/>
              <w:autoSpaceDE w:val="0"/>
              <w:adjustRightInd w:val="0"/>
              <w:snapToGrid w:val="0"/>
              <w:spacing w:line="500" w:lineRule="exact"/>
              <w:ind w:firstLine="482" w:firstLineChars="200"/>
              <w:rPr>
                <w:rFonts w:ascii="Times New Roman" w:hAnsi="Times New Roman" w:eastAsia="仿宋_GB2312"/>
                <w:bCs/>
                <w:color w:val="000000"/>
                <w:sz w:val="24"/>
              </w:rPr>
            </w:pPr>
            <w:r>
              <w:rPr>
                <w:rFonts w:ascii="Times New Roman" w:hAnsi="Times New Roman" w:eastAsia="仿宋_GB2312"/>
                <w:b/>
                <w:color w:val="000000"/>
                <w:sz w:val="24"/>
              </w:rPr>
              <w:t>高端制造产业基地</w:t>
            </w:r>
            <w:r>
              <w:rPr>
                <w:rFonts w:ascii="Times New Roman" w:hAnsi="Times New Roman" w:eastAsia="仿宋_GB2312"/>
                <w:bCs/>
                <w:color w:val="000000"/>
                <w:sz w:val="24"/>
              </w:rPr>
              <w:t>：项目总投资7亿元，建设标准化厂房及相关配套设施，围绕主导产业，打造集生产、加工、服务于一体的流体及大型工程整车智能制造产业基地。</w:t>
            </w:r>
          </w:p>
          <w:p>
            <w:pPr>
              <w:overflowPunct w:val="0"/>
              <w:autoSpaceDE w:val="0"/>
              <w:adjustRightInd w:val="0"/>
              <w:snapToGrid w:val="0"/>
              <w:spacing w:line="500" w:lineRule="exact"/>
              <w:ind w:firstLine="482" w:firstLineChars="200"/>
              <w:rPr>
                <w:rFonts w:ascii="Times New Roman" w:hAnsi="Times New Roman" w:eastAsia="仿宋_GB2312"/>
                <w:bCs/>
                <w:color w:val="000000"/>
                <w:sz w:val="24"/>
              </w:rPr>
            </w:pPr>
            <w:r>
              <w:rPr>
                <w:rFonts w:ascii="Times New Roman" w:hAnsi="Times New Roman" w:eastAsia="仿宋_GB2312"/>
                <w:b/>
                <w:color w:val="000000"/>
                <w:sz w:val="24"/>
              </w:rPr>
              <w:t>年产3万吨起重机配件加工项目：</w:t>
            </w:r>
            <w:r>
              <w:rPr>
                <w:rFonts w:ascii="Times New Roman" w:hAnsi="Times New Roman" w:eastAsia="仿宋_GB2312"/>
                <w:bCs/>
                <w:color w:val="000000"/>
                <w:sz w:val="24"/>
              </w:rPr>
              <w:t>项目总投资2亿元，建设面积3000平方米，建设年产3万吨起重机配件加工生产线。</w:t>
            </w:r>
          </w:p>
          <w:p>
            <w:pPr>
              <w:overflowPunct w:val="0"/>
              <w:autoSpaceDE w:val="0"/>
              <w:adjustRightInd w:val="0"/>
              <w:snapToGrid w:val="0"/>
              <w:spacing w:line="500" w:lineRule="exact"/>
              <w:ind w:firstLine="482" w:firstLineChars="200"/>
              <w:rPr>
                <w:rFonts w:ascii="Times New Roman" w:hAnsi="Times New Roman" w:eastAsia="仿宋_GB2312"/>
                <w:bCs/>
                <w:color w:val="000000"/>
                <w:sz w:val="24"/>
              </w:rPr>
            </w:pPr>
            <w:r>
              <w:rPr>
                <w:rFonts w:ascii="Times New Roman" w:hAnsi="Times New Roman" w:eastAsia="仿宋_GB2312"/>
                <w:b/>
                <w:color w:val="000000"/>
                <w:sz w:val="24"/>
              </w:rPr>
              <w:t>年产60万台套流体智控装置项目：</w:t>
            </w:r>
            <w:r>
              <w:rPr>
                <w:rFonts w:ascii="Times New Roman" w:hAnsi="Times New Roman" w:eastAsia="仿宋_GB2312"/>
                <w:bCs/>
                <w:color w:val="000000"/>
                <w:sz w:val="24"/>
              </w:rPr>
              <w:t>项目总投资2.15亿元，建设1万平方米厂房，购置立式数控设备，建设8条智控阀门生产线，年产20万台套阀门及智控驱动装置与40万台套智能水表及流量计。</w:t>
            </w:r>
          </w:p>
          <w:p>
            <w:pPr>
              <w:overflowPunct w:val="0"/>
              <w:autoSpaceDE w:val="0"/>
              <w:adjustRightInd w:val="0"/>
              <w:snapToGrid w:val="0"/>
              <w:spacing w:line="500" w:lineRule="exact"/>
              <w:ind w:firstLine="482" w:firstLineChars="200"/>
              <w:rPr>
                <w:rFonts w:ascii="Times New Roman" w:hAnsi="Times New Roman" w:eastAsia="仿宋_GB2312"/>
                <w:bCs/>
                <w:color w:val="000000"/>
                <w:sz w:val="24"/>
              </w:rPr>
            </w:pPr>
            <w:r>
              <w:rPr>
                <w:rFonts w:ascii="Times New Roman" w:hAnsi="Times New Roman" w:eastAsia="仿宋_GB2312"/>
                <w:b/>
                <w:color w:val="000000"/>
                <w:sz w:val="24"/>
              </w:rPr>
              <w:t>轨道装备制造二期项目：</w:t>
            </w:r>
            <w:r>
              <w:rPr>
                <w:rFonts w:ascii="Times New Roman" w:hAnsi="Times New Roman" w:eastAsia="仿宋_GB2312"/>
                <w:bCs/>
                <w:color w:val="000000"/>
                <w:sz w:val="24"/>
              </w:rPr>
              <w:t>项目总投资1亿元，建成年生产制造铁路各型车辆800辆、修理车辆1000辆的生产线。</w:t>
            </w:r>
          </w:p>
          <w:p>
            <w:pPr>
              <w:overflowPunct w:val="0"/>
              <w:autoSpaceDE w:val="0"/>
              <w:adjustRightInd w:val="0"/>
              <w:snapToGrid w:val="0"/>
              <w:spacing w:line="500" w:lineRule="exact"/>
              <w:ind w:firstLine="482" w:firstLineChars="200"/>
              <w:rPr>
                <w:rFonts w:ascii="Times New Roman" w:hAnsi="Times New Roman" w:eastAsia="仿宋_GB2312"/>
                <w:bCs/>
                <w:color w:val="000000"/>
                <w:sz w:val="24"/>
              </w:rPr>
            </w:pPr>
            <w:r>
              <w:rPr>
                <w:rFonts w:ascii="Times New Roman" w:hAnsi="Times New Roman" w:eastAsia="仿宋_GB2312"/>
                <w:b/>
                <w:color w:val="000000"/>
                <w:sz w:val="24"/>
              </w:rPr>
              <w:t>高端智能阀门生产线及液动三通换向阀配套生产线：</w:t>
            </w:r>
            <w:r>
              <w:rPr>
                <w:rFonts w:ascii="Times New Roman" w:hAnsi="Times New Roman" w:eastAsia="仿宋_GB2312"/>
                <w:bCs/>
                <w:color w:val="000000"/>
                <w:sz w:val="24"/>
              </w:rPr>
              <w:t>项目总投资2亿元，新建2万平米厂房及配套设施，购置生产、检测相关设备仪器150台（套），建设年产10万台高端智能阀门、年产200台液动三通换向阀配套生产线。</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铜都流体盾构机用关键部件制造项目：</w:t>
            </w:r>
            <w:r>
              <w:rPr>
                <w:rFonts w:ascii="Times New Roman" w:hAnsi="Times New Roman" w:eastAsia="仿宋_GB2312"/>
                <w:color w:val="000000"/>
                <w:sz w:val="24"/>
              </w:rPr>
              <w:t>拟新建30000平米工业厂房并新购置大型立车、数控机床等加工设备和试验设备，进行加工、表面处理、试验检验等工艺流程。形成年产2000台盾构机用阀门、5000台常压换刀装置、100套接管器系统总成的生产规模。</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天海特种泵阀、给排水控制应用与集成系统研发中心及其产业化综合生产基地项目：</w:t>
            </w:r>
            <w:r>
              <w:rPr>
                <w:rFonts w:ascii="Times New Roman" w:hAnsi="Times New Roman" w:eastAsia="仿宋_GB2312"/>
                <w:color w:val="000000"/>
                <w:sz w:val="24"/>
              </w:rPr>
              <w:t>规划占地30亩，总建筑面积18600㎡；购置225台/套研发、检测、生产设备和620台/套模具。形成年产3000吨高耐腐蚀性舰船用特种泵阀、200套给排水控制应用与集成系统、5000吨给排水系统泵阀及配套管配件、1000吨泵阀铜合金配件、2套雨污合流与分流排水系统的生产规模。</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红星年产50万台套水系统阀门智能制造项目：</w:t>
            </w:r>
            <w:r>
              <w:rPr>
                <w:rFonts w:ascii="Times New Roman" w:hAnsi="Times New Roman" w:eastAsia="仿宋_GB2312"/>
                <w:color w:val="000000"/>
                <w:sz w:val="24"/>
              </w:rPr>
              <w:t>土建工程位于铜陵市安徽红星阀门有限公司厂区内，车间及仓库、辅助用房的照明按《工业企业照明设计标准》要求设计，灯具采用节能型灯具。形成年产50万台套闸阀、蝶阀、偏心半球阀等水系统阀门的生产规模。</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张家港力波铜合金阀门生产线项目：</w:t>
            </w:r>
            <w:r>
              <w:rPr>
                <w:rFonts w:ascii="Times New Roman" w:hAnsi="Times New Roman" w:eastAsia="仿宋_GB2312"/>
                <w:color w:val="000000"/>
                <w:sz w:val="24"/>
              </w:rPr>
              <w:t>总投资5亿元，项目占地45亩，拟整体搬迁至狮子山高新区，建设铜合金阀门生产线。</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英诺威年产5万台套高端智能环保型阀门项目：</w:t>
            </w:r>
            <w:r>
              <w:rPr>
                <w:rFonts w:ascii="Times New Roman" w:hAnsi="Times New Roman" w:eastAsia="仿宋_GB2312"/>
                <w:color w:val="000000"/>
                <w:sz w:val="24"/>
              </w:rPr>
              <w:t>拟新建15000平米工业厂房和办公场所，主要进行相关机械加工、焊接、组配、试验和检验等工序的生产，主要配置的相关设备为：数控立车、数显镗铣床、数控车床、数控铣床、数控钻床、阀门自动焊机、等离子切割机、行车、测试台及其配套设备等。形成年产5万台套高端智能环保型阀门的生产规模。</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新鑫阀门专用铜焊丝的关键技术研究与产业化项目：</w:t>
            </w:r>
            <w:r>
              <w:rPr>
                <w:rFonts w:ascii="Times New Roman" w:hAnsi="Times New Roman" w:eastAsia="仿宋_GB2312"/>
                <w:color w:val="000000"/>
                <w:sz w:val="24"/>
              </w:rPr>
              <w:t>购置节能钢壳磁轭炉、工频保温炉等设备，利用自主知识产权，并与哈尔滨焊接研究院和郑州机械研究所两家焊接工程技术中心合作，优化产品配比工艺以提升产品的力学和焊接性能。形成年产1000吨阀门专用铜焊丝的生产规模。</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hint="eastAsia" w:ascii="Times New Roman" w:hAnsi="Times New Roman" w:eastAsia="仿宋_GB2312"/>
                <w:b/>
                <w:color w:val="000000"/>
                <w:sz w:val="24"/>
              </w:rPr>
              <w:t>高端流体控制设备智能化生产基地项目。</w:t>
            </w:r>
            <w:r>
              <w:rPr>
                <w:rFonts w:ascii="Times New Roman" w:hAnsi="Times New Roman" w:eastAsia="仿宋_GB2312"/>
                <w:color w:val="000000"/>
                <w:sz w:val="24"/>
              </w:rPr>
              <w:t>天海流体</w:t>
            </w:r>
            <w:r>
              <w:rPr>
                <w:rFonts w:hint="eastAsia" w:ascii="Times New Roman" w:hAnsi="Times New Roman" w:eastAsia="仿宋_GB2312"/>
                <w:color w:val="000000"/>
                <w:sz w:val="24"/>
              </w:rPr>
              <w:t>拟报北交所募投项目，总投资5.5亿元，计划购置75亩地块，新建3万方厂房，建设2条智能化装配检测线、5条智能化加工线（含1条智能化喷涂线）；年产高端给排水系统用流体控制设备及舰船、石化天然气用耐腐蚀合金泵、阀50万台。</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特技阀门石油化工特种阀门项目：</w:t>
            </w:r>
            <w:r>
              <w:rPr>
                <w:rFonts w:ascii="Times New Roman" w:hAnsi="Times New Roman" w:eastAsia="仿宋_GB2312"/>
                <w:color w:val="000000"/>
                <w:sz w:val="24"/>
              </w:rPr>
              <w:t>总投资5亿元，建设不锈钢管件及通用机械设备制造项目，年产特种阀门2万台套。</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江苏铁科轨道装备制造二期项目：</w:t>
            </w:r>
            <w:r>
              <w:rPr>
                <w:rFonts w:ascii="Times New Roman" w:hAnsi="Times New Roman" w:eastAsia="仿宋_GB2312"/>
                <w:color w:val="000000"/>
                <w:sz w:val="24"/>
              </w:rPr>
              <w:t>总投资1亿元，购买中能阀门原厂区，建成年生产制造铁路各型车辆800辆、修理车辆1000辆的生产线。</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铜陵隆顺年产2000台套新型智能化道路标线成套设备项目：</w:t>
            </w:r>
            <w:r>
              <w:rPr>
                <w:rFonts w:ascii="Times New Roman" w:hAnsi="Times New Roman" w:eastAsia="仿宋_GB2312"/>
                <w:color w:val="000000"/>
                <w:sz w:val="24"/>
              </w:rPr>
              <w:t>总投资1.06亿元，改造装修厂房8000平米、办公楼800平米，购置生产、研发设备等。</w:t>
            </w:r>
          </w:p>
          <w:p>
            <w:pPr>
              <w:pStyle w:val="10"/>
              <w:overflowPunct w:val="0"/>
              <w:autoSpaceDE w:val="0"/>
              <w:spacing w:after="0" w:line="500" w:lineRule="exact"/>
              <w:ind w:firstLine="482" w:firstLineChars="200"/>
              <w:rPr>
                <w:rFonts w:ascii="Times New Roman" w:hAnsi="Times New Roman" w:eastAsia="仿宋"/>
                <w:color w:val="000000"/>
                <w:szCs w:val="32"/>
              </w:rPr>
            </w:pPr>
            <w:r>
              <w:rPr>
                <w:rFonts w:hint="eastAsia" w:ascii="Times New Roman" w:hAnsi="Times New Roman" w:eastAsia="仿宋_GB2312"/>
                <w:b/>
                <w:color w:val="000000"/>
                <w:sz w:val="24"/>
              </w:rPr>
              <w:t>中船新加坡舰船用泵阀制造项目:</w:t>
            </w:r>
            <w:r>
              <w:rPr>
                <w:rFonts w:hint="eastAsia" w:ascii="Times New Roman" w:hAnsi="Times New Roman" w:eastAsia="仿宋_GB2312"/>
                <w:color w:val="000000"/>
                <w:sz w:val="24"/>
              </w:rPr>
              <w:t>中船新加坡为凯斯威下游企业，拟租赁科创园6#厂房，采购凯斯威高抗蚀铜合金铸件，加工制造舰船用铜合金泵、阀成套设备。</w:t>
            </w:r>
          </w:p>
        </w:tc>
      </w:tr>
    </w:tbl>
    <w:p>
      <w:pPr>
        <w:pStyle w:val="4"/>
        <w:keepNext w:val="0"/>
        <w:keepLines w:val="0"/>
        <w:overflowPunct w:val="0"/>
        <w:autoSpaceDE w:val="0"/>
        <w:spacing w:line="600" w:lineRule="exact"/>
        <w:jc w:val="center"/>
        <w:rPr>
          <w:rFonts w:ascii="Times New Roman" w:hAnsi="Times New Roman"/>
          <w:b w:val="0"/>
          <w:bCs/>
          <w:color w:val="000000"/>
        </w:rPr>
      </w:pPr>
      <w:bookmarkStart w:id="72" w:name="_Toc90645422"/>
      <w:bookmarkStart w:id="73" w:name="_Toc12118"/>
      <w:r>
        <w:rPr>
          <w:rFonts w:hint="eastAsia" w:ascii="Times New Roman" w:hAnsi="Times New Roman"/>
          <w:b w:val="0"/>
          <w:bCs/>
          <w:color w:val="000000"/>
        </w:rPr>
        <w:t>第三节  新一代电子信息产业</w:t>
      </w:r>
      <w:bookmarkEnd w:id="72"/>
      <w:bookmarkEnd w:id="73"/>
    </w:p>
    <w:p>
      <w:pPr>
        <w:overflowPunct w:val="0"/>
        <w:autoSpaceDE w:val="0"/>
        <w:spacing w:line="600" w:lineRule="exact"/>
        <w:ind w:firstLine="720" w:firstLineChars="200"/>
        <w:rPr>
          <w:rFonts w:ascii="Times New Roman" w:hAnsi="Times New Roman" w:eastAsia="仿宋_GB2312"/>
          <w:color w:val="000000"/>
          <w:sz w:val="36"/>
          <w:szCs w:val="36"/>
        </w:rPr>
      </w:pPr>
      <w:r>
        <w:rPr>
          <w:rFonts w:ascii="Times New Roman" w:hAnsi="Times New Roman" w:eastAsia="仿宋_GB2312"/>
          <w:color w:val="000000"/>
          <w:sz w:val="36"/>
          <w:szCs w:val="36"/>
        </w:rPr>
        <w:t>围绕电子材料及新型元器件重大新兴产业工程建设，聚焦薄膜电容产业链和相关新型元器件产业集群，通过自主和合作研发的高端电容薄膜制造、高端电容器制造、超级电容器模组制造、光伏充电控制器制造、微电子变压器制造，加强关键核心技术攻关，加快推进产业化进程，打破国外对高端电容和电容薄膜产品封锁，实现部分新能源领域用电子材料和新型元器件产品的国产化和进口替代。“十四五”期间，大力发展工业控制电子、智能检测设备仪器、智能传感器、专用设备和仪器仪表等系列产品，培育电子材料和新型元器件产业集群，形成“一链一群”发展格局，到2025年，力争建成国内一流的电子材料及新型元器件产业集聚发展基地，电子信息产业产值达到50亿元。</w:t>
      </w:r>
    </w:p>
    <w:p>
      <w:pPr>
        <w:overflowPunct w:val="0"/>
        <w:autoSpaceDE w:val="0"/>
        <w:spacing w:line="600" w:lineRule="exact"/>
        <w:ind w:firstLine="723" w:firstLineChars="200"/>
        <w:rPr>
          <w:rFonts w:ascii="Times New Roman" w:hAnsi="Times New Roman" w:eastAsia="仿宋_GB2312"/>
          <w:color w:val="000000"/>
          <w:sz w:val="36"/>
          <w:szCs w:val="36"/>
        </w:rPr>
      </w:pPr>
      <w:r>
        <w:rPr>
          <w:rFonts w:ascii="Times New Roman" w:hAnsi="Times New Roman" w:eastAsia="楷体_GB2312"/>
          <w:b/>
          <w:bCs/>
          <w:color w:val="000000"/>
          <w:sz w:val="36"/>
          <w:szCs w:val="36"/>
        </w:rPr>
        <w:t>智能监测。</w:t>
      </w:r>
      <w:r>
        <w:rPr>
          <w:rFonts w:ascii="Times New Roman" w:hAnsi="Times New Roman" w:eastAsia="仿宋_GB2312"/>
          <w:color w:val="000000"/>
          <w:sz w:val="36"/>
          <w:szCs w:val="36"/>
        </w:rPr>
        <w:t>依托蓝盾光电子等龙头企业，重点发展环境监测、智能交通、智能环保、智慧气象、军用雷达产业，加快推动智能监测装备产业园建设，打造行业“隐形冠军”，以龙头企业带动产业链延伸和延展。“十四五”期间，满足地下水监测、海洋监测、农村监测、温室气体监测网络建设需求，以及大气和水环境自动检测数据联网、大气超级站、卫星遥感等特征性监测数据联网等生态环境监测大数据管理平台建设需求，依托硬件设备制造，推动智能监测产业向系统集成及运营服务延伸，重点发展包括AI、芯片、算法等产业链技术层，以及集成方案集成服务层。</w:t>
      </w:r>
    </w:p>
    <w:p>
      <w:pPr>
        <w:overflowPunct w:val="0"/>
        <w:autoSpaceDE w:val="0"/>
        <w:spacing w:line="600" w:lineRule="exact"/>
        <w:ind w:firstLine="723" w:firstLineChars="200"/>
        <w:rPr>
          <w:rFonts w:ascii="Times New Roman" w:hAnsi="Times New Roman" w:eastAsia="仿宋_GB2312"/>
          <w:color w:val="000000"/>
          <w:sz w:val="36"/>
          <w:szCs w:val="36"/>
        </w:rPr>
      </w:pPr>
      <w:r>
        <w:rPr>
          <w:rFonts w:ascii="Times New Roman" w:hAnsi="Times New Roman" w:eastAsia="楷体_GB2312"/>
          <w:b/>
          <w:bCs/>
          <w:color w:val="000000"/>
          <w:sz w:val="36"/>
          <w:szCs w:val="36"/>
        </w:rPr>
        <w:t>电子元器件。</w:t>
      </w:r>
      <w:r>
        <w:rPr>
          <w:rFonts w:ascii="Times New Roman" w:hAnsi="Times New Roman" w:eastAsia="仿宋_GB2312"/>
          <w:color w:val="000000"/>
          <w:sz w:val="36"/>
          <w:szCs w:val="36"/>
        </w:rPr>
        <w:t>“十四五”期间，围绕安徽省重大新兴产业工程（狮子山高新区电子材料及新型元器件重大新兴产业工程），逐步向上游高分子材料产业，下游光伏新能源、电子信息等产业延伸，将电子元器件产业逐步发成为铜官区新的支柱产业。以壮大“膜—零配件—产品—产品应用”薄膜电容器产业链，完善“光、机、电、算一体化专用分析测量仪器”制造—应用体系，建设新一代电子元器件及配套产业群，依托丰山三佳微电子等龙头企业，重点发展集成电路引线框架、引线框架模具及相关电子元器件。依托赛福电子、迈维电子、日科电子、其利电子、新洲电子、源丰电子、超越电子等企业，重点发展电子材料、新型元器件、PCB（印制电路板）及集成电路封装、电子整机及配套软件等产业。PCB及集成电路封装产业重点引进大功率、高频、挠性基板，高密度互联印制电路板等高端PCB产品，球栅阵列、插针网格阵列、多芯片等集成电路先进封装产品；新型元器件产业重点引进超级电容器及薄膜、高档人造晶体、高端引线框架等；电子整机及配套软件产业重点围绕：资源综合利用、污染治理、公共安全、高精度检测等领域开发电子整机产品。</w:t>
      </w:r>
    </w:p>
    <w:p>
      <w:pPr>
        <w:pStyle w:val="10"/>
        <w:overflowPunct w:val="0"/>
        <w:autoSpaceDE w:val="0"/>
        <w:spacing w:after="0" w:line="600" w:lineRule="exact"/>
        <w:ind w:firstLine="720" w:firstLineChars="200"/>
        <w:rPr>
          <w:rFonts w:ascii="Times New Roman" w:hAnsi="Times New Roman" w:eastAsia="仿宋_GB2312"/>
          <w:color w:val="000000"/>
          <w:sz w:val="36"/>
          <w:szCs w:val="36"/>
        </w:rPr>
      </w:pPr>
      <w:r>
        <w:rPr>
          <w:rFonts w:ascii="Times New Roman" w:hAnsi="Times New Roman" w:eastAsia="仿宋_GB2312"/>
          <w:color w:val="000000"/>
          <w:sz w:val="36"/>
          <w:szCs w:val="36"/>
        </w:rPr>
        <w:t>完善产业链及产业生态。引入芯片封装测试生产线，建立基于封测的产业生态与产业链条，推动产业互动。利用引线框架、封装测试设备研发与制造基础，探索发展高纯金属靶材、键合金属丝（铜丝为主），积极创建半导体设备研发中心及国家半导体设备研发产业基地。围绕智能终端、物联网、汽车电子等低成本、多品种、低功耗、快速反应需求，支持封装企业与设计、制造企业间业务整合或并购，探索新兴产业业态和创新产品。形成差异化发展导向，引导产业链各环节企业聚集，充分利用自身设备、材料等供应链优势，与有意落户的封装测试企业合资共建或者共同研发，形成竞争新优势。</w:t>
      </w:r>
    </w:p>
    <w:p>
      <w:pPr>
        <w:overflowPunct w:val="0"/>
        <w:autoSpaceDE w:val="0"/>
        <w:spacing w:line="600" w:lineRule="exact"/>
        <w:ind w:firstLine="723" w:firstLineChars="200"/>
        <w:rPr>
          <w:rFonts w:ascii="Times New Roman" w:hAnsi="Times New Roman" w:eastAsia="仿宋_GB2312"/>
          <w:color w:val="000000"/>
          <w:sz w:val="36"/>
          <w:szCs w:val="36"/>
        </w:rPr>
      </w:pPr>
      <w:r>
        <w:rPr>
          <w:rFonts w:ascii="Times New Roman" w:hAnsi="Times New Roman" w:eastAsia="楷体_GB2312"/>
          <w:b/>
          <w:color w:val="000000"/>
          <w:sz w:val="36"/>
          <w:szCs w:val="36"/>
        </w:rPr>
        <w:t>高分子电容器。</w:t>
      </w:r>
      <w:r>
        <w:rPr>
          <w:rFonts w:ascii="Times New Roman" w:hAnsi="Times New Roman" w:eastAsia="仿宋_GB2312"/>
          <w:color w:val="000000"/>
          <w:sz w:val="36"/>
          <w:szCs w:val="36"/>
        </w:rPr>
        <w:t>满足LED照明产业和新能源汽车迅速发展带来的市场需求，积极发展薄膜电容和超级电容。依托现有的“树脂粒料——电工薄膜——薄膜电容——储能装备电容器”产业链，壮大“膜—零配件—产品—产品应用”薄膜电容器产业链，力争突破新能源汽车耐高温SPS电容薄膜成膜技术、高压直流输电用大容量薄膜介质电容产业化技术等产业链核心技术，逐步向上游高分子材料产业，发展各种类型塑料介质膜——聚乙酯、聚丙烯、聚苯乙烯和聚碳酸，并向下游产业链——照明、家电、工业控制以及新能源发电（太阳能光伏、风力发电、潮汐发电）、汽车、电子信息等市场延伸。积极发展超级电容上游产业——电极材料和电解液，其中电极材料一般为活性碳，随着技术不断突破，石墨烯，碳化硅纳米线网络为骨架、过渡金属化合物为活性材料的复合材料以及其他多种新材料的应用成为可能，主动布局下游下游产业——数码产品、智能仪表、玩具、电动工具、新能源汽车、新能源发电系统、分布式电网系统、高功率武器、运动控制领域、节能建筑、工业节能减排等。“十四五”期间，培育一批龙头企业，打造 “隐形冠军”和“单打冠军”，带动上下游铜基新材料、新能源、新能源汽车、集成电路、汽车电子、LED、智能家电、智能装备等产业发展。</w:t>
      </w:r>
    </w:p>
    <w:p>
      <w:pPr>
        <w:pStyle w:val="10"/>
        <w:overflowPunct w:val="0"/>
        <w:autoSpaceDE w:val="0"/>
        <w:spacing w:after="0" w:line="600" w:lineRule="exact"/>
        <w:ind w:firstLine="720" w:firstLineChars="200"/>
        <w:rPr>
          <w:rFonts w:ascii="Times New Roman" w:hAnsi="Times New Roman" w:eastAsia="仿宋_GB2312"/>
          <w:color w:val="000000"/>
          <w:sz w:val="36"/>
          <w:szCs w:val="36"/>
        </w:rPr>
      </w:pPr>
      <w:r>
        <w:rPr>
          <w:rFonts w:ascii="Times New Roman" w:hAnsi="Times New Roman" w:eastAsia="仿宋_GB2312"/>
          <w:color w:val="000000"/>
          <w:sz w:val="36"/>
          <w:szCs w:val="36"/>
        </w:rPr>
        <w:t>促进核心技术产业化，加快突破关键核心技术。加快聚丙烯粒子改性、改性聚丙烯成膜、耐高温SPS电容薄膜成膜、复合材料附着、高频电流均匀分布电容器制造、超级电容器模组生产等关键核心技术的突破。</w:t>
      </w:r>
    </w:p>
    <w:p>
      <w:pPr>
        <w:overflowPunct w:val="0"/>
        <w:autoSpaceDE w:val="0"/>
        <w:spacing w:line="600" w:lineRule="exact"/>
        <w:ind w:firstLine="640"/>
        <w:rPr>
          <w:rFonts w:ascii="Times New Roman" w:hAnsi="Times New Roman"/>
          <w:color w:val="000000"/>
        </w:rPr>
      </w:pPr>
    </w:p>
    <w:tbl>
      <w:tblPr>
        <w:tblStyle w:val="30"/>
        <w:tblW w:w="8917" w:type="dxa"/>
        <w:jc w:val="center"/>
        <w:tblLayout w:type="fixed"/>
        <w:tblCellMar>
          <w:top w:w="15" w:type="dxa"/>
          <w:left w:w="15" w:type="dxa"/>
          <w:bottom w:w="15" w:type="dxa"/>
          <w:right w:w="15" w:type="dxa"/>
        </w:tblCellMar>
      </w:tblPr>
      <w:tblGrid>
        <w:gridCol w:w="8917"/>
      </w:tblGrid>
      <w:tr>
        <w:tblPrEx>
          <w:tblCellMar>
            <w:top w:w="15" w:type="dxa"/>
            <w:left w:w="15" w:type="dxa"/>
            <w:bottom w:w="15" w:type="dxa"/>
            <w:right w:w="15" w:type="dxa"/>
          </w:tblCellMar>
        </w:tblPrEx>
        <w:trPr>
          <w:trHeight w:val="421" w:hRule="atLeast"/>
          <w:jc w:val="center"/>
        </w:trPr>
        <w:tc>
          <w:tcPr>
            <w:tcW w:w="8917"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adjustRightInd w:val="0"/>
              <w:snapToGrid w:val="0"/>
              <w:ind w:firstLine="600"/>
              <w:jc w:val="center"/>
              <w:rPr>
                <w:rFonts w:ascii="Times New Roman" w:hAnsi="Times New Roman" w:eastAsia="Heiti SC Medium"/>
                <w:color w:val="000000"/>
                <w:sz w:val="24"/>
              </w:rPr>
            </w:pPr>
            <w:r>
              <w:rPr>
                <w:rFonts w:ascii="Times New Roman" w:hAnsi="Times New Roman" w:eastAsia="黑体"/>
                <w:color w:val="000000"/>
                <w:sz w:val="30"/>
                <w:szCs w:val="30"/>
              </w:rPr>
              <w:t>专栏4：</w:t>
            </w:r>
            <w:r>
              <w:rPr>
                <w:rFonts w:hint="eastAsia" w:ascii="Times New Roman" w:hAnsi="Times New Roman" w:eastAsia="黑体"/>
                <w:color w:val="000000"/>
                <w:sz w:val="30"/>
                <w:szCs w:val="30"/>
              </w:rPr>
              <w:t>新一代电子信息技术产业</w:t>
            </w:r>
            <w:r>
              <w:rPr>
                <w:rFonts w:ascii="Times New Roman" w:hAnsi="Times New Roman" w:eastAsia="黑体"/>
                <w:color w:val="000000"/>
                <w:sz w:val="30"/>
                <w:szCs w:val="30"/>
              </w:rPr>
              <w:t>重点项目</w:t>
            </w:r>
          </w:p>
        </w:tc>
      </w:tr>
      <w:tr>
        <w:tblPrEx>
          <w:tblCellMar>
            <w:top w:w="15" w:type="dxa"/>
            <w:left w:w="15" w:type="dxa"/>
            <w:bottom w:w="15" w:type="dxa"/>
            <w:right w:w="15" w:type="dxa"/>
          </w:tblCellMar>
        </w:tblPrEx>
        <w:trPr>
          <w:trHeight w:val="431" w:hRule="atLeast"/>
          <w:jc w:val="center"/>
        </w:trPr>
        <w:tc>
          <w:tcPr>
            <w:tcW w:w="8917" w:type="dxa"/>
            <w:tcBorders>
              <w:top w:val="single" w:color="auto" w:sz="4" w:space="0"/>
              <w:left w:val="single" w:color="auto" w:sz="4" w:space="0"/>
              <w:bottom w:val="single" w:color="auto" w:sz="4" w:space="0"/>
              <w:right w:val="single" w:color="auto" w:sz="4" w:space="0"/>
            </w:tcBorders>
            <w:noWrap/>
            <w:vAlign w:val="center"/>
          </w:tcPr>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集成电路封测关键装备与工业智能装备研发及产业化项目：</w:t>
            </w:r>
            <w:r>
              <w:rPr>
                <w:rFonts w:ascii="Times New Roman" w:hAnsi="Times New Roman" w:eastAsia="仿宋_GB2312"/>
                <w:color w:val="000000"/>
                <w:sz w:val="24"/>
              </w:rPr>
              <w:t>项目总投资2亿元，建筑面积2.7万平方米，购置并研发自动封装系统、自动换管冲切成型系统，新建自动封装系统生产线，年产70台（套）自动封装成套系统装备。</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植入式芯片的活体实验及产业化：</w:t>
            </w:r>
            <w:r>
              <w:rPr>
                <w:rFonts w:ascii="Times New Roman" w:hAnsi="Times New Roman" w:eastAsia="仿宋_GB2312"/>
                <w:color w:val="000000"/>
                <w:sz w:val="24"/>
              </w:rPr>
              <w:t>项目总投资1.2亿元，拟在铜陵选址研发生产厂房及动物养殖基地，进行植入式芯片的活体实验及产业化，建设年产100万颗植入式产品生产线及配套。</w:t>
            </w:r>
          </w:p>
          <w:p>
            <w:pPr>
              <w:pStyle w:val="10"/>
              <w:overflowPunct w:val="0"/>
              <w:autoSpaceDE w:val="0"/>
              <w:spacing w:after="0"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晖闪数码科技项目：</w:t>
            </w:r>
            <w:r>
              <w:rPr>
                <w:rFonts w:ascii="Times New Roman" w:hAnsi="Times New Roman" w:eastAsia="仿宋_GB2312"/>
                <w:color w:val="000000"/>
                <w:sz w:val="24"/>
              </w:rPr>
              <w:t>总投资5.1亿元，项目地点在狮子山高新区，计划用地约150亩，项目总投资估算为5.1亿元，计划分三期建设：一期建设数码印花设备与热转印墨水智能化基地项目，数码印花技术研发中心建设项目；二期建设年产6000吨着色材料商品化项目；三期建设数码印花设备和热转印墨水产能提升项目。</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蓝盾光电子项目：</w:t>
            </w:r>
            <w:r>
              <w:rPr>
                <w:rFonts w:ascii="Times New Roman" w:hAnsi="Times New Roman" w:eastAsia="仿宋_GB2312"/>
                <w:color w:val="000000"/>
                <w:sz w:val="24"/>
              </w:rPr>
              <w:t>总投资2.1亿元，拟在铜陵市石城路电子工业区开展蓝盾研发中心及监测仪器生产基地建设项目，项目占地面积约10亩，建设内容包括新建研发中心及生产装配大楼，并在生产装配大楼中配备国家重大科学仪器专项“高性能傅立叶变换红外光谱分析仪器开发和应用”和“水质自动监测系统设备生产线”两条新产业化生产线。</w:t>
            </w:r>
          </w:p>
          <w:p>
            <w:pPr>
              <w:pStyle w:val="10"/>
              <w:overflowPunct w:val="0"/>
              <w:autoSpaceDE w:val="0"/>
              <w:spacing w:after="0" w:line="560" w:lineRule="exact"/>
              <w:ind w:firstLine="482"/>
              <w:rPr>
                <w:rFonts w:ascii="Times New Roman" w:hAnsi="Times New Roman" w:eastAsia="仿宋_GB2312"/>
                <w:color w:val="000000"/>
                <w:sz w:val="24"/>
                <w:highlight w:val="yellow"/>
              </w:rPr>
            </w:pPr>
            <w:r>
              <w:rPr>
                <w:rFonts w:hint="eastAsia" w:ascii="Times New Roman" w:hAnsi="Times New Roman" w:eastAsia="仿宋_GB2312"/>
                <w:b/>
                <w:color w:val="000000"/>
                <w:sz w:val="24"/>
              </w:rPr>
              <w:t>薄膜电容产业园</w:t>
            </w:r>
            <w:r>
              <w:rPr>
                <w:rFonts w:ascii="Times New Roman" w:hAnsi="Times New Roman" w:eastAsia="仿宋_GB2312"/>
                <w:b/>
                <w:color w:val="000000"/>
                <w:sz w:val="24"/>
              </w:rPr>
              <w:t>：</w:t>
            </w:r>
            <w:r>
              <w:rPr>
                <w:rFonts w:ascii="Times New Roman" w:hAnsi="Times New Roman" w:eastAsia="仿宋_GB2312"/>
                <w:color w:val="000000"/>
                <w:sz w:val="24"/>
              </w:rPr>
              <w:t>总投资</w:t>
            </w:r>
            <w:r>
              <w:rPr>
                <w:rFonts w:hint="eastAsia" w:ascii="Times New Roman" w:hAnsi="Times New Roman" w:eastAsia="仿宋_GB2312"/>
                <w:color w:val="000000"/>
                <w:sz w:val="24"/>
              </w:rPr>
              <w:t>20</w:t>
            </w:r>
            <w:r>
              <w:rPr>
                <w:rFonts w:ascii="Times New Roman" w:hAnsi="Times New Roman" w:eastAsia="仿宋_GB2312"/>
                <w:color w:val="000000"/>
                <w:sz w:val="24"/>
              </w:rPr>
              <w:t>亿元，</w:t>
            </w:r>
            <w:r>
              <w:rPr>
                <w:rFonts w:hint="eastAsia" w:ascii="Times New Roman" w:hAnsi="Times New Roman" w:eastAsia="仿宋_GB2312"/>
                <w:color w:val="000000"/>
                <w:sz w:val="24"/>
              </w:rPr>
              <w:t>通过盘活原中熹科技产业园，新招引20家薄膜电容企业集聚。</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赛福电子电容薄膜扩建项目：</w:t>
            </w:r>
            <w:r>
              <w:rPr>
                <w:rFonts w:ascii="Times New Roman" w:hAnsi="Times New Roman" w:eastAsia="仿宋_GB2312"/>
                <w:color w:val="000000"/>
                <w:sz w:val="24"/>
              </w:rPr>
              <w:t>总投资2亿元，搬迁原有生产线并新购部分设备，建设高端金属薄膜电容扩建。</w:t>
            </w:r>
          </w:p>
          <w:p>
            <w:pPr>
              <w:overflowPunct w:val="0"/>
              <w:autoSpaceDE w:val="0"/>
              <w:adjustRightInd w:val="0"/>
              <w:snapToGrid w:val="0"/>
              <w:spacing w:line="56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智能检测仪器装备产业园项目：</w:t>
            </w:r>
            <w:r>
              <w:rPr>
                <w:rFonts w:ascii="Times New Roman" w:hAnsi="Times New Roman" w:eastAsia="仿宋_GB2312"/>
                <w:bCs/>
                <w:color w:val="000000"/>
                <w:sz w:val="24"/>
              </w:rPr>
              <w:t>项目投资6亿元，拟建设智能交通设备、环保及空气检测设备产业园。</w:t>
            </w:r>
          </w:p>
          <w:p>
            <w:pPr>
              <w:overflowPunct w:val="0"/>
              <w:autoSpaceDE w:val="0"/>
              <w:adjustRightInd w:val="0"/>
              <w:snapToGrid w:val="0"/>
              <w:spacing w:line="56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5G基础元器件产业园构建项目：</w:t>
            </w:r>
            <w:r>
              <w:rPr>
                <w:rFonts w:ascii="Times New Roman" w:hAnsi="Times New Roman" w:eastAsia="仿宋_GB2312"/>
                <w:bCs/>
                <w:color w:val="000000"/>
                <w:sz w:val="24"/>
              </w:rPr>
              <w:t>项目总投资20亿元，引进5G小基站、射频器件、模组、光模块等企业落户。</w:t>
            </w:r>
          </w:p>
          <w:p>
            <w:pPr>
              <w:overflowPunct w:val="0"/>
              <w:autoSpaceDE w:val="0"/>
              <w:adjustRightInd w:val="0"/>
              <w:snapToGrid w:val="0"/>
              <w:spacing w:line="560" w:lineRule="exact"/>
              <w:ind w:firstLine="482"/>
              <w:rPr>
                <w:rFonts w:ascii="Times New Roman" w:hAnsi="Times New Roman" w:eastAsia="仿宋_GB2312"/>
                <w:bCs/>
                <w:color w:val="000000"/>
                <w:sz w:val="24"/>
              </w:rPr>
            </w:pPr>
            <w:r>
              <w:rPr>
                <w:rFonts w:hint="eastAsia" w:ascii="Times New Roman" w:hAnsi="Times New Roman" w:eastAsia="仿宋_GB2312"/>
                <w:b/>
                <w:color w:val="000000"/>
                <w:sz w:val="24"/>
              </w:rPr>
              <w:t>年产50万台新能源电容器：</w:t>
            </w:r>
            <w:r>
              <w:rPr>
                <w:rFonts w:ascii="Times New Roman" w:hAnsi="Times New Roman" w:eastAsia="仿宋_GB2312"/>
                <w:bCs/>
                <w:color w:val="000000"/>
                <w:sz w:val="24"/>
              </w:rPr>
              <w:t>凯瑞特电子购置</w:t>
            </w:r>
            <w:r>
              <w:rPr>
                <w:rFonts w:hint="eastAsia" w:ascii="Times New Roman" w:hAnsi="Times New Roman" w:eastAsia="仿宋_GB2312"/>
                <w:bCs/>
                <w:color w:val="000000"/>
                <w:sz w:val="24"/>
              </w:rPr>
              <w:t>自动化电容制造产线设备，建设完善配套设备及辅助设施，建设年产50万台新能源电容器制造产线。</w:t>
            </w:r>
          </w:p>
          <w:p>
            <w:pPr>
              <w:overflowPunct w:val="0"/>
              <w:autoSpaceDE w:val="0"/>
              <w:adjustRightInd w:val="0"/>
              <w:snapToGrid w:val="0"/>
              <w:spacing w:line="56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蚀刻封装用集成电路引线框架研发及产业化项目：</w:t>
            </w:r>
            <w:r>
              <w:rPr>
                <w:rFonts w:ascii="Times New Roman" w:hAnsi="Times New Roman" w:eastAsia="仿宋_GB2312"/>
                <w:bCs/>
                <w:color w:val="000000"/>
                <w:sz w:val="24"/>
              </w:rPr>
              <w:t>引进先进蚀刻法IC引线框架生产技术，建设高引脚数IC引线框架生产线2条，并购置自动检测相关设备。</w:t>
            </w:r>
          </w:p>
          <w:p>
            <w:pPr>
              <w:overflowPunct w:val="0"/>
              <w:autoSpaceDE w:val="0"/>
              <w:adjustRightInd w:val="0"/>
              <w:snapToGrid w:val="0"/>
              <w:spacing w:line="560" w:lineRule="exact"/>
              <w:ind w:firstLine="482"/>
              <w:rPr>
                <w:rFonts w:ascii="Times New Roman" w:hAnsi="Times New Roman" w:eastAsia="仿宋_GB2312"/>
                <w:bCs/>
                <w:color w:val="000000"/>
                <w:sz w:val="24"/>
              </w:rPr>
            </w:pPr>
            <w:r>
              <w:rPr>
                <w:rFonts w:hint="eastAsia" w:ascii="Times New Roman" w:hAnsi="Times New Roman" w:eastAsia="仿宋_GB2312"/>
                <w:b/>
                <w:color w:val="000000"/>
                <w:sz w:val="24"/>
              </w:rPr>
              <w:t>年产2600吨特种金属化镀膜以及精密分切项目：</w:t>
            </w:r>
            <w:r>
              <w:rPr>
                <w:rFonts w:ascii="Times New Roman" w:hAnsi="Times New Roman" w:eastAsia="仿宋_GB2312"/>
                <w:bCs/>
                <w:color w:val="000000"/>
                <w:sz w:val="24"/>
              </w:rPr>
              <w:t>诚峰电子</w:t>
            </w:r>
            <w:r>
              <w:rPr>
                <w:rFonts w:hint="eastAsia" w:ascii="Times New Roman" w:hAnsi="Times New Roman" w:eastAsia="仿宋_GB2312"/>
                <w:bCs/>
                <w:color w:val="000000"/>
                <w:sz w:val="24"/>
              </w:rPr>
              <w:t>投资1.5亿元，拟租赁中熹科技10#厂房，引入广东佛山欣源合作共建膜分切产线，配套园区内赛福电子。</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铜创电子耐高温智能金属化薄膜项目：</w:t>
            </w:r>
            <w:r>
              <w:rPr>
                <w:rFonts w:ascii="Times New Roman" w:hAnsi="Times New Roman" w:eastAsia="仿宋_GB2312"/>
                <w:color w:val="000000"/>
                <w:sz w:val="24"/>
              </w:rPr>
              <w:t>形成年产3000吨智能化金属化薄膜规模。</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蓝科电子LED封装项目：</w:t>
            </w:r>
            <w:r>
              <w:rPr>
                <w:rFonts w:ascii="Times New Roman" w:hAnsi="Times New Roman" w:eastAsia="仿宋_GB2312"/>
                <w:color w:val="000000"/>
                <w:sz w:val="24"/>
              </w:rPr>
              <w:t>总投资9亿元，建设LED装备、封装、测试生产基地。</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蓝盾光电子激光雷达生产基地项目：</w:t>
            </w:r>
            <w:r>
              <w:rPr>
                <w:rFonts w:ascii="Times New Roman" w:hAnsi="Times New Roman" w:eastAsia="仿宋_GB2312"/>
                <w:color w:val="000000"/>
                <w:sz w:val="24"/>
              </w:rPr>
              <w:t>总投资5亿元，新建建设激光雷达生产基地。</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国动集团5G基建及通信产业园项目：</w:t>
            </w:r>
            <w:r>
              <w:rPr>
                <w:rFonts w:ascii="Times New Roman" w:hAnsi="Times New Roman" w:eastAsia="仿宋_GB2312"/>
                <w:color w:val="000000"/>
                <w:sz w:val="24"/>
              </w:rPr>
              <w:t>总投资1.2亿元，市建投、发投参股，项目占地55亩，拟合作建设5G基站及5G通讯设备产业园。</w:t>
            </w:r>
          </w:p>
          <w:p>
            <w:pPr>
              <w:pStyle w:val="10"/>
              <w:overflowPunct w:val="0"/>
              <w:autoSpaceDE w:val="0"/>
              <w:spacing w:after="0" w:line="560" w:lineRule="exact"/>
              <w:ind w:firstLine="482"/>
              <w:rPr>
                <w:rFonts w:ascii="Times New Roman" w:hAnsi="Times New Roman" w:eastAsia="仿宋_GB2312"/>
                <w:color w:val="000000"/>
                <w:sz w:val="24"/>
              </w:rPr>
            </w:pPr>
            <w:r>
              <w:rPr>
                <w:rFonts w:ascii="Times New Roman" w:hAnsi="Times New Roman" w:eastAsia="仿宋_GB2312"/>
                <w:b/>
                <w:color w:val="000000"/>
                <w:sz w:val="24"/>
              </w:rPr>
              <w:t>苏州巨目光学全自动电脑验光仪项目：</w:t>
            </w:r>
            <w:r>
              <w:rPr>
                <w:rFonts w:ascii="Times New Roman" w:hAnsi="Times New Roman" w:eastAsia="仿宋_GB2312"/>
                <w:color w:val="000000"/>
                <w:sz w:val="24"/>
              </w:rPr>
              <w:t>总投资1.5亿元，建设国内领先、国际一流的新一代全自动电脑验光仪、焦度计、三维全自动磨边机等产品，研发并生产第二代产品。</w:t>
            </w:r>
          </w:p>
          <w:p>
            <w:pPr>
              <w:pStyle w:val="10"/>
              <w:overflowPunct w:val="0"/>
              <w:autoSpaceDE w:val="0"/>
              <w:spacing w:after="0" w:line="560" w:lineRule="exact"/>
              <w:ind w:firstLine="482"/>
              <w:rPr>
                <w:rFonts w:ascii="Times New Roman" w:hAnsi="Times New Roman" w:eastAsia="仿宋_GB2312"/>
                <w:b/>
                <w:color w:val="000000"/>
                <w:sz w:val="24"/>
              </w:rPr>
            </w:pPr>
            <w:r>
              <w:rPr>
                <w:rFonts w:hint="eastAsia" w:ascii="Times New Roman" w:hAnsi="Times New Roman" w:eastAsia="仿宋_GB2312"/>
                <w:b/>
                <w:color w:val="000000"/>
                <w:sz w:val="24"/>
              </w:rPr>
              <w:t>年产3亿只超小型金属化薄膜电容器及250万只新能源电容器项目：</w:t>
            </w:r>
            <w:r>
              <w:rPr>
                <w:rFonts w:hint="eastAsia" w:ascii="Times New Roman" w:hAnsi="Times New Roman" w:eastAsia="仿宋_GB2312"/>
                <w:color w:val="000000"/>
                <w:sz w:val="24"/>
              </w:rPr>
              <w:t>中山西帝电子投资1.5亿元，</w:t>
            </w:r>
            <w:r>
              <w:rPr>
                <w:rFonts w:ascii="Times New Roman" w:hAnsi="Times New Roman" w:eastAsia="仿宋_GB2312"/>
                <w:color w:val="000000"/>
                <w:sz w:val="24"/>
              </w:rPr>
              <w:t>新增自动化卷绕机76台、喷金机2套、三合一组装机9台、分选机8台、超小型焊接套壳烘烤机6台，</w:t>
            </w:r>
            <w:r>
              <w:rPr>
                <w:rFonts w:hint="eastAsia" w:ascii="Times New Roman" w:hAnsi="Times New Roman" w:eastAsia="仿宋_GB2312"/>
                <w:color w:val="000000"/>
                <w:sz w:val="24"/>
              </w:rPr>
              <w:t>配套</w:t>
            </w:r>
            <w:r>
              <w:rPr>
                <w:rFonts w:ascii="Times New Roman" w:hAnsi="Times New Roman" w:eastAsia="仿宋_GB2312"/>
                <w:color w:val="000000"/>
                <w:sz w:val="24"/>
              </w:rPr>
              <w:t>辅助设备和电力配套</w:t>
            </w:r>
            <w:r>
              <w:rPr>
                <w:rFonts w:hint="eastAsia" w:ascii="Times New Roman" w:hAnsi="Times New Roman" w:eastAsia="仿宋_GB2312"/>
                <w:color w:val="000000"/>
                <w:sz w:val="24"/>
              </w:rPr>
              <w:t>设施，建设年产1.5亿只超小型金属化薄膜电容器、1.5亿只安规型电容器及250万只新能源电容器产线。</w:t>
            </w:r>
          </w:p>
          <w:p>
            <w:pPr>
              <w:pStyle w:val="10"/>
              <w:overflowPunct w:val="0"/>
              <w:autoSpaceDE w:val="0"/>
              <w:spacing w:after="0" w:line="560" w:lineRule="exact"/>
              <w:ind w:firstLine="480"/>
              <w:rPr>
                <w:rFonts w:ascii="Times New Roman" w:hAnsi="Times New Roman" w:eastAsia="宋体"/>
                <w:color w:val="000000"/>
                <w:sz w:val="24"/>
              </w:rPr>
            </w:pPr>
          </w:p>
        </w:tc>
      </w:tr>
    </w:tbl>
    <w:p>
      <w:pPr>
        <w:pStyle w:val="4"/>
        <w:keepNext w:val="0"/>
        <w:keepLines w:val="0"/>
        <w:overflowPunct w:val="0"/>
        <w:autoSpaceDE w:val="0"/>
        <w:spacing w:line="600" w:lineRule="exact"/>
        <w:jc w:val="center"/>
        <w:rPr>
          <w:rFonts w:ascii="Times New Roman" w:hAnsi="Times New Roman"/>
          <w:b w:val="0"/>
          <w:bCs/>
          <w:color w:val="000000"/>
        </w:rPr>
      </w:pPr>
      <w:bookmarkStart w:id="74" w:name="_Toc19913"/>
      <w:bookmarkStart w:id="75" w:name="_Toc90645423"/>
      <w:r>
        <w:rPr>
          <w:rFonts w:hint="eastAsia" w:ascii="Times New Roman" w:hAnsi="Times New Roman"/>
          <w:b w:val="0"/>
          <w:bCs/>
          <w:color w:val="000000"/>
        </w:rPr>
        <w:t xml:space="preserve">第四节  </w:t>
      </w:r>
      <w:bookmarkEnd w:id="74"/>
      <w:r>
        <w:rPr>
          <w:rFonts w:hint="eastAsia" w:ascii="Times New Roman" w:hAnsi="Times New Roman"/>
          <w:b w:val="0"/>
          <w:bCs/>
          <w:color w:val="000000"/>
        </w:rPr>
        <w:t>化工新材料产业</w:t>
      </w:r>
      <w:bookmarkEnd w:id="75"/>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四五”期间，以构建国内国际双循环新发展格局为契机，发挥强大国内市场优势，依托六国化工、安纳达、瑞莱科技、中科铜都粉体、清华科技、纳源科技、千衍科技等骨干企业，加快推进高端化学品进口替代，以高端型、高功能性、环境友好为发展方向，重点发展精细化工产业，延长精细化工产业链，努力迈向价值链高端，着力打造特色鲜明的新型绿色精细化工产业集聚区。力争到2025年底，精细化工产业产值达到</w:t>
      </w:r>
      <w:r>
        <w:rPr>
          <w:rFonts w:hint="eastAsia" w:ascii="Times New Roman" w:hAnsi="Times New Roman" w:eastAsia="仿宋_GB2312"/>
          <w:color w:val="000000"/>
          <w:sz w:val="32"/>
        </w:rPr>
        <w:t>30</w:t>
      </w:r>
      <w:r>
        <w:rPr>
          <w:rFonts w:ascii="Times New Roman" w:hAnsi="Times New Roman" w:eastAsia="仿宋_GB2312"/>
          <w:color w:val="000000"/>
          <w:sz w:val="32"/>
        </w:rPr>
        <w:t>0亿元。</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涂料产业。</w:t>
      </w:r>
      <w:r>
        <w:rPr>
          <w:rFonts w:ascii="Times New Roman" w:hAnsi="Times New Roman" w:eastAsia="仿宋_GB2312"/>
          <w:color w:val="000000"/>
          <w:sz w:val="32"/>
        </w:rPr>
        <w:t>鼓励氯化法钛白粉扩大产能，重点发展金红石型钛白粉，向下游涂料产业延伸发展，以环保节能涂料为主要发展方向，向水性涂料、辐射固化涂料等环保化、多功能化产品方向转变，实现新旧产能替代。鼓励发展水性木器、工业、船舶用涂料，高固体分、无溶剂、辐射固化涂料，低VOCs含量的环境友好、资源节约型涂料，用于大飞机、高铁等重点领域的高性能防腐涂料生产。鼓励涂料企业加强上下游产业链延伸整合，加强品牌建设，增强科技创新和技术研发能力，做大涂料企业规模。</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染（颜）料行业。</w:t>
      </w:r>
      <w:r>
        <w:rPr>
          <w:rFonts w:ascii="Times New Roman" w:hAnsi="Times New Roman" w:eastAsia="仿宋_GB2312"/>
          <w:color w:val="000000"/>
          <w:sz w:val="32"/>
        </w:rPr>
        <w:t>优化染（颜）料生产全过程，避免和有效削减污染物的产生和排放。积极开发适应新需求的产品，实现由通用型向专用型转变，重点发展满足特种工程塑料等高端产品需求的染颜料产品；适用于具有阻隔有害物质和病菌的纺织品，高阻燃、防火纺织品要求的染颜料产品；适用于超临界染色用染料、生命体标识用染料、暂溶性染料；适用于交通运输、生命科学、电子化学品、新能源用化学品领域的高光通量、高颜色饱和值、高工程化颜料品种。传统氧化铁颜料重点发展易分散、超微细化、颗粒表面活性处理、耐高温、高纯度、环保无毒等深加工产品。此外，积极培育铜基颜料、珠光颜料、环保型彩色混相无机颜料（MMO）颜料、云母氧化铁灰等特种颜料。</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新能源电池关键材料。</w:t>
      </w:r>
      <w:r>
        <w:rPr>
          <w:rFonts w:ascii="Times New Roman" w:hAnsi="Times New Roman" w:eastAsia="仿宋_GB2312"/>
          <w:color w:val="000000"/>
          <w:sz w:val="32"/>
        </w:rPr>
        <w:t>以磷酸铁为原料重点发展磷酸铁锂新能源电池关键材料。瞄准新能源汽车、5G基站储能、电动船舶、电动工具、共享换电等应用领域，积极承接布局上下游产业，推动新能源产业集聚集群发展。</w:t>
      </w:r>
    </w:p>
    <w:p>
      <w:pPr>
        <w:overflowPunct w:val="0"/>
        <w:autoSpaceDE w:val="0"/>
        <w:spacing w:line="600" w:lineRule="exact"/>
        <w:ind w:firstLine="643" w:firstLineChars="200"/>
        <w:rPr>
          <w:rFonts w:ascii="Times New Roman" w:hAnsi="Times New Roman"/>
          <w:color w:val="000000"/>
        </w:rPr>
      </w:pPr>
      <w:r>
        <w:rPr>
          <w:rFonts w:ascii="Times New Roman" w:hAnsi="Times New Roman" w:eastAsia="楷体_GB2312"/>
          <w:b/>
          <w:bCs/>
          <w:color w:val="000000"/>
          <w:sz w:val="32"/>
        </w:rPr>
        <w:t>膜溶剂和消毒液产业。</w:t>
      </w:r>
      <w:r>
        <w:rPr>
          <w:rFonts w:ascii="Times New Roman" w:hAnsi="Times New Roman" w:eastAsia="仿宋_GB2312"/>
          <w:color w:val="000000"/>
          <w:sz w:val="32"/>
        </w:rPr>
        <w:t>深耕异佛尔酮产业链，延伸生产3，3，5-三甲基环己酮(TMC)、对氯间二甲苯酚（PCMX）、二氯间甲酚(DCMX)等化工原料，并向下游延伸发展膜溶剂和消毒液产业，延伸产业链，提高产品附加值。</w:t>
      </w:r>
    </w:p>
    <w:tbl>
      <w:tblPr>
        <w:tblStyle w:val="30"/>
        <w:tblW w:w="8757" w:type="dxa"/>
        <w:jc w:val="center"/>
        <w:tblLayout w:type="fixed"/>
        <w:tblCellMar>
          <w:top w:w="15" w:type="dxa"/>
          <w:left w:w="15" w:type="dxa"/>
          <w:bottom w:w="15" w:type="dxa"/>
          <w:right w:w="15" w:type="dxa"/>
        </w:tblCellMar>
      </w:tblPr>
      <w:tblGrid>
        <w:gridCol w:w="8757"/>
      </w:tblGrid>
      <w:tr>
        <w:tblPrEx>
          <w:tblCellMar>
            <w:top w:w="15" w:type="dxa"/>
            <w:left w:w="15" w:type="dxa"/>
            <w:bottom w:w="15" w:type="dxa"/>
            <w:right w:w="15" w:type="dxa"/>
          </w:tblCellMar>
        </w:tblPrEx>
        <w:trPr>
          <w:trHeight w:val="570" w:hRule="atLeast"/>
          <w:jc w:val="center"/>
        </w:trPr>
        <w:tc>
          <w:tcPr>
            <w:tcW w:w="8757"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ind w:firstLine="600"/>
              <w:jc w:val="center"/>
              <w:textAlignment w:val="center"/>
              <w:rPr>
                <w:rFonts w:ascii="Times New Roman" w:hAnsi="Times New Roman" w:eastAsia="Heiti SC Medium"/>
                <w:color w:val="000000"/>
                <w:kern w:val="0"/>
                <w:sz w:val="24"/>
                <w:highlight w:val="yellow"/>
              </w:rPr>
            </w:pPr>
            <w:r>
              <w:rPr>
                <w:rFonts w:ascii="Times New Roman" w:hAnsi="Times New Roman" w:eastAsia="黑体"/>
                <w:color w:val="000000"/>
                <w:kern w:val="0"/>
                <w:sz w:val="30"/>
                <w:szCs w:val="30"/>
              </w:rPr>
              <w:t>专栏5：</w:t>
            </w:r>
            <w:r>
              <w:rPr>
                <w:rFonts w:hint="eastAsia" w:ascii="Times New Roman" w:hAnsi="Times New Roman" w:eastAsia="黑体"/>
                <w:color w:val="000000"/>
                <w:kern w:val="0"/>
                <w:sz w:val="30"/>
                <w:szCs w:val="30"/>
              </w:rPr>
              <w:t>化工新材料产业</w:t>
            </w:r>
            <w:r>
              <w:rPr>
                <w:rFonts w:ascii="Times New Roman" w:hAnsi="Times New Roman" w:eastAsia="黑体"/>
                <w:color w:val="000000"/>
                <w:kern w:val="0"/>
                <w:sz w:val="30"/>
                <w:szCs w:val="30"/>
              </w:rPr>
              <w:t>重点项目</w:t>
            </w:r>
          </w:p>
        </w:tc>
      </w:tr>
      <w:tr>
        <w:tblPrEx>
          <w:tblCellMar>
            <w:top w:w="15" w:type="dxa"/>
            <w:left w:w="15" w:type="dxa"/>
            <w:bottom w:w="15" w:type="dxa"/>
            <w:right w:w="15" w:type="dxa"/>
          </w:tblCellMar>
        </w:tblPrEx>
        <w:trPr>
          <w:trHeight w:val="684" w:hRule="atLeast"/>
          <w:jc w:val="center"/>
        </w:trPr>
        <w:tc>
          <w:tcPr>
            <w:tcW w:w="8757"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spacing w:line="480" w:lineRule="exact"/>
              <w:ind w:firstLine="482" w:firstLineChars="200"/>
              <w:textAlignment w:val="center"/>
              <w:rPr>
                <w:rFonts w:hint="eastAsia" w:ascii="Times New Roman" w:hAnsi="Times New Roman" w:eastAsia="仿宋_GB2312"/>
                <w:bCs/>
                <w:color w:val="000000"/>
                <w:sz w:val="24"/>
              </w:rPr>
            </w:pPr>
            <w:r>
              <w:rPr>
                <w:rFonts w:hint="eastAsia" w:ascii="Times New Roman" w:hAnsi="Times New Roman" w:eastAsia="仿宋_GB2312"/>
                <w:b/>
                <w:color w:val="000000"/>
                <w:sz w:val="24"/>
              </w:rPr>
              <w:t>铜化集团电池级磷酸铁一体化工程项目：</w:t>
            </w:r>
            <w:r>
              <w:rPr>
                <w:rFonts w:hint="eastAsia" w:ascii="Times New Roman" w:hAnsi="Times New Roman" w:eastAsia="仿宋_GB2312"/>
                <w:bCs/>
                <w:color w:val="000000"/>
                <w:sz w:val="24"/>
              </w:rPr>
              <w:t>项目总投资100亿元，在横港化工园区布局新能源材料产业基地，实现产业绿色化与循环化发展。</w:t>
            </w:r>
          </w:p>
          <w:p>
            <w:pPr>
              <w:overflowPunct w:val="0"/>
              <w:autoSpaceDE w:val="0"/>
              <w:spacing w:line="480" w:lineRule="exact"/>
              <w:ind w:firstLine="482" w:firstLineChars="200"/>
              <w:textAlignment w:val="center"/>
              <w:rPr>
                <w:rFonts w:ascii="Times New Roman" w:hAnsi="Times New Roman" w:eastAsia="仿宋_GB2312"/>
                <w:bCs/>
                <w:color w:val="000000"/>
                <w:sz w:val="24"/>
              </w:rPr>
            </w:pPr>
            <w:r>
              <w:rPr>
                <w:rFonts w:ascii="Times New Roman" w:hAnsi="Times New Roman" w:eastAsia="仿宋_GB2312"/>
                <w:b/>
                <w:color w:val="000000"/>
                <w:sz w:val="24"/>
              </w:rPr>
              <w:t>高端金红钛白粉及磷酸铁项目：</w:t>
            </w:r>
            <w:r>
              <w:rPr>
                <w:rFonts w:ascii="Times New Roman" w:hAnsi="Times New Roman" w:eastAsia="仿宋_GB2312"/>
                <w:bCs/>
                <w:color w:val="000000"/>
                <w:sz w:val="24"/>
              </w:rPr>
              <w:t>项目总投资5亿元，年产10万吨纳米磷酸铁生产线1条、年产5万吨高端金红钛白粉生产线1条。</w:t>
            </w:r>
          </w:p>
          <w:p>
            <w:pPr>
              <w:pStyle w:val="10"/>
              <w:overflowPunct w:val="0"/>
              <w:autoSpaceDE w:val="0"/>
              <w:spacing w:after="0" w:line="480" w:lineRule="exact"/>
              <w:ind w:firstLine="482" w:firstLineChars="200"/>
              <w:rPr>
                <w:rFonts w:ascii="Times New Roman" w:hAnsi="Times New Roman" w:eastAsia="仿宋_GB2312"/>
                <w:bCs/>
                <w:color w:val="000000"/>
                <w:sz w:val="24"/>
              </w:rPr>
            </w:pPr>
            <w:r>
              <w:rPr>
                <w:rFonts w:ascii="Times New Roman" w:hAnsi="Times New Roman" w:eastAsia="仿宋_GB2312"/>
                <w:b/>
                <w:bCs/>
                <w:color w:val="000000"/>
                <w:sz w:val="24"/>
              </w:rPr>
              <w:t>肥料磷酸提纯净化生产电池级专用磷酸技改：</w:t>
            </w:r>
            <w:r>
              <w:rPr>
                <w:rFonts w:ascii="Times New Roman" w:hAnsi="Times New Roman" w:eastAsia="仿宋_GB2312"/>
                <w:bCs/>
                <w:color w:val="000000"/>
                <w:sz w:val="24"/>
              </w:rPr>
              <w:t>项目总投资1.77亿元，在原址依托相关生产辅助车间，对肥料生产线工艺及其配套装置进行改建提升，将原有的肥料级磷酸（折纯五氧化二磷40万吨/年）中的部分肥料级磷酸（折纯五氧化二磷6.4万吨/年）进行萃取净化提纯，形成更高品质的20万吨/年44%电池级磷酸，同时削减复合肥装置产能10万吨/年。</w:t>
            </w:r>
          </w:p>
          <w:p>
            <w:pPr>
              <w:pStyle w:val="10"/>
              <w:overflowPunct w:val="0"/>
              <w:autoSpaceDE w:val="0"/>
              <w:spacing w:after="0" w:line="480" w:lineRule="exact"/>
              <w:ind w:firstLine="482" w:firstLineChars="200"/>
              <w:rPr>
                <w:rFonts w:ascii="Times New Roman" w:hAnsi="Times New Roman" w:eastAsia="仿宋_GB2312"/>
                <w:bCs/>
                <w:color w:val="000000"/>
                <w:sz w:val="24"/>
              </w:rPr>
            </w:pPr>
            <w:r>
              <w:rPr>
                <w:rFonts w:ascii="Times New Roman" w:hAnsi="Times New Roman" w:eastAsia="仿宋_GB2312"/>
                <w:b/>
                <w:bCs/>
                <w:color w:val="000000"/>
                <w:sz w:val="24"/>
              </w:rPr>
              <w:t>安纳达钛业项目：</w:t>
            </w:r>
            <w:r>
              <w:rPr>
                <w:rFonts w:ascii="Times New Roman" w:hAnsi="Times New Roman" w:eastAsia="仿宋_GB2312"/>
                <w:bCs/>
                <w:color w:val="000000"/>
                <w:sz w:val="24"/>
              </w:rPr>
              <w:t>总投资2.56亿元，新建厂房8000平方米，新增表面处理罐，闪蒸干燥机、汽流粉碎机、高温袋滤器等主要设备，形成5万吨/年塑料专用金红石型钛白粉生产能力及4万立方米/小时尾气处理能力。</w:t>
            </w:r>
          </w:p>
          <w:p>
            <w:pPr>
              <w:pStyle w:val="10"/>
              <w:overflowPunct w:val="0"/>
              <w:autoSpaceDE w:val="0"/>
              <w:spacing w:after="0" w:line="48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纳源材料科技项目：</w:t>
            </w:r>
            <w:r>
              <w:rPr>
                <w:rFonts w:ascii="Times New Roman" w:hAnsi="Times New Roman" w:eastAsia="仿宋_GB2312"/>
                <w:color w:val="000000"/>
                <w:sz w:val="24"/>
              </w:rPr>
              <w:t>总投资2.52亿元，总占地面积15亩，拟用清华科技场地，改造提升原有生产线，形成年产10万吨高压实磷酸铁生产能力。</w:t>
            </w:r>
          </w:p>
          <w:p>
            <w:pPr>
              <w:overflowPunct w:val="0"/>
              <w:autoSpaceDE w:val="0"/>
              <w:spacing w:line="480" w:lineRule="exact"/>
              <w:ind w:firstLine="482" w:firstLineChars="200"/>
              <w:textAlignment w:val="center"/>
              <w:rPr>
                <w:rFonts w:ascii="Times New Roman" w:hAnsi="Times New Roman" w:eastAsia="仿宋_GB2312"/>
                <w:color w:val="000000"/>
                <w:sz w:val="24"/>
              </w:rPr>
            </w:pPr>
            <w:r>
              <w:rPr>
                <w:rFonts w:ascii="Times New Roman" w:hAnsi="Times New Roman" w:eastAsia="仿宋_GB2312"/>
                <w:b/>
                <w:bCs/>
                <w:color w:val="000000"/>
                <w:sz w:val="24"/>
              </w:rPr>
              <w:t>中节能废副硫酸亚铁综合利用项目</w:t>
            </w:r>
            <w:r>
              <w:rPr>
                <w:rFonts w:ascii="Times New Roman" w:hAnsi="Times New Roman" w:eastAsia="仿宋_GB2312"/>
                <w:color w:val="000000"/>
                <w:sz w:val="24"/>
              </w:rPr>
              <w:t>：项目总投资6亿元，利用钛白粉行业废弃物废副硫酸亚铁为主要原料，建设混酸法氧化铁红、氧化铁黄及高纯级氧化铁生产装置。</w:t>
            </w:r>
          </w:p>
          <w:p>
            <w:pPr>
              <w:pStyle w:val="10"/>
              <w:overflowPunct w:val="0"/>
              <w:autoSpaceDE w:val="0"/>
              <w:spacing w:after="0" w:line="480" w:lineRule="exact"/>
              <w:ind w:firstLine="482" w:firstLineChars="200"/>
              <w:rPr>
                <w:rFonts w:ascii="Times New Roman" w:hAnsi="Times New Roman" w:eastAsia="仿宋_GB2312"/>
                <w:bCs/>
                <w:color w:val="000000"/>
                <w:sz w:val="24"/>
              </w:rPr>
            </w:pPr>
            <w:r>
              <w:rPr>
                <w:rFonts w:ascii="Times New Roman" w:hAnsi="Times New Roman" w:eastAsia="仿宋_GB2312"/>
                <w:b/>
                <w:bCs/>
                <w:color w:val="000000"/>
                <w:sz w:val="24"/>
              </w:rPr>
              <w:t>瑞莱科技2万吨造粒工程项目：</w:t>
            </w:r>
            <w:r>
              <w:rPr>
                <w:rFonts w:ascii="Times New Roman" w:hAnsi="Times New Roman" w:eastAsia="仿宋_GB2312"/>
                <w:bCs/>
                <w:color w:val="000000"/>
                <w:sz w:val="24"/>
              </w:rPr>
              <w:t>总投资1.1亿元，对现有设备进行改造提升，新增年产2万吨造粒颜料。</w:t>
            </w:r>
          </w:p>
          <w:p>
            <w:pPr>
              <w:pStyle w:val="10"/>
              <w:overflowPunct w:val="0"/>
              <w:autoSpaceDE w:val="0"/>
              <w:spacing w:after="0" w:line="48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中节能废副硫酸亚铁综合利用项目：</w:t>
            </w:r>
            <w:r>
              <w:rPr>
                <w:rFonts w:ascii="Times New Roman" w:hAnsi="Times New Roman" w:eastAsia="仿宋_GB2312"/>
                <w:color w:val="000000"/>
                <w:sz w:val="24"/>
              </w:rPr>
              <w:t>总投资6亿元，利用钛白粉行业废弃物废副硫酸亚铁为主要原料，建设混酸法氧化铁红、氧化铁黄及高纯级氧化铁生产装置。</w:t>
            </w:r>
          </w:p>
          <w:p>
            <w:pPr>
              <w:pStyle w:val="10"/>
              <w:overflowPunct w:val="0"/>
              <w:autoSpaceDE w:val="0"/>
              <w:spacing w:after="0" w:line="480" w:lineRule="exact"/>
              <w:ind w:firstLine="482" w:firstLineChars="200"/>
              <w:rPr>
                <w:rFonts w:ascii="Times New Roman" w:hAnsi="Times New Roman" w:eastAsia="仿宋_GB2312"/>
                <w:color w:val="000000"/>
                <w:sz w:val="24"/>
              </w:rPr>
            </w:pPr>
            <w:r>
              <w:rPr>
                <w:rFonts w:ascii="Times New Roman" w:hAnsi="Times New Roman" w:eastAsia="仿宋_GB2312"/>
                <w:b/>
                <w:bCs/>
                <w:color w:val="000000"/>
                <w:sz w:val="24"/>
              </w:rPr>
              <w:t>六国化工年产10万吨碳酸二甲酯项目：</w:t>
            </w:r>
            <w:r>
              <w:rPr>
                <w:rFonts w:ascii="Times New Roman" w:hAnsi="Times New Roman" w:eastAsia="仿宋_GB2312"/>
                <w:color w:val="000000"/>
                <w:sz w:val="24"/>
              </w:rPr>
              <w:t>总投资8亿元，建设一套年产10万吨碳酸二甲酯的工业化装置。</w:t>
            </w:r>
          </w:p>
          <w:p>
            <w:pPr>
              <w:pStyle w:val="10"/>
              <w:overflowPunct w:val="0"/>
              <w:autoSpaceDE w:val="0"/>
              <w:spacing w:after="0" w:line="480" w:lineRule="exact"/>
              <w:ind w:firstLine="482" w:firstLineChars="200"/>
              <w:rPr>
                <w:rFonts w:ascii="Times New Roman" w:hAnsi="Times New Roman" w:eastAsia="仿宋_GB2312"/>
                <w:color w:val="000000"/>
                <w:sz w:val="24"/>
              </w:rPr>
            </w:pPr>
            <w:r>
              <w:rPr>
                <w:rFonts w:ascii="Times New Roman" w:hAnsi="Times New Roman" w:eastAsia="仿宋_GB2312"/>
                <w:b/>
                <w:bCs/>
                <w:color w:val="000000"/>
                <w:sz w:val="24"/>
              </w:rPr>
              <w:t>六国化工40万吨/年磷酸装置节能减排改造项目：</w:t>
            </w:r>
            <w:r>
              <w:rPr>
                <w:rFonts w:ascii="Times New Roman" w:hAnsi="Times New Roman" w:eastAsia="仿宋_GB2312"/>
                <w:color w:val="000000"/>
                <w:sz w:val="24"/>
              </w:rPr>
              <w:t>总投资3亿元，改造现有40万吨磷酸装置减少能源消耗。</w:t>
            </w:r>
          </w:p>
          <w:p>
            <w:pPr>
              <w:pStyle w:val="10"/>
              <w:overflowPunct w:val="0"/>
              <w:autoSpaceDE w:val="0"/>
              <w:spacing w:after="0" w:line="480" w:lineRule="exact"/>
              <w:ind w:firstLine="482" w:firstLineChars="200"/>
              <w:rPr>
                <w:rFonts w:ascii="Times New Roman" w:hAnsi="Times New Roman" w:eastAsia="仿宋_GB2312"/>
                <w:color w:val="000000"/>
                <w:sz w:val="24"/>
              </w:rPr>
            </w:pPr>
            <w:r>
              <w:rPr>
                <w:rFonts w:ascii="Times New Roman" w:hAnsi="Times New Roman" w:eastAsia="仿宋_GB2312"/>
                <w:b/>
                <w:bCs/>
                <w:color w:val="000000"/>
                <w:sz w:val="24"/>
              </w:rPr>
              <w:t>六国化工肥料级改建项目：</w:t>
            </w:r>
            <w:r>
              <w:rPr>
                <w:rFonts w:ascii="Times New Roman" w:hAnsi="Times New Roman" w:eastAsia="仿宋_GB2312"/>
                <w:color w:val="000000"/>
                <w:sz w:val="24"/>
              </w:rPr>
              <w:t>总投资2.6亿元，利用现在磷酸产能进行置换，改建5万吨精制磷酸项目。</w:t>
            </w:r>
          </w:p>
          <w:p>
            <w:pPr>
              <w:pStyle w:val="10"/>
              <w:overflowPunct w:val="0"/>
              <w:autoSpaceDE w:val="0"/>
              <w:spacing w:after="0" w:line="480" w:lineRule="exact"/>
              <w:ind w:firstLine="482" w:firstLineChars="200"/>
              <w:rPr>
                <w:rFonts w:ascii="Times New Roman" w:hAnsi="Times New Roman" w:eastAsia="仿宋_GB2312"/>
                <w:color w:val="000000"/>
                <w:sz w:val="24"/>
              </w:rPr>
            </w:pPr>
            <w:r>
              <w:rPr>
                <w:rFonts w:hint="eastAsia" w:ascii="Times New Roman" w:hAnsi="Times New Roman" w:eastAsia="仿宋_GB2312"/>
                <w:b/>
                <w:bCs/>
                <w:color w:val="000000"/>
                <w:sz w:val="24"/>
              </w:rPr>
              <w:t>中节能</w:t>
            </w:r>
            <w:r>
              <w:rPr>
                <w:rFonts w:ascii="Times New Roman" w:hAnsi="Times New Roman" w:eastAsia="仿宋_GB2312"/>
                <w:b/>
                <w:bCs/>
                <w:color w:val="000000"/>
                <w:sz w:val="24"/>
              </w:rPr>
              <w:t>20GW</w:t>
            </w:r>
            <w:r>
              <w:rPr>
                <w:rFonts w:hint="eastAsia" w:ascii="Times New Roman" w:hAnsi="Times New Roman" w:eastAsia="仿宋_GB2312"/>
                <w:b/>
                <w:bCs/>
                <w:color w:val="000000"/>
                <w:sz w:val="24"/>
              </w:rPr>
              <w:t>电池制造基地项目：</w:t>
            </w:r>
            <w:r>
              <w:rPr>
                <w:rFonts w:hint="eastAsia" w:ascii="Times New Roman" w:hAnsi="Times New Roman" w:eastAsia="仿宋_GB2312"/>
                <w:color w:val="000000"/>
                <w:sz w:val="24"/>
              </w:rPr>
              <w:t>项目一期计划总投资</w:t>
            </w:r>
            <w:r>
              <w:rPr>
                <w:rFonts w:ascii="Times New Roman" w:hAnsi="Times New Roman" w:eastAsia="仿宋_GB2312"/>
                <w:color w:val="000000"/>
                <w:sz w:val="24"/>
              </w:rPr>
              <w:t>24.5</w:t>
            </w:r>
            <w:r>
              <w:rPr>
                <w:rFonts w:hint="eastAsia" w:ascii="Times New Roman" w:hAnsi="Times New Roman" w:eastAsia="仿宋_GB2312"/>
                <w:color w:val="000000"/>
                <w:sz w:val="24"/>
              </w:rPr>
              <w:t>亿元，总用地</w:t>
            </w:r>
            <w:r>
              <w:rPr>
                <w:rFonts w:ascii="Times New Roman" w:hAnsi="Times New Roman" w:eastAsia="仿宋_GB2312"/>
                <w:color w:val="000000"/>
                <w:sz w:val="24"/>
              </w:rPr>
              <w:t>320</w:t>
            </w:r>
            <w:r>
              <w:rPr>
                <w:rFonts w:hint="eastAsia" w:ascii="Times New Roman" w:hAnsi="Times New Roman" w:eastAsia="仿宋_GB2312"/>
                <w:color w:val="000000"/>
                <w:sz w:val="24"/>
              </w:rPr>
              <w:t>亩，新建约</w:t>
            </w:r>
            <w:r>
              <w:rPr>
                <w:rFonts w:ascii="Times New Roman" w:hAnsi="Times New Roman" w:eastAsia="仿宋_GB2312"/>
                <w:color w:val="000000"/>
                <w:sz w:val="24"/>
              </w:rPr>
              <w:t>11.5</w:t>
            </w:r>
            <w:r>
              <w:rPr>
                <w:rFonts w:hint="eastAsia" w:ascii="Times New Roman" w:hAnsi="Times New Roman" w:eastAsia="仿宋_GB2312"/>
                <w:color w:val="000000"/>
                <w:sz w:val="24"/>
              </w:rPr>
              <w:t>万平方米钢结构厂房，建设年产</w:t>
            </w:r>
            <w:r>
              <w:rPr>
                <w:rFonts w:ascii="Times New Roman" w:hAnsi="Times New Roman" w:eastAsia="仿宋_GB2312"/>
                <w:color w:val="000000"/>
                <w:sz w:val="24"/>
              </w:rPr>
              <w:t>6.5GW</w:t>
            </w:r>
            <w:r>
              <w:rPr>
                <w:rFonts w:hint="eastAsia" w:ascii="Times New Roman" w:hAnsi="Times New Roman" w:eastAsia="仿宋_GB2312"/>
                <w:color w:val="000000"/>
                <w:sz w:val="24"/>
              </w:rPr>
              <w:t>电池产线。</w:t>
            </w:r>
          </w:p>
          <w:p>
            <w:pPr>
              <w:pStyle w:val="10"/>
              <w:overflowPunct w:val="0"/>
              <w:autoSpaceDE w:val="0"/>
              <w:spacing w:after="0" w:line="480" w:lineRule="exact"/>
              <w:ind w:firstLine="482" w:firstLineChars="200"/>
              <w:rPr>
                <w:rFonts w:ascii="Times New Roman" w:hAnsi="Times New Roman" w:eastAsia="宋体"/>
                <w:color w:val="000000"/>
                <w:sz w:val="24"/>
              </w:rPr>
            </w:pPr>
            <w:r>
              <w:rPr>
                <w:rFonts w:hint="eastAsia" w:ascii="Times New Roman" w:hAnsi="Times New Roman" w:eastAsia="仿宋_GB2312"/>
                <w:b/>
                <w:bCs/>
                <w:color w:val="000000"/>
                <w:sz w:val="24"/>
              </w:rPr>
              <w:t>长虹化工25000吨四氢噻吩、20000吨聚醚胺产品建设项目：</w:t>
            </w:r>
            <w:r>
              <w:rPr>
                <w:rFonts w:hint="eastAsia" w:ascii="Times New Roman" w:hAnsi="Times New Roman" w:eastAsia="仿宋_GB2312"/>
                <w:color w:val="000000"/>
                <w:sz w:val="24"/>
              </w:rPr>
              <w:t>拟引进安庆长虹化工有限公司，投资2.5亿元，建设25000吨四氢噻吩、20000吨聚醚胺产品生产线。</w:t>
            </w:r>
          </w:p>
        </w:tc>
      </w:tr>
    </w:tbl>
    <w:p>
      <w:pPr>
        <w:pStyle w:val="4"/>
        <w:keepNext w:val="0"/>
        <w:keepLines w:val="0"/>
        <w:overflowPunct w:val="0"/>
        <w:autoSpaceDE w:val="0"/>
        <w:spacing w:line="600" w:lineRule="exact"/>
        <w:jc w:val="center"/>
        <w:rPr>
          <w:rFonts w:ascii="Times New Roman" w:hAnsi="Times New Roman"/>
          <w:b w:val="0"/>
          <w:bCs/>
          <w:color w:val="000000"/>
        </w:rPr>
      </w:pPr>
      <w:bookmarkStart w:id="76" w:name="_Toc90645424"/>
      <w:r>
        <w:rPr>
          <w:rFonts w:hint="eastAsia" w:ascii="Times New Roman" w:hAnsi="Times New Roman"/>
          <w:b w:val="0"/>
          <w:bCs/>
          <w:color w:val="000000"/>
        </w:rPr>
        <w:t>第五节  医卫大健康产业</w:t>
      </w:r>
      <w:bookmarkEnd w:id="76"/>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把握近年来，尤其是新冠疫情爆发后，医卫纤维材料产业向以中国大陆为代表的亚太地区转移的趋势，以及医卫用消毒湿巾行业规模迅速发展的态势，聚焦医卫用湿巾的产业链核心环节，加强与上游无纺布、石油化工产业联系，积极拓展医疗卫生、个人护理、美容化妆、工业擦拭等下游应用产业，加强湿巾品牌建设，提升产业技术水平和产品附加值，形成产业链上下游良性互动，构建良好、可持续的产业生态环境。“十四五”期间，充分发挥洁雅生物龙头企业带动作用，抓住“后疫情时代”国民健康意识提升和对医卫消毒用品需求升级的重大机遇，持续加大研发投入和技术创新，加快推动核心产业化项目落地，积极开发高端医卫消毒湿巾等产品系列，巩固在医卫纤维材料细分领域的引领地位，着力培育一批配套企业，不断延伸产业链条，努力打造以医用消毒湿巾、卫生抗菌湿巾等为特色的医卫纤维材料产业集群，建设长三角重要的医疗卫生材料产业集聚发展基地。到2025年，实现产值50亿元，市场占有率和技术水平进入世界前列。</w:t>
      </w:r>
    </w:p>
    <w:p>
      <w:pPr>
        <w:overflowPunct w:val="0"/>
        <w:autoSpaceDE w:val="0"/>
        <w:spacing w:line="600" w:lineRule="exact"/>
        <w:ind w:firstLine="640" w:firstLineChars="200"/>
        <w:rPr>
          <w:rFonts w:ascii="Times New Roman" w:hAnsi="Times New Roman"/>
          <w:color w:val="000000"/>
        </w:rPr>
      </w:pPr>
      <w:r>
        <w:rPr>
          <w:rFonts w:ascii="Times New Roman" w:hAnsi="Times New Roman" w:eastAsia="仿宋_GB2312"/>
          <w:color w:val="000000"/>
          <w:sz w:val="32"/>
        </w:rPr>
        <w:t>完善产业链和产业生态。依托现有原材料制备的生产基础和能力，积极发展产业链上游无纺布、溶液原料、包装材料等相关产业——石油化工制品，以及配套产业，力争引入纳斯汀无纺布、上海精英、强生集团等企业投资。利用龙头企业“洁雅”集聚效应，以湿纸巾为主要生产产品，辅以面膜、母婴用面霜等护理用品，发展壮大日用化妆品生产基地。引导相关医卫纤维材料企业落户，形成差异化发展方向，布局产业链不同环节，开发不同用途、不同档次产品系列，形成良好的产业互动和错位发展。强化与强生、3M、金佰利等日化领域世界500强企业以及东航、海航、国航等多家航空公司及机场集团合作关系，并依托洁雅资金、技术及市场储备，打造国际一流自有品牌。依托抗菌抑菌消毒溶剂、医用纤维材料等领域的创新基础，加强与医用新材料、现代中药、生物医药、医疗器械等相关企业创新合作，联合研发生产中药湿巾、医用冷敷贴（医用面膜）、抗菌消毒凝胶等产品，推动多元化发展。鼓励龙头企业通过购买技术和并购国内外的同行业公司或品牌，掌握核心产业化技术，塑造自有品牌，力争覆盖更多的产品品类、占领更多细分市场。促使相关龙头企业由OEM\ODM代工向品牌化方向升级，推动狮子山高新区健康卫生产业向微笑曲线两端延伸。</w:t>
      </w:r>
    </w:p>
    <w:tbl>
      <w:tblPr>
        <w:tblStyle w:val="30"/>
        <w:tblW w:w="8757" w:type="dxa"/>
        <w:jc w:val="center"/>
        <w:tblLayout w:type="fixed"/>
        <w:tblCellMar>
          <w:top w:w="15" w:type="dxa"/>
          <w:left w:w="15" w:type="dxa"/>
          <w:bottom w:w="15" w:type="dxa"/>
          <w:right w:w="15" w:type="dxa"/>
        </w:tblCellMar>
      </w:tblPr>
      <w:tblGrid>
        <w:gridCol w:w="8757"/>
      </w:tblGrid>
      <w:tr>
        <w:tblPrEx>
          <w:tblCellMar>
            <w:top w:w="15" w:type="dxa"/>
            <w:left w:w="15" w:type="dxa"/>
            <w:bottom w:w="15" w:type="dxa"/>
            <w:right w:w="15" w:type="dxa"/>
          </w:tblCellMar>
        </w:tblPrEx>
        <w:trPr>
          <w:trHeight w:val="570" w:hRule="atLeast"/>
          <w:jc w:val="center"/>
        </w:trPr>
        <w:tc>
          <w:tcPr>
            <w:tcW w:w="8757"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ind w:firstLine="600"/>
              <w:jc w:val="center"/>
              <w:textAlignment w:val="center"/>
              <w:rPr>
                <w:rFonts w:ascii="Times New Roman" w:hAnsi="Times New Roman" w:eastAsia="Heiti SC Medium"/>
                <w:color w:val="000000"/>
                <w:kern w:val="0"/>
                <w:sz w:val="24"/>
              </w:rPr>
            </w:pPr>
            <w:r>
              <w:rPr>
                <w:rFonts w:ascii="Times New Roman" w:hAnsi="Times New Roman" w:eastAsia="黑体"/>
                <w:color w:val="000000"/>
                <w:kern w:val="0"/>
                <w:sz w:val="30"/>
                <w:szCs w:val="30"/>
              </w:rPr>
              <w:t>专栏6：</w:t>
            </w:r>
            <w:r>
              <w:rPr>
                <w:rFonts w:hint="eastAsia" w:ascii="Times New Roman" w:hAnsi="Times New Roman" w:eastAsia="黑体"/>
                <w:color w:val="000000"/>
                <w:kern w:val="0"/>
                <w:sz w:val="30"/>
                <w:szCs w:val="30"/>
              </w:rPr>
              <w:t>医卫大健康产业</w:t>
            </w:r>
            <w:r>
              <w:rPr>
                <w:rFonts w:ascii="Times New Roman" w:hAnsi="Times New Roman" w:eastAsia="黑体"/>
                <w:color w:val="000000"/>
                <w:kern w:val="0"/>
                <w:sz w:val="30"/>
                <w:szCs w:val="30"/>
              </w:rPr>
              <w:t>重点项目</w:t>
            </w:r>
          </w:p>
        </w:tc>
      </w:tr>
      <w:tr>
        <w:tblPrEx>
          <w:tblCellMar>
            <w:top w:w="15" w:type="dxa"/>
            <w:left w:w="15" w:type="dxa"/>
            <w:bottom w:w="15" w:type="dxa"/>
            <w:right w:w="15" w:type="dxa"/>
          </w:tblCellMar>
        </w:tblPrEx>
        <w:trPr>
          <w:trHeight w:val="684" w:hRule="atLeast"/>
          <w:jc w:val="center"/>
        </w:trPr>
        <w:tc>
          <w:tcPr>
            <w:tcW w:w="8757" w:type="dxa"/>
            <w:tcBorders>
              <w:top w:val="single" w:color="auto" w:sz="4" w:space="0"/>
              <w:left w:val="single" w:color="auto" w:sz="4" w:space="0"/>
              <w:bottom w:val="single" w:color="auto" w:sz="4" w:space="0"/>
              <w:right w:val="single" w:color="auto" w:sz="4" w:space="0"/>
            </w:tcBorders>
            <w:noWrap/>
            <w:vAlign w:val="center"/>
          </w:tcPr>
          <w:p>
            <w:pPr>
              <w:pStyle w:val="10"/>
              <w:overflowPunct w:val="0"/>
              <w:autoSpaceDE w:val="0"/>
              <w:spacing w:after="0" w:line="50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洁雅生物产业园：</w:t>
            </w:r>
            <w:r>
              <w:rPr>
                <w:rFonts w:ascii="Times New Roman" w:hAnsi="Times New Roman" w:eastAsia="仿宋_GB2312"/>
                <w:bCs/>
                <w:color w:val="000000"/>
                <w:sz w:val="24"/>
              </w:rPr>
              <w:t>项目总投资15亿元，总建筑面积12.6万平方米，其中包括年产145亿片多功能湿巾扩建（建筑面积50000平方米）、年产3000吨天然护理品（建筑面积1万平方米）、年产50亿片棉柔巾（建筑面积1万平方米）、仓储智能化改造、3条新型可降解卫生无纺布生产线（建筑面积3.4万平方米）、年产10万吨天然护理品（建筑面积2.2万平方米）等项目。</w:t>
            </w:r>
          </w:p>
          <w:p>
            <w:pPr>
              <w:pStyle w:val="10"/>
              <w:overflowPunct w:val="0"/>
              <w:autoSpaceDE w:val="0"/>
              <w:spacing w:after="0" w:line="50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洁雅生物科技项目：</w:t>
            </w:r>
            <w:r>
              <w:rPr>
                <w:rFonts w:ascii="Times New Roman" w:hAnsi="Times New Roman" w:eastAsia="仿宋_GB2312"/>
                <w:bCs/>
                <w:color w:val="000000"/>
                <w:sz w:val="24"/>
              </w:rPr>
              <w:t>总投资</w:t>
            </w:r>
            <w:r>
              <w:rPr>
                <w:rFonts w:hint="eastAsia" w:ascii="Times New Roman" w:hAnsi="Times New Roman" w:eastAsia="仿宋_GB2312"/>
                <w:bCs/>
                <w:color w:val="000000"/>
                <w:sz w:val="24"/>
              </w:rPr>
              <w:t>6</w:t>
            </w:r>
            <w:r>
              <w:rPr>
                <w:rFonts w:ascii="Times New Roman" w:hAnsi="Times New Roman" w:eastAsia="仿宋_GB2312"/>
                <w:bCs/>
                <w:color w:val="000000"/>
                <w:sz w:val="24"/>
              </w:rPr>
              <w:t>亿元，新建2万平方米厂房，建设</w:t>
            </w:r>
            <w:r>
              <w:rPr>
                <w:rFonts w:hint="eastAsia" w:ascii="Times New Roman" w:hAnsi="Times New Roman" w:eastAsia="仿宋_GB2312"/>
                <w:bCs/>
                <w:color w:val="000000"/>
                <w:sz w:val="24"/>
              </w:rPr>
              <w:t>自主品牌湿巾、面膜生产线。</w:t>
            </w:r>
          </w:p>
          <w:p>
            <w:pPr>
              <w:pStyle w:val="10"/>
              <w:overflowPunct w:val="0"/>
              <w:autoSpaceDE w:val="0"/>
              <w:spacing w:after="0" w:line="50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无锡戴可思年产20000吨品牌日化系列产品项目：</w:t>
            </w:r>
            <w:r>
              <w:rPr>
                <w:rFonts w:ascii="Times New Roman" w:hAnsi="Times New Roman" w:eastAsia="仿宋_GB2312"/>
                <w:bCs/>
                <w:color w:val="000000"/>
                <w:sz w:val="24"/>
              </w:rPr>
              <w:t>总投资10亿元，完成拟落户厂房洁净车间装修改造，购置膏霜灌装机、乳化锅等生产、研发等设备538台（套），新建膏霜乳液化妆品、液体化妆品、粉体化妆品、蜡基化妆品、消字号化妆品、液体洗涤剂、粉体洗涤剂等系列戴可思品牌日化产品产线，新建施华蔻品牌染发剂等高端日化品牌OEM产线，建设戴可思智能仓储发货中心，达产后年产20000吨品牌日化系列产品。</w:t>
            </w:r>
          </w:p>
          <w:p>
            <w:pPr>
              <w:pStyle w:val="10"/>
              <w:overflowPunct w:val="0"/>
              <w:autoSpaceDE w:val="0"/>
              <w:spacing w:after="0" w:line="500" w:lineRule="exact"/>
              <w:ind w:firstLine="482"/>
              <w:rPr>
                <w:rFonts w:ascii="Times New Roman" w:hAnsi="Times New Roman" w:eastAsia="宋体"/>
                <w:color w:val="000000"/>
                <w:sz w:val="24"/>
              </w:rPr>
            </w:pPr>
            <w:r>
              <w:rPr>
                <w:rFonts w:ascii="Times New Roman" w:hAnsi="Times New Roman" w:eastAsia="仿宋_GB2312"/>
                <w:b/>
                <w:color w:val="000000"/>
                <w:sz w:val="24"/>
              </w:rPr>
              <w:t>水刺无纺布生产线项目:</w:t>
            </w:r>
            <w:r>
              <w:rPr>
                <w:rFonts w:ascii="Times New Roman" w:hAnsi="Times New Roman" w:eastAsia="仿宋_GB2312"/>
                <w:bCs/>
                <w:color w:val="000000"/>
                <w:sz w:val="24"/>
              </w:rPr>
              <w:t>项目总投资10亿元，新建6万平方米厂房，建设3条高端水刺无纺布生产线，年产5万吨水刺无纺布。</w:t>
            </w:r>
          </w:p>
        </w:tc>
      </w:tr>
    </w:tbl>
    <w:p>
      <w:pPr>
        <w:pStyle w:val="4"/>
        <w:keepNext w:val="0"/>
        <w:keepLines w:val="0"/>
        <w:overflowPunct w:val="0"/>
        <w:autoSpaceDE w:val="0"/>
        <w:spacing w:line="600" w:lineRule="exact"/>
        <w:jc w:val="center"/>
        <w:rPr>
          <w:rFonts w:ascii="Times New Roman" w:hAnsi="Times New Roman"/>
          <w:b w:val="0"/>
          <w:bCs/>
          <w:color w:val="000000"/>
        </w:rPr>
      </w:pPr>
      <w:bookmarkStart w:id="77" w:name="_Toc90645425"/>
      <w:r>
        <w:rPr>
          <w:rFonts w:hint="eastAsia" w:ascii="Times New Roman" w:hAnsi="Times New Roman"/>
          <w:b w:val="0"/>
          <w:bCs/>
          <w:color w:val="000000"/>
        </w:rPr>
        <w:t>第六节  非煤矿山</w:t>
      </w:r>
      <w:bookmarkEnd w:id="77"/>
      <w:r>
        <w:rPr>
          <w:rFonts w:hint="eastAsia" w:ascii="Times New Roman" w:hAnsi="Times New Roman"/>
          <w:b w:val="0"/>
          <w:bCs/>
          <w:color w:val="000000"/>
        </w:rPr>
        <w:t>领域</w:t>
      </w:r>
    </w:p>
    <w:p>
      <w:pPr>
        <w:pStyle w:val="10"/>
        <w:overflowPunct w:val="0"/>
        <w:autoSpaceDE w:val="0"/>
        <w:spacing w:after="0"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四五”期间，以改善居民基本生产和生活条件为首要任务，以完善基础设施和公共服务条件为支撑，以培育发展接续替代产业和促进就业为重点，坚持“民生优先，补齐短板；因地制宜，精准施策；尽力而为，量力而行；统筹谋划，汇聚合力”的原则，积极推进非煤矿山绿色可持续发展。“十四五”期间，分类推动金九铜矿等企业创建“绿色矿山”，到2025年，非煤矿山产值达到5亿元，力争走上生产发展、生活富裕、生态良好的文明发展道路。</w:t>
      </w:r>
    </w:p>
    <w:p>
      <w:pPr>
        <w:pStyle w:val="10"/>
        <w:overflowPunct w:val="0"/>
        <w:autoSpaceDE w:val="0"/>
        <w:spacing w:after="0"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分类引导转型发展。</w:t>
      </w:r>
      <w:r>
        <w:rPr>
          <w:rFonts w:ascii="Times New Roman" w:hAnsi="Times New Roman" w:eastAsia="仿宋_GB2312"/>
          <w:color w:val="000000"/>
          <w:sz w:val="32"/>
        </w:rPr>
        <w:t>鼓励毗邻主城区、综合服务较完善的工矿区融入主城区发展，按照同城化标准推进交通、能源、环保、市政等基础设施项目一体化建设，构建城市功能拓展区。支持与主城区有一定距离、发展要素保障能力强、经济社会发展后劲足的工矿区打造产城融合的宜居宜业新城镇。支持具备一定区位条件、产业基础好的工矿区建设接续替代产业平台，积极延伸产业链，培育特色产业集群，建设产业升级承接区。引导地处偏远、资源环境承载力差、产业衰退明显、人口流失严重的工矿区积极探索异地转型。</w:t>
      </w:r>
    </w:p>
    <w:p>
      <w:pPr>
        <w:pStyle w:val="10"/>
        <w:overflowPunct w:val="0"/>
        <w:autoSpaceDE w:val="0"/>
        <w:spacing w:after="0"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建设接续替代产业平台。</w:t>
      </w:r>
      <w:r>
        <w:rPr>
          <w:rFonts w:ascii="Times New Roman" w:hAnsi="Times New Roman" w:eastAsia="仿宋_GB2312"/>
          <w:color w:val="000000"/>
          <w:sz w:val="32"/>
        </w:rPr>
        <w:t>建设承载能力强、服务水平高的接续替代产业集聚区，引导形成特色的产业集群，带动矿区产业集约化、特色化、多元化发展。推进园区循环化、生态化建设改造，构建绿色市场体系，严格限制超出当地资源环境承载力水平布局发展高排放、高耗能产业。鼓励用高新技术和先进适用技术改造传统产业，推行清洁生产工艺和技术。积极利用老旧工商业设施、仓储设施、闲置厂房等改造建设双创空间，整合政府、企业资源，建设一批成本低、便利化、全要素、开放式的产业孵化基地，建设创新创业平台，加强产学研合作，促进要素共享、优势互补、协同发展，优化人才发展环境，培育工矿区发展新动能。着力提升矿山企业自动化、信息化水平，有序推动“机器换人”，优化生产环境，改善生产条件，实现提质增效。</w:t>
      </w:r>
    </w:p>
    <w:p>
      <w:pPr>
        <w:pStyle w:val="10"/>
        <w:overflowPunct w:val="0"/>
        <w:autoSpaceDE w:val="0"/>
        <w:spacing w:after="0" w:line="600" w:lineRule="exact"/>
        <w:ind w:firstLine="643" w:firstLineChars="200"/>
        <w:rPr>
          <w:rFonts w:ascii="Times New Roman" w:hAnsi="Times New Roman" w:eastAsia="仿宋"/>
          <w:color w:val="000000"/>
        </w:rPr>
      </w:pPr>
      <w:r>
        <w:rPr>
          <w:rFonts w:ascii="Times New Roman" w:hAnsi="Times New Roman" w:eastAsia="楷体_GB2312"/>
          <w:b/>
          <w:bCs/>
          <w:color w:val="000000"/>
          <w:sz w:val="32"/>
        </w:rPr>
        <w:t>建设安全和谐矿山。</w:t>
      </w:r>
      <w:r>
        <w:rPr>
          <w:rFonts w:ascii="Times New Roman" w:hAnsi="Times New Roman" w:eastAsia="仿宋_GB2312"/>
          <w:color w:val="000000"/>
          <w:sz w:val="32"/>
        </w:rPr>
        <w:t>加快推进地质安全风险大、基本生存环境恶劣的矿山居民避险搬迁，精准识别搬迁区域和人口范围，妥善推进居民安置。建立非煤矿山数据信息资料库，完善重大风险源和重大隐患信息档案，应用大数据动态监测预警，提升非煤矿山风险应对能力，普及安全生产和环境保护知识，推动企业形成安全、规范、绿色、和谐的良好发展条件。</w:t>
      </w:r>
    </w:p>
    <w:tbl>
      <w:tblPr>
        <w:tblStyle w:val="30"/>
        <w:tblW w:w="8757" w:type="dxa"/>
        <w:jc w:val="center"/>
        <w:tblLayout w:type="fixed"/>
        <w:tblCellMar>
          <w:top w:w="15" w:type="dxa"/>
          <w:left w:w="15" w:type="dxa"/>
          <w:bottom w:w="15" w:type="dxa"/>
          <w:right w:w="15" w:type="dxa"/>
        </w:tblCellMar>
      </w:tblPr>
      <w:tblGrid>
        <w:gridCol w:w="8757"/>
      </w:tblGrid>
      <w:tr>
        <w:tblPrEx>
          <w:tblCellMar>
            <w:top w:w="15" w:type="dxa"/>
            <w:left w:w="15" w:type="dxa"/>
            <w:bottom w:w="15" w:type="dxa"/>
            <w:right w:w="15" w:type="dxa"/>
          </w:tblCellMar>
        </w:tblPrEx>
        <w:trPr>
          <w:trHeight w:val="570" w:hRule="atLeast"/>
          <w:jc w:val="center"/>
        </w:trPr>
        <w:tc>
          <w:tcPr>
            <w:tcW w:w="8757"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ind w:firstLine="600"/>
              <w:jc w:val="center"/>
              <w:textAlignment w:val="center"/>
              <w:rPr>
                <w:rFonts w:ascii="Times New Roman" w:hAnsi="Times New Roman" w:eastAsia="Heiti SC Medium"/>
                <w:color w:val="000000"/>
                <w:kern w:val="0"/>
                <w:sz w:val="24"/>
              </w:rPr>
            </w:pPr>
            <w:r>
              <w:rPr>
                <w:rFonts w:ascii="Times New Roman" w:hAnsi="Times New Roman" w:eastAsia="黑体"/>
                <w:color w:val="000000"/>
                <w:kern w:val="0"/>
                <w:sz w:val="30"/>
                <w:szCs w:val="30"/>
              </w:rPr>
              <w:t>专栏7：非煤矿山</w:t>
            </w:r>
            <w:r>
              <w:rPr>
                <w:rFonts w:hint="eastAsia" w:ascii="Times New Roman" w:hAnsi="Times New Roman" w:eastAsia="黑体"/>
                <w:color w:val="000000"/>
                <w:kern w:val="0"/>
                <w:sz w:val="30"/>
                <w:szCs w:val="30"/>
              </w:rPr>
              <w:t>领域</w:t>
            </w:r>
            <w:r>
              <w:rPr>
                <w:rFonts w:ascii="Times New Roman" w:hAnsi="Times New Roman" w:eastAsia="黑体"/>
                <w:color w:val="000000"/>
                <w:kern w:val="0"/>
                <w:sz w:val="30"/>
                <w:szCs w:val="30"/>
              </w:rPr>
              <w:t>重点项目</w:t>
            </w:r>
          </w:p>
        </w:tc>
      </w:tr>
      <w:tr>
        <w:tblPrEx>
          <w:tblCellMar>
            <w:top w:w="15" w:type="dxa"/>
            <w:left w:w="15" w:type="dxa"/>
            <w:bottom w:w="15" w:type="dxa"/>
            <w:right w:w="15" w:type="dxa"/>
          </w:tblCellMar>
        </w:tblPrEx>
        <w:trPr>
          <w:trHeight w:val="684" w:hRule="atLeast"/>
          <w:jc w:val="center"/>
        </w:trPr>
        <w:tc>
          <w:tcPr>
            <w:tcW w:w="8757" w:type="dxa"/>
            <w:tcBorders>
              <w:top w:val="single" w:color="auto" w:sz="4" w:space="0"/>
              <w:left w:val="single" w:color="auto" w:sz="4" w:space="0"/>
              <w:bottom w:val="single" w:color="auto" w:sz="4" w:space="0"/>
              <w:right w:val="single" w:color="auto" w:sz="4" w:space="0"/>
            </w:tcBorders>
            <w:noWrap/>
            <w:vAlign w:val="center"/>
          </w:tcPr>
          <w:p>
            <w:pPr>
              <w:pStyle w:val="10"/>
              <w:overflowPunct w:val="0"/>
              <w:autoSpaceDE w:val="0"/>
              <w:spacing w:after="0" w:line="520" w:lineRule="exact"/>
              <w:ind w:firstLine="482"/>
              <w:rPr>
                <w:rFonts w:ascii="Times New Roman" w:hAnsi="Times New Roman" w:eastAsia="仿宋_GB2312"/>
                <w:color w:val="000000"/>
                <w:sz w:val="24"/>
              </w:rPr>
            </w:pPr>
            <w:r>
              <w:rPr>
                <w:rFonts w:ascii="Times New Roman" w:hAnsi="Times New Roman" w:eastAsia="仿宋_GB2312"/>
                <w:b/>
                <w:color w:val="000000"/>
                <w:sz w:val="24"/>
              </w:rPr>
              <w:t>冬瓜山铜矿项目：</w:t>
            </w:r>
            <w:r>
              <w:rPr>
                <w:rFonts w:ascii="Times New Roman" w:hAnsi="Times New Roman" w:eastAsia="仿宋_GB2312"/>
                <w:color w:val="000000"/>
                <w:sz w:val="24"/>
              </w:rPr>
              <w:t>总投资3.27亿元，井下制冷降温系统的通风井及设备设施。</w:t>
            </w:r>
          </w:p>
          <w:p>
            <w:pPr>
              <w:overflowPunct w:val="0"/>
              <w:autoSpaceDE w:val="0"/>
              <w:adjustRightInd w:val="0"/>
              <w:snapToGrid w:val="0"/>
              <w:spacing w:line="520" w:lineRule="exact"/>
              <w:ind w:firstLine="482"/>
              <w:rPr>
                <w:rFonts w:ascii="Times New Roman" w:hAnsi="Times New Roman" w:eastAsia="仿宋_GB2312"/>
                <w:color w:val="000000"/>
                <w:sz w:val="24"/>
              </w:rPr>
            </w:pPr>
            <w:r>
              <w:rPr>
                <w:rFonts w:ascii="Times New Roman" w:hAnsi="Times New Roman" w:eastAsia="仿宋_GB2312"/>
                <w:b/>
                <w:color w:val="000000"/>
                <w:sz w:val="24"/>
              </w:rPr>
              <w:t>天马山矿深部资源开采项目：</w:t>
            </w:r>
            <w:r>
              <w:rPr>
                <w:rFonts w:ascii="Times New Roman" w:hAnsi="Times New Roman" w:eastAsia="仿宋_GB2312"/>
                <w:color w:val="000000"/>
                <w:sz w:val="24"/>
              </w:rPr>
              <w:t>总投资1.87亿元，井下深部开采改造提升工程，新增井巷工程量共7.9万立方米，其中开拓6.7万立方米，采切1.2万立方米。</w:t>
            </w:r>
          </w:p>
          <w:p>
            <w:pPr>
              <w:pStyle w:val="10"/>
              <w:overflowPunct w:val="0"/>
              <w:autoSpaceDE w:val="0"/>
              <w:spacing w:after="0" w:line="520" w:lineRule="exact"/>
              <w:ind w:firstLine="482"/>
              <w:rPr>
                <w:rFonts w:ascii="Times New Roman" w:hAnsi="Times New Roman" w:eastAsia="仿宋_GB2312"/>
                <w:color w:val="000000"/>
                <w:sz w:val="24"/>
              </w:rPr>
            </w:pPr>
            <w:r>
              <w:rPr>
                <w:rFonts w:ascii="Times New Roman" w:hAnsi="Times New Roman" w:eastAsia="仿宋_GB2312"/>
                <w:b/>
                <w:color w:val="000000"/>
                <w:sz w:val="24"/>
              </w:rPr>
              <w:t>华金矿业项目：</w:t>
            </w:r>
            <w:r>
              <w:rPr>
                <w:rFonts w:ascii="Times New Roman" w:hAnsi="Times New Roman" w:eastAsia="仿宋_GB2312"/>
                <w:color w:val="000000"/>
                <w:sz w:val="24"/>
              </w:rPr>
              <w:t>总投资1.17亿元，年产15万吨金（硫）矿深部资源开采技改。</w:t>
            </w:r>
          </w:p>
          <w:p>
            <w:pPr>
              <w:pStyle w:val="10"/>
              <w:overflowPunct w:val="0"/>
              <w:autoSpaceDE w:val="0"/>
              <w:spacing w:after="0" w:line="520" w:lineRule="exact"/>
              <w:ind w:firstLine="482"/>
              <w:rPr>
                <w:rFonts w:ascii="Times New Roman" w:hAnsi="Times New Roman" w:eastAsia="仿宋_GB2312"/>
                <w:color w:val="000000"/>
                <w:sz w:val="24"/>
              </w:rPr>
            </w:pPr>
            <w:r>
              <w:rPr>
                <w:rFonts w:ascii="Times New Roman" w:hAnsi="Times New Roman" w:eastAsia="仿宋_GB2312"/>
                <w:b/>
                <w:color w:val="000000"/>
                <w:sz w:val="24"/>
              </w:rPr>
              <w:t>铜陵有色矿山工程施工和采矿设备购置项目：</w:t>
            </w:r>
            <w:r>
              <w:rPr>
                <w:rFonts w:ascii="Times New Roman" w:hAnsi="Times New Roman" w:eastAsia="仿宋_GB2312"/>
                <w:color w:val="000000"/>
                <w:sz w:val="24"/>
              </w:rPr>
              <w:t>总投资5.1亿元，配备采矿、平（斜）巷、竖井等设备172台（套）。其中新增设备157台（套），更新设备15台（套）。</w:t>
            </w:r>
          </w:p>
          <w:p>
            <w:pPr>
              <w:pStyle w:val="10"/>
              <w:overflowPunct w:val="0"/>
              <w:autoSpaceDE w:val="0"/>
              <w:spacing w:after="0" w:line="520" w:lineRule="exact"/>
              <w:ind w:firstLine="482"/>
              <w:rPr>
                <w:rFonts w:ascii="Times New Roman" w:hAnsi="Times New Roman" w:eastAsia="宋体"/>
                <w:color w:val="000000"/>
                <w:sz w:val="24"/>
              </w:rPr>
            </w:pPr>
            <w:r>
              <w:rPr>
                <w:rFonts w:ascii="Times New Roman" w:hAnsi="Times New Roman" w:eastAsia="仿宋_GB2312"/>
                <w:b/>
                <w:color w:val="000000"/>
                <w:sz w:val="24"/>
              </w:rPr>
              <w:t>金九矿业大宗矿产品交易中心项目：</w:t>
            </w:r>
            <w:r>
              <w:rPr>
                <w:rFonts w:ascii="Times New Roman" w:hAnsi="Times New Roman" w:eastAsia="仿宋_GB2312"/>
                <w:color w:val="000000"/>
                <w:sz w:val="24"/>
              </w:rPr>
              <w:t>总投资1.5亿元，利用现有土地建设大宗矿产品仓储、交易结算中心。</w:t>
            </w:r>
          </w:p>
        </w:tc>
      </w:tr>
    </w:tbl>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w w:val="95"/>
          <w:sz w:val="44"/>
          <w:szCs w:val="44"/>
        </w:rPr>
      </w:pPr>
      <w:bookmarkStart w:id="78" w:name="_Toc26300"/>
      <w:bookmarkStart w:id="79" w:name="_Toc90645426"/>
      <w:r>
        <w:rPr>
          <w:rFonts w:hint="eastAsia" w:ascii="Times New Roman" w:hAnsi="Times New Roman" w:eastAsia="方正小标宋简体" w:cs="Times New Roman"/>
          <w:color w:val="000000"/>
          <w:w w:val="95"/>
          <w:sz w:val="44"/>
          <w:szCs w:val="44"/>
        </w:rPr>
        <w:t>第六章  融合发展</w:t>
      </w:r>
      <w:bookmarkEnd w:id="78"/>
      <w:r>
        <w:rPr>
          <w:rFonts w:hint="eastAsia" w:ascii="Times New Roman" w:hAnsi="Times New Roman" w:eastAsia="方正小标宋简体" w:cs="Times New Roman"/>
          <w:color w:val="000000"/>
          <w:w w:val="95"/>
          <w:sz w:val="44"/>
          <w:szCs w:val="44"/>
        </w:rPr>
        <w:t>第三产业，增强工业发展支撑</w:t>
      </w:r>
      <w:bookmarkEnd w:id="79"/>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深化服务业与制造业融合，打造工业互联网，支持龙头企业、骨干企业、专精特新企业，由有形产品提供者向“产品+服务”提供者转变。支持平台企业凭借其技术、管理、销售渠道等优势，沿产业链向制造业拓展延伸，引导制造业企业向产业链两端延伸，提升技术研发、市场拓展、品牌运作、咨询服务等服务产品的核心价值，加快实现制造业服务化。</w:t>
      </w:r>
    </w:p>
    <w:p>
      <w:pPr>
        <w:pStyle w:val="4"/>
        <w:keepNext w:val="0"/>
        <w:keepLines w:val="0"/>
        <w:overflowPunct w:val="0"/>
        <w:autoSpaceDE w:val="0"/>
        <w:spacing w:line="600" w:lineRule="exact"/>
        <w:jc w:val="center"/>
        <w:rPr>
          <w:rFonts w:ascii="Times New Roman" w:hAnsi="Times New Roman"/>
          <w:b w:val="0"/>
          <w:bCs/>
          <w:color w:val="000000"/>
        </w:rPr>
      </w:pPr>
      <w:bookmarkStart w:id="80" w:name="_Toc90645427"/>
      <w:r>
        <w:rPr>
          <w:rFonts w:hint="eastAsia" w:ascii="Times New Roman" w:hAnsi="Times New Roman"/>
          <w:b w:val="0"/>
          <w:bCs/>
          <w:color w:val="000000"/>
        </w:rPr>
        <w:t>第一节  科技服务</w:t>
      </w:r>
      <w:bookmarkEnd w:id="80"/>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充分发挥研发设计服务业作为现代生产性服务业资源消耗少、产品附加值高优势，“十四五”期间，依托现有各类科研机构、高等院校的技术和人才资源，集聚企业研发机构、工程技术中心，围绕研究开发、技术转移、检验检测认证、创业孵化、知识产权、科技咨询、科技金融、科学技术普及等专业科技服务活动等过程的科技服务需求，形成具有制造业产业特性的科技服务链，包括线上综合科技服务平台的运营机制、价值创造与价值运转模式，线下的产学研合作联动、优势互补、利益共享、风险共担的科技服务协同机制。建设各主导产业科技研发策源地，打造国家级科技企业孵化器。通过数据分析开展个性化定制科技服务，实现动态服务调度。基于互联网+ 科技服务研发具有业务协同、数据共享等多级跨平台服务融合特性的技术架构，实现城市产业群协同发展模式。利用长三角科技公共服务数据资源，指导制造业融合创新发展。利用G60科技创新走廊、各类科技创新园区的科技服务资源，积极参与城市分工，通过城市间产业合作，实现优势互补，激发制造业融合创新发展。选取铜精深加工产业群，开展融合示范，最大限度发挥行业特色，推动科研成果与实际生产的结合和转化，形成制造业新业态转型升级和制造模式的创新。组建主导产业技术创新联盟，开展从技术研发、孵化、加速到产业化的一体化技术合作，实现创新资源的有效分工与合理衔接，产学研“门对门”合作。鼓励本土龙头企业，在北京、上海等发达城市建立研发、设计等“科研飞地”，充分利用当地优势科技资源，就地研发和转化科研成果。积极引入长三角省内外高等院校、研究所和研究院在铜官区建立产业研究机构，加快提升科技创新综合能力。</w:t>
      </w:r>
    </w:p>
    <w:p>
      <w:pPr>
        <w:pStyle w:val="4"/>
        <w:keepNext w:val="0"/>
        <w:keepLines w:val="0"/>
        <w:overflowPunct w:val="0"/>
        <w:autoSpaceDE w:val="0"/>
        <w:spacing w:line="600" w:lineRule="exact"/>
        <w:jc w:val="center"/>
        <w:rPr>
          <w:rFonts w:ascii="Times New Roman" w:hAnsi="Times New Roman"/>
          <w:b w:val="0"/>
          <w:bCs/>
          <w:color w:val="000000"/>
        </w:rPr>
      </w:pPr>
      <w:bookmarkStart w:id="81" w:name="_Toc90645428"/>
      <w:r>
        <w:rPr>
          <w:rFonts w:hint="eastAsia" w:ascii="Times New Roman" w:hAnsi="Times New Roman"/>
          <w:b w:val="0"/>
          <w:bCs/>
          <w:color w:val="000000"/>
        </w:rPr>
        <w:t>第二节  现代物流</w:t>
      </w:r>
      <w:bookmarkEnd w:id="81"/>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把握“国家服务业综合改革试点区”建设机遇，以业态创新为主线，以体系建设为核心，以服务生产为宗旨，建立专业物流，建设电商物流、物流配送等专业化物流园区，推动物流组织模式和行业管理体制机制创新，加快现代信息技术和先进设施设备应用，构建科学合理、功能完备、开放共享、智慧高效、绿色安全的物流网络，打造“通道+枢纽+网络”的物流运行体系，实现物流资源优化配置和物流活动系统化组织，进一步提升物流服务质量，降低全社会物流和交易成本，为提升主导产业竞争力提供有力支撑。加强物流与交通基础设施衔接，提高不同运输方式间货物换装效率，推动信息互联互通、设施协调匹配、设备共享共用，增强多式联运功能，提高运行效率和一体化组织水平。顺应现代物流业发展新趋势，加强现代信息技术和智能化、绿色化装备应用，推进货物运输结构调整，提高资源配置效率，降低能耗和排放水平，发展绿色智慧物流。鼓励大型企业运用供应链管理技术，在做好企业物流的基础上，推进采购、生产、销售等环节的物流整合，发展社会化物流服务。促进物流业与制造业相融合。支持现有运输、仓储、货代、联运等企业开展业务整合和服务创新，通过物流流程再造，加快向现代物流企业转型，推进物流服务专业化，支持物流企业联合金融、保险、通讯等部门，创新服务模式，提供高端增值服务，满足多样化的物流需求。不断创新服务模式。到2025年，推进建设1个物流信息综合平台、1—2个物流中心。</w:t>
      </w:r>
    </w:p>
    <w:p>
      <w:pPr>
        <w:pStyle w:val="4"/>
        <w:keepNext w:val="0"/>
        <w:keepLines w:val="0"/>
        <w:overflowPunct w:val="0"/>
        <w:autoSpaceDE w:val="0"/>
        <w:spacing w:line="600" w:lineRule="exact"/>
        <w:jc w:val="center"/>
        <w:rPr>
          <w:rFonts w:ascii="Times New Roman" w:hAnsi="Times New Roman"/>
          <w:b w:val="0"/>
          <w:bCs/>
          <w:color w:val="000000"/>
        </w:rPr>
      </w:pPr>
      <w:bookmarkStart w:id="82" w:name="_Toc90645429"/>
      <w:r>
        <w:rPr>
          <w:rFonts w:hint="eastAsia" w:ascii="Times New Roman" w:hAnsi="Times New Roman"/>
          <w:b w:val="0"/>
          <w:bCs/>
          <w:color w:val="000000"/>
        </w:rPr>
        <w:t>第三节  电子商务</w:t>
      </w:r>
      <w:bookmarkEnd w:id="82"/>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依托互联网、大数据等技术交易手段，以工业企业为核心交易主体，以原材料、中间产品等生产资料为交易对象，大力发展工业电子商务。构建统一高效、安全便捷的在线支付体系。支持银行、第三方支付平台、工业企业等加强合作，创新技术、简化业务及支付流程，提高用户操作效率，减少企业资金流转时间，提升资金使用效率，鼓励更多商业银行、信托等金融机构参与在线供应链金融服务，拓宽参与工业电子商务交易的企业营运资金获取渠道。创新在线供应链金融服务模式，大力发展在线供应链金融平台，创新应收款融资、企业白条等在线供应链融资产品，扩大参与工业电子商务的交易企业选择空间。推动数据共享开放，推动不同机构数据开放和整合，提高融资效率。鼓励工业企业提升物流信息化水平、构建智能仓储系统，鼓励物流企业利用互联网发展物流新模式、新业态，推动建立高效、可见、可控的工业物流体系。提高工业供应链信息体系整合水平，努力提升中小工业企业信息化水平。深入实施中小企业信息化推进工程，完善中小企业信息化服务体系，支持和引导中小企业开展信息化建设工作。提升优秀企业信息化集成应用水平。对信息化水平较高的企业，重点推进研、产、供、销、经营管理与生产控制、业务与财务全流程无缝衔接和综合集成，建设供应链集成统一的信息管理平台。培育一批综合集成信息服务企业。支持发展一批IT综合集成企业，鼓励工业电子商务企业延伸业务链条，提供供应链信息集成服务。推进对海关通关、检验检疫、物流仓储等环节信息化管理的公共服务平台建设，全力支持跨境电商发展。</w:t>
      </w:r>
    </w:p>
    <w:p>
      <w:pPr>
        <w:overflowPunct w:val="0"/>
        <w:autoSpaceDE w:val="0"/>
        <w:spacing w:line="600" w:lineRule="exact"/>
        <w:ind w:firstLine="640"/>
        <w:rPr>
          <w:rFonts w:ascii="Times New Roman" w:hAnsi="Times New Roman"/>
          <w:color w:val="000000"/>
        </w:rPr>
      </w:pPr>
    </w:p>
    <w:tbl>
      <w:tblPr>
        <w:tblStyle w:val="30"/>
        <w:tblW w:w="8852" w:type="dxa"/>
        <w:jc w:val="center"/>
        <w:tblLayout w:type="fixed"/>
        <w:tblCellMar>
          <w:top w:w="15" w:type="dxa"/>
          <w:left w:w="15" w:type="dxa"/>
          <w:bottom w:w="15" w:type="dxa"/>
          <w:right w:w="15" w:type="dxa"/>
        </w:tblCellMar>
      </w:tblPr>
      <w:tblGrid>
        <w:gridCol w:w="8852"/>
      </w:tblGrid>
      <w:tr>
        <w:tblPrEx>
          <w:tblCellMar>
            <w:top w:w="15" w:type="dxa"/>
            <w:left w:w="15" w:type="dxa"/>
            <w:bottom w:w="15" w:type="dxa"/>
            <w:right w:w="15" w:type="dxa"/>
          </w:tblCellMar>
        </w:tblPrEx>
        <w:trPr>
          <w:trHeight w:val="570"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pStyle w:val="42"/>
              <w:widowControl w:val="0"/>
              <w:overflowPunct w:val="0"/>
              <w:autoSpaceDE w:val="0"/>
              <w:snapToGrid w:val="0"/>
              <w:spacing w:beforeLines="50" w:beforeAutospacing="0" w:afterLines="50" w:afterAutospacing="0" w:line="240" w:lineRule="auto"/>
              <w:jc w:val="center"/>
              <w:rPr>
                <w:rFonts w:ascii="Times New Roman" w:hAnsi="Times New Roman" w:eastAsia="Heiti SC Medium"/>
                <w:bCs/>
                <w:color w:val="000000"/>
                <w:kern w:val="2"/>
                <w:sz w:val="24"/>
                <w:szCs w:val="24"/>
              </w:rPr>
            </w:pPr>
            <w:r>
              <w:rPr>
                <w:rFonts w:ascii="Times New Roman" w:hAnsi="Times New Roman" w:eastAsia="仿宋_GB2312"/>
                <w:b/>
                <w:color w:val="000000"/>
                <w:kern w:val="2"/>
                <w:sz w:val="30"/>
                <w:szCs w:val="30"/>
              </w:rPr>
              <w:t>专栏8：现代生产性服务业重点项目</w:t>
            </w:r>
          </w:p>
        </w:tc>
      </w:tr>
      <w:tr>
        <w:tblPrEx>
          <w:tblCellMar>
            <w:top w:w="15" w:type="dxa"/>
            <w:left w:w="15" w:type="dxa"/>
            <w:bottom w:w="15" w:type="dxa"/>
            <w:right w:w="15" w:type="dxa"/>
          </w:tblCellMar>
        </w:tblPrEx>
        <w:trPr>
          <w:trHeight w:val="1589"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spacing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天麒耀电子智能分拨中心项目：</w:t>
            </w:r>
            <w:r>
              <w:rPr>
                <w:rFonts w:ascii="Times New Roman" w:hAnsi="Times New Roman" w:eastAsia="仿宋_GB2312"/>
                <w:color w:val="000000"/>
                <w:sz w:val="24"/>
              </w:rPr>
              <w:t>总投资1亿元，建立天麒耀智能分拨中心及区域总部，同步布局线下会员店，打造生产+销售平台。</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铜陵中润冷链物流基地项目：</w:t>
            </w:r>
            <w:r>
              <w:rPr>
                <w:rFonts w:ascii="Times New Roman" w:hAnsi="Times New Roman" w:eastAsia="仿宋_GB2312"/>
                <w:color w:val="000000"/>
                <w:sz w:val="24"/>
              </w:rPr>
              <w:t>总投资1.12亿元，占地面积52亩，新建冷藏配送车间、农产品冷冻加工车间、仓库、物流配套服务设施等建筑物，总建筑面积42000㎡。购置先进的冷冻加工及冷链物流设备，配套建设给排水、供配电等设施。</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铜化物流园项目：</w:t>
            </w:r>
            <w:r>
              <w:rPr>
                <w:rFonts w:ascii="Times New Roman" w:hAnsi="Times New Roman" w:eastAsia="仿宋_GB2312"/>
                <w:color w:val="000000"/>
                <w:sz w:val="24"/>
              </w:rPr>
              <w:t>总投资5亿元，拟于上、下富强村地块，占地面积约400亩，建设冷链仓储、电商、快递分拨中心、智能仓储等。</w:t>
            </w:r>
          </w:p>
          <w:p>
            <w:pPr>
              <w:overflowPunct w:val="0"/>
              <w:autoSpaceDE w:val="0"/>
              <w:spacing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研发设计：</w:t>
            </w:r>
            <w:r>
              <w:rPr>
                <w:rFonts w:ascii="Times New Roman" w:hAnsi="Times New Roman" w:eastAsia="仿宋_GB2312"/>
                <w:color w:val="000000"/>
                <w:sz w:val="24"/>
              </w:rPr>
              <w:t>铜陵青云（青年）数字经济产业园项目</w:t>
            </w:r>
          </w:p>
          <w:p>
            <w:pPr>
              <w:pStyle w:val="10"/>
              <w:overflowPunct w:val="0"/>
              <w:autoSpaceDE w:val="0"/>
              <w:spacing w:after="0" w:line="500" w:lineRule="exact"/>
              <w:ind w:firstLine="482" w:firstLineChars="200"/>
              <w:rPr>
                <w:rFonts w:ascii="Times New Roman" w:hAnsi="Times New Roman" w:eastAsia="仿宋_GB2312"/>
                <w:color w:val="000000"/>
                <w:sz w:val="24"/>
              </w:rPr>
            </w:pPr>
            <w:r>
              <w:rPr>
                <w:rFonts w:ascii="Times New Roman" w:hAnsi="Times New Roman" w:eastAsia="仿宋_GB2312"/>
                <w:b/>
                <w:color w:val="000000"/>
                <w:sz w:val="24"/>
              </w:rPr>
              <w:t>现代物流：</w:t>
            </w:r>
            <w:r>
              <w:rPr>
                <w:rFonts w:ascii="Times New Roman" w:hAnsi="Times New Roman" w:eastAsia="仿宋_GB2312"/>
                <w:color w:val="000000"/>
                <w:sz w:val="24"/>
              </w:rPr>
              <w:t>铜陵中润冷链物流基地项目；铜化物流园项目；小菜园物流供应链项目；大青山物流园项目；</w:t>
            </w:r>
          </w:p>
          <w:p>
            <w:pPr>
              <w:pStyle w:val="10"/>
              <w:overflowPunct w:val="0"/>
              <w:autoSpaceDE w:val="0"/>
              <w:spacing w:after="0" w:line="500" w:lineRule="exact"/>
              <w:ind w:firstLine="482" w:firstLineChars="200"/>
              <w:rPr>
                <w:rFonts w:ascii="Times New Roman" w:hAnsi="Times New Roman" w:eastAsia="宋体"/>
                <w:color w:val="000000"/>
                <w:sz w:val="24"/>
              </w:rPr>
            </w:pPr>
            <w:r>
              <w:rPr>
                <w:rFonts w:ascii="Times New Roman" w:hAnsi="Times New Roman" w:eastAsia="仿宋_GB2312"/>
                <w:b/>
                <w:color w:val="000000"/>
                <w:sz w:val="24"/>
              </w:rPr>
              <w:t>电子商务：</w:t>
            </w:r>
            <w:r>
              <w:rPr>
                <w:rFonts w:ascii="Times New Roman" w:hAnsi="Times New Roman" w:eastAsia="仿宋_GB2312"/>
                <w:color w:val="000000"/>
                <w:sz w:val="24"/>
              </w:rPr>
              <w:t>铜陵市铜官数谷5G电子商务项目；电子商务产业园项目；中盛公司大数据精准营销；</w:t>
            </w:r>
          </w:p>
        </w:tc>
      </w:tr>
    </w:tbl>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w w:val="95"/>
          <w:sz w:val="44"/>
          <w:szCs w:val="44"/>
        </w:rPr>
      </w:pPr>
      <w:bookmarkStart w:id="83" w:name="_Toc22383"/>
      <w:bookmarkStart w:id="84" w:name="_Toc90645430"/>
      <w:r>
        <w:rPr>
          <w:rFonts w:hint="eastAsia" w:ascii="Times New Roman" w:hAnsi="Times New Roman" w:eastAsia="方正小标宋简体" w:cs="Times New Roman"/>
          <w:color w:val="000000"/>
          <w:w w:val="95"/>
          <w:sz w:val="44"/>
          <w:szCs w:val="44"/>
        </w:rPr>
        <w:t xml:space="preserve">第七章  </w:t>
      </w:r>
      <w:bookmarkEnd w:id="83"/>
      <w:r>
        <w:rPr>
          <w:rFonts w:hint="eastAsia" w:ascii="Times New Roman" w:hAnsi="Times New Roman" w:eastAsia="方正小标宋简体" w:cs="Times New Roman"/>
          <w:color w:val="000000"/>
          <w:w w:val="95"/>
          <w:sz w:val="44"/>
          <w:szCs w:val="44"/>
        </w:rPr>
        <w:t>强化数字经济引领，完善新型基础设施</w:t>
      </w:r>
      <w:bookmarkEnd w:id="84"/>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加强5G网络、大数据、人工智能、物联网、云计算、区块链等新型基础设施建设，构建数字驱动的产业新生态，促使信息化与工业化进行深度的交融，加速传统产业的全面转型升级。</w:t>
      </w:r>
    </w:p>
    <w:p>
      <w:pPr>
        <w:pStyle w:val="4"/>
        <w:keepNext w:val="0"/>
        <w:keepLines w:val="0"/>
        <w:overflowPunct w:val="0"/>
        <w:autoSpaceDE w:val="0"/>
        <w:spacing w:line="600" w:lineRule="exact"/>
        <w:jc w:val="center"/>
        <w:rPr>
          <w:rFonts w:ascii="Times New Roman" w:hAnsi="Times New Roman"/>
          <w:b w:val="0"/>
          <w:bCs/>
          <w:color w:val="000000"/>
        </w:rPr>
      </w:pPr>
      <w:bookmarkStart w:id="85" w:name="_Toc90645431"/>
      <w:r>
        <w:rPr>
          <w:rFonts w:hint="eastAsia" w:ascii="Times New Roman" w:hAnsi="Times New Roman"/>
          <w:b w:val="0"/>
          <w:bCs/>
          <w:color w:val="000000"/>
        </w:rPr>
        <w:t>第一节  实施“5G +工业互联网”</w:t>
      </w:r>
      <w:bookmarkEnd w:id="85"/>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围绕互联网、大数据、人工智能和实体经济深度融合发展，聚焦高端制造、智能制造、绿色制造、精品制造、服务型制造，着力构建网络、平台、安全三大功能体系，增强工业互联网产业供给能力。到2025年，覆盖全区工业互联网网络基础设施基本建成，推动两化融合迈上新台阶。</w:t>
      </w:r>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建设新型网络基础设施体系。全面推进光纤网络向超高速、超大容量拓展升级，提升骨干网传输和交换能力。推动5G商用网络建设。围绕工业互联网建设需求，鼓励电信运营企业不断提升网络速率。推动有条件的工业及生产性服务业企业开通高速带宽专线服务，逐步实现智能设备、业务流程、数据和人的互联互通。适应企业低时延、高可靠、广覆盖的网络需求，大力推动工业企业内外网建设，推进工业企业内网的IP（互联网协议）化、扁平化、柔性化技术改造和建设部署。推动新型智能网关应用，推进IPv6（互联网协议第6版）部署。</w:t>
      </w:r>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支持主导产业骨干企业建立工业互联网平台，开展协同创新、网络众包、创业孵化等，促进技术产品、组织管理和经营机制创新，提升企业整体创新能力。支持互联网企业、基础电信企业、知识产权代理机构等建设面向制造企业特别是中小企业的工业互联网平台，为企业提供创业孵化、知识产权、企业征信、检验检测、质量品牌等方面服务。依托工业互联网平台打造服务大众创业、万众创新的多层次公共平台。强化工业互联网平台的资源集聚能力，有效整合产品设计、生产工艺、设备运行、运营管理等数据资源，汇聚共享设计能力、生产能力、软件资源、知识模型等制造资源。开展面向不同行业和场景的应用创新，为用户提供设备健康维护、生产管理优化、协同设计制造、制造资源租用等各类应用服务。</w:t>
      </w:r>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提升大型企业工业互联网创新和应用水平。推进铜精深加工、先进装备制造、电子信息和精细化工等主导产业数字化车间、智能工厂建设和网络化协同制造试点，实现上下游制造企业的信息共享、实时交互，以及设计、供应、制造和服务等环节的并行组织与协同优化。支持企业利用工业互联网采集并对接用户个性化需求，开展基于个性化产品的研发、生产、服务和商业模式创新，发展大规模定制模式。加快中小企业工业互联网应用普及。推动低成本、模块化工业互联网设备和系统在中小企业中的部署应用，提升中小企业数字化、网络化基础能力。鼓励中小企业充分利用工业互联网平台的云化研发设计、生产管理和运营优化软件，实现业务系统向云端迁移，降低数字化、智能化改造成本。引导中小企业开放专业知识、设计创意、制造能力，依托工业互联网平台实现技术、设备和服务的共享，形成基于网络、数据驱动的线下资源线上配置的新型生产方式。支持制造企业与电子商务企业在制造、营销、物流等环节开展多种形式的合作，整合线上线下资源，实现生产流通的高效协同。</w:t>
      </w:r>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健全网络安全保障体系。明确相关主体的数据安全保护责任和具体要求，加强数据收集、存储、处理、转移、删除等环节的安全防护，推广使用防泄露、防窃取等数据保护技术。落实国家工业数据分级分类管理制度，促进工业互联网数据规范流动。加强工业互联网数据安全监督检查。</w:t>
      </w:r>
    </w:p>
    <w:p>
      <w:pPr>
        <w:pStyle w:val="4"/>
        <w:keepNext w:val="0"/>
        <w:keepLines w:val="0"/>
        <w:overflowPunct w:val="0"/>
        <w:autoSpaceDE w:val="0"/>
        <w:spacing w:line="600" w:lineRule="exact"/>
        <w:jc w:val="center"/>
        <w:rPr>
          <w:rFonts w:ascii="Times New Roman" w:hAnsi="Times New Roman"/>
          <w:b w:val="0"/>
          <w:bCs/>
          <w:color w:val="000000"/>
        </w:rPr>
      </w:pPr>
      <w:bookmarkStart w:id="86" w:name="_Toc90645432"/>
      <w:r>
        <w:rPr>
          <w:rFonts w:hint="eastAsia" w:ascii="Times New Roman" w:hAnsi="Times New Roman"/>
          <w:b w:val="0"/>
          <w:bCs/>
          <w:color w:val="000000"/>
        </w:rPr>
        <w:t>第二节  努力打造创新型智慧园区</w:t>
      </w:r>
      <w:bookmarkEnd w:id="86"/>
    </w:p>
    <w:p>
      <w:pPr>
        <w:pStyle w:val="10"/>
        <w:overflowPunct w:val="0"/>
        <w:autoSpaceDE w:val="0"/>
        <w:spacing w:after="0" w:line="600" w:lineRule="exact"/>
        <w:ind w:firstLine="640" w:firstLineChars="200"/>
        <w:rPr>
          <w:rFonts w:ascii="Times New Roman" w:hAnsi="Times New Roman" w:eastAsia="仿宋"/>
          <w:color w:val="000000"/>
        </w:rPr>
      </w:pPr>
      <w:r>
        <w:rPr>
          <w:rFonts w:ascii="Times New Roman" w:hAnsi="Times New Roman" w:eastAsia="仿宋_GB2312"/>
          <w:color w:val="000000"/>
          <w:sz w:val="32"/>
        </w:rPr>
        <w:t>充分发挥“5G＋工业互联网”在推动制造业向数字化、网络化、智能化转变中的关键性作用，通过建设公共信息、技术、物流等服务平台，推动大数据、云计算、区块链、人工智能、物联网等新一代信息技术与狮子山高新区基础设施、产业发展、管理服务深度融合，增强开发区管理能力、服务能力、集聚能力，引领开发区创新升级，全面提升开发区竞争优势，为全区工业经济高质量发展提供支撑。统筹规划园区通信管道、机房和站址建设，同步推动骨干通信管道扩容等数字基础设施升级改造，建设高速泛在、适度超前的数字基础设施。鼓励和支持物联网、工业互联网、大数据、云计算、区块链、量子通信等技术在狮子山高新区应用，率先建设5G通信网络，加快5G网络布局和商用，实现园区5G通信网络全覆盖。建立统一、高效、安全的和面向企业应用级的网络数据中心。建立完善公共信息资源共享机制，提升信息资源共享水平。运用大数据等新兴信息技术，分析园区产业结构和产业链，智能匹配和推送招商政策、产业集群和产业链配套等信息，实现传统一揽子招商向产业集群和产业链招商转变。建立项目数据库，对项目谋划、签约、建设、达产等过程进行全生命周期监测分析，实时掌握项目运行动态，智能调配所需要素资源，提升项目管理水平。以产业关联为纽带，通过产业信息共享和交流协作平台建设，提升园区产业配套服务、协同协作和资源利用水平。完善安全环境监测预警平台，建立健全安全监测应急预警系统、环境保护监测预警系统和能源综合管理信息系统。建立企业智能化服务信息平台，构建线上线下结合的多层次企业服务体系，推动传统产业生产过程的智能化改造和产品智能化升级，为企业提供合理高效的物流服务。优化公共服务平台，完善数字社区服务、物业管理服务和智慧生活服务。</w:t>
      </w:r>
    </w:p>
    <w:tbl>
      <w:tblPr>
        <w:tblStyle w:val="30"/>
        <w:tblW w:w="8852" w:type="dxa"/>
        <w:jc w:val="center"/>
        <w:tblLayout w:type="fixed"/>
        <w:tblCellMar>
          <w:top w:w="15" w:type="dxa"/>
          <w:left w:w="15" w:type="dxa"/>
          <w:bottom w:w="15" w:type="dxa"/>
          <w:right w:w="15" w:type="dxa"/>
        </w:tblCellMar>
      </w:tblPr>
      <w:tblGrid>
        <w:gridCol w:w="8852"/>
      </w:tblGrid>
      <w:tr>
        <w:tblPrEx>
          <w:tblCellMar>
            <w:top w:w="15" w:type="dxa"/>
            <w:left w:w="15" w:type="dxa"/>
            <w:bottom w:w="15" w:type="dxa"/>
            <w:right w:w="15" w:type="dxa"/>
          </w:tblCellMar>
        </w:tblPrEx>
        <w:trPr>
          <w:trHeight w:val="570"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pStyle w:val="42"/>
              <w:widowControl w:val="0"/>
              <w:overflowPunct w:val="0"/>
              <w:autoSpaceDE w:val="0"/>
              <w:snapToGrid w:val="0"/>
              <w:spacing w:beforeLines="50" w:beforeAutospacing="0" w:afterLines="50" w:afterAutospacing="0" w:line="240" w:lineRule="auto"/>
              <w:jc w:val="center"/>
              <w:rPr>
                <w:rFonts w:ascii="Times New Roman" w:hAnsi="Times New Roman" w:eastAsia="Heiti SC Medium"/>
                <w:bCs/>
                <w:color w:val="000000"/>
                <w:kern w:val="2"/>
                <w:sz w:val="24"/>
                <w:szCs w:val="24"/>
              </w:rPr>
            </w:pPr>
            <w:r>
              <w:rPr>
                <w:rFonts w:ascii="Times New Roman" w:hAnsi="Times New Roman" w:eastAsia="黑体"/>
                <w:bCs/>
                <w:color w:val="000000"/>
                <w:kern w:val="2"/>
                <w:sz w:val="30"/>
                <w:szCs w:val="30"/>
              </w:rPr>
              <w:t>专栏9：提升信息化水平重点项目</w:t>
            </w:r>
          </w:p>
        </w:tc>
      </w:tr>
      <w:tr>
        <w:tblPrEx>
          <w:tblCellMar>
            <w:top w:w="15" w:type="dxa"/>
            <w:left w:w="15" w:type="dxa"/>
            <w:bottom w:w="15" w:type="dxa"/>
            <w:right w:w="15" w:type="dxa"/>
          </w:tblCellMar>
        </w:tblPrEx>
        <w:trPr>
          <w:trHeight w:val="2692"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adjustRightInd w:val="0"/>
              <w:snapToGrid w:val="0"/>
              <w:spacing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物华智慧城市（铜陵）物联网项目：</w:t>
            </w:r>
            <w:r>
              <w:rPr>
                <w:rFonts w:ascii="Times New Roman" w:hAnsi="Times New Roman" w:eastAsia="仿宋_GB2312"/>
                <w:color w:val="000000"/>
                <w:sz w:val="24"/>
              </w:rPr>
              <w:t>总投资2亿元，总建筑面积约0.11万平方米，建设数据监控中心，在全市范围内对交通、民生、教育、公共安全、社区等多种城市需求做出智能响应。</w:t>
            </w:r>
          </w:p>
          <w:p>
            <w:pPr>
              <w:pStyle w:val="10"/>
              <w:overflowPunct w:val="0"/>
              <w:autoSpaceDE w:val="0"/>
              <w:spacing w:after="0"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铜陵铁塔信息基础设施建设项目：</w:t>
            </w:r>
            <w:r>
              <w:rPr>
                <w:rFonts w:ascii="Times New Roman" w:hAnsi="Times New Roman" w:eastAsia="仿宋_GB2312"/>
                <w:color w:val="000000"/>
                <w:sz w:val="24"/>
              </w:rPr>
              <w:t>总投资1.5亿元，新增、改造、维修及新建站点约800个。</w:t>
            </w:r>
          </w:p>
          <w:p>
            <w:pPr>
              <w:pStyle w:val="10"/>
              <w:overflowPunct w:val="0"/>
              <w:autoSpaceDE w:val="0"/>
              <w:spacing w:after="0"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北斗时空大数据中心项目：</w:t>
            </w:r>
            <w:r>
              <w:rPr>
                <w:rFonts w:ascii="Times New Roman" w:hAnsi="Times New Roman" w:eastAsia="仿宋_GB2312"/>
                <w:color w:val="000000"/>
                <w:sz w:val="24"/>
              </w:rPr>
              <w:t>总投资3亿元，一期建设“北斗高精度时空大数据中心”、运营统一应急管理平台、铜陵市智慧静态交通系统及其他北斗应用项目；二期打造北斗产业园，引入北斗生态圈上下游配套企业。</w:t>
            </w:r>
          </w:p>
          <w:p>
            <w:pPr>
              <w:pStyle w:val="10"/>
              <w:overflowPunct w:val="0"/>
              <w:autoSpaceDE w:val="0"/>
              <w:spacing w:after="0"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国动网络5G新基建及5G智慧城市项目：</w:t>
            </w:r>
            <w:r>
              <w:rPr>
                <w:rFonts w:ascii="Times New Roman" w:hAnsi="Times New Roman" w:eastAsia="仿宋_GB2312"/>
                <w:color w:val="000000"/>
                <w:sz w:val="24"/>
              </w:rPr>
              <w:t>总投资5.5亿元，开展大数据资源综合利用及产学研一体化中心建设，推动5G新基建、智慧城市、未来智慧社区建设等。</w:t>
            </w:r>
          </w:p>
          <w:p>
            <w:pPr>
              <w:pStyle w:val="10"/>
              <w:overflowPunct w:val="0"/>
              <w:autoSpaceDE w:val="0"/>
              <w:spacing w:after="0"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狮子山高新区高端智造产业加速器项目：</w:t>
            </w:r>
            <w:r>
              <w:rPr>
                <w:rFonts w:ascii="Times New Roman" w:hAnsi="Times New Roman" w:eastAsia="仿宋_GB2312"/>
                <w:color w:val="000000"/>
                <w:sz w:val="24"/>
              </w:rPr>
              <w:t>总投资1.25亿元，建筑面积2.8万平方米，建设标准化厂房4栋，同步配建周边道路等相关配套设施。</w:t>
            </w:r>
          </w:p>
          <w:p>
            <w:pPr>
              <w:pStyle w:val="10"/>
              <w:overflowPunct w:val="0"/>
              <w:autoSpaceDE w:val="0"/>
              <w:spacing w:after="0" w:line="500" w:lineRule="exact"/>
              <w:ind w:firstLine="482"/>
              <w:rPr>
                <w:rFonts w:ascii="Times New Roman" w:hAnsi="Times New Roman" w:eastAsia="仿宋_GB2312"/>
                <w:color w:val="000000"/>
                <w:sz w:val="24"/>
              </w:rPr>
            </w:pPr>
            <w:r>
              <w:rPr>
                <w:rFonts w:ascii="Times New Roman" w:hAnsi="Times New Roman" w:eastAsia="仿宋_GB2312"/>
                <w:b/>
                <w:bCs/>
                <w:color w:val="000000"/>
                <w:sz w:val="24"/>
              </w:rPr>
              <w:t>铜陵菲力智控家居项目：</w:t>
            </w:r>
            <w:r>
              <w:rPr>
                <w:rFonts w:ascii="Times New Roman" w:hAnsi="Times New Roman" w:eastAsia="仿宋_GB2312"/>
                <w:color w:val="000000"/>
                <w:sz w:val="24"/>
              </w:rPr>
              <w:t>总投资1亿元，新建厂房6000平方米，购置先进的注塑机15台，冲压机6台，液压机4台，五金生产线2条，电子感应组装线2条等，自动鞋套机生产线2条，年产百万件智能居家日用品。</w:t>
            </w:r>
          </w:p>
          <w:p>
            <w:pPr>
              <w:overflowPunct w:val="0"/>
              <w:autoSpaceDE w:val="0"/>
              <w:adjustRightInd w:val="0"/>
              <w:snapToGrid w:val="0"/>
              <w:spacing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新基建建设：</w:t>
            </w:r>
            <w:r>
              <w:rPr>
                <w:rFonts w:ascii="Times New Roman" w:hAnsi="Times New Roman" w:eastAsia="仿宋_GB2312"/>
                <w:color w:val="000000"/>
                <w:sz w:val="24"/>
              </w:rPr>
              <w:t>5G基础元器件产业园构建项目；5G小基站产业发展项目；5G智慧城市创新便民项目；新能源汽车充电桩布点项目。</w:t>
            </w:r>
          </w:p>
          <w:p>
            <w:pPr>
              <w:overflowPunct w:val="0"/>
              <w:autoSpaceDE w:val="0"/>
              <w:adjustRightInd w:val="0"/>
              <w:snapToGrid w:val="0"/>
              <w:spacing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“互联网+”：</w:t>
            </w:r>
            <w:r>
              <w:rPr>
                <w:rFonts w:ascii="Times New Roman" w:hAnsi="Times New Roman" w:eastAsia="仿宋_GB2312"/>
                <w:color w:val="000000"/>
                <w:sz w:val="24"/>
              </w:rPr>
              <w:t>铜陵市新能源公交车智慧运管平台；铜陵市5G智慧工地项目；铜陵市5G智慧矿山项目；离散行业重点工业互联网平台；流程行业重点工业互联网平台。</w:t>
            </w:r>
          </w:p>
          <w:p>
            <w:pPr>
              <w:overflowPunct w:val="0"/>
              <w:autoSpaceDE w:val="0"/>
              <w:adjustRightInd w:val="0"/>
              <w:snapToGrid w:val="0"/>
              <w:spacing w:line="500" w:lineRule="exact"/>
              <w:ind w:firstLine="482"/>
              <w:rPr>
                <w:rFonts w:ascii="Times New Roman" w:hAnsi="Times New Roman" w:eastAsia="仿宋_GB2312"/>
                <w:color w:val="000000"/>
                <w:sz w:val="24"/>
              </w:rPr>
            </w:pPr>
            <w:r>
              <w:rPr>
                <w:rFonts w:ascii="Times New Roman" w:hAnsi="Times New Roman" w:eastAsia="仿宋_GB2312"/>
                <w:b/>
                <w:color w:val="000000"/>
                <w:sz w:val="24"/>
              </w:rPr>
              <w:t>信息应用：</w:t>
            </w:r>
            <w:r>
              <w:rPr>
                <w:rFonts w:ascii="Times New Roman" w:hAnsi="Times New Roman" w:eastAsia="仿宋_GB2312"/>
                <w:color w:val="000000"/>
                <w:sz w:val="24"/>
              </w:rPr>
              <w:t>铜陵有色金威5G大数据项目；铜陵市新能源公交车智慧运管平台项目；铜陵市智慧园区管理平台项目；苏州东山精密5G产业园项目。</w:t>
            </w:r>
          </w:p>
          <w:p>
            <w:pPr>
              <w:overflowPunct w:val="0"/>
              <w:autoSpaceDE w:val="0"/>
              <w:adjustRightInd w:val="0"/>
              <w:snapToGrid w:val="0"/>
              <w:spacing w:line="500" w:lineRule="exact"/>
              <w:ind w:firstLine="482"/>
              <w:rPr>
                <w:rFonts w:ascii="Times New Roman" w:hAnsi="Times New Roman"/>
                <w:color w:val="000000"/>
              </w:rPr>
            </w:pPr>
            <w:r>
              <w:rPr>
                <w:rFonts w:ascii="Times New Roman" w:hAnsi="Times New Roman" w:eastAsia="仿宋_GB2312"/>
                <w:b/>
                <w:color w:val="000000"/>
                <w:sz w:val="24"/>
              </w:rPr>
              <w:t>信息安全：</w:t>
            </w:r>
            <w:r>
              <w:rPr>
                <w:rFonts w:ascii="Times New Roman" w:hAnsi="Times New Roman" w:eastAsia="仿宋_GB2312"/>
                <w:color w:val="000000"/>
                <w:sz w:val="24"/>
              </w:rPr>
              <w:t>铜陵市智慧国土监测平台项目；长江排污口5G智能检测项目；星通北斗项目。</w:t>
            </w:r>
          </w:p>
        </w:tc>
      </w:tr>
    </w:tbl>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w w:val="95"/>
          <w:sz w:val="44"/>
          <w:szCs w:val="44"/>
        </w:rPr>
      </w:pPr>
      <w:bookmarkStart w:id="87" w:name="_Toc878"/>
      <w:bookmarkStart w:id="88" w:name="_Toc90645433"/>
      <w:r>
        <w:rPr>
          <w:rFonts w:hint="eastAsia" w:ascii="Times New Roman" w:hAnsi="Times New Roman" w:eastAsia="方正小标宋简体" w:cs="Times New Roman"/>
          <w:color w:val="000000"/>
          <w:w w:val="95"/>
          <w:sz w:val="44"/>
          <w:szCs w:val="44"/>
        </w:rPr>
        <w:t>第八章  实施九大重点工程</w:t>
      </w:r>
      <w:bookmarkEnd w:id="87"/>
      <w:r>
        <w:rPr>
          <w:rFonts w:hint="eastAsia" w:ascii="Times New Roman" w:hAnsi="Times New Roman" w:eastAsia="方正小标宋简体" w:cs="Times New Roman"/>
          <w:color w:val="000000"/>
          <w:w w:val="95"/>
          <w:sz w:val="44"/>
          <w:szCs w:val="44"/>
        </w:rPr>
        <w:t>，增强工业竞争优势</w:t>
      </w:r>
      <w:bookmarkEnd w:id="88"/>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“十四五”期间，围绕增强工业经济竞争能力，提升工业发展整体水平，实施</w:t>
      </w:r>
      <w:r>
        <w:rPr>
          <w:rFonts w:hint="eastAsia" w:ascii="Times New Roman" w:hAnsi="Times New Roman" w:eastAsia="仿宋_GB2312"/>
          <w:color w:val="000000"/>
          <w:sz w:val="32"/>
        </w:rPr>
        <w:t>九</w:t>
      </w:r>
      <w:r>
        <w:rPr>
          <w:rFonts w:ascii="Times New Roman" w:hAnsi="Times New Roman" w:eastAsia="仿宋_GB2312"/>
          <w:color w:val="000000"/>
          <w:sz w:val="32"/>
        </w:rPr>
        <w:t>大重点工程，加快推进产业基础高级化、产业链现代化。</w:t>
      </w:r>
    </w:p>
    <w:p>
      <w:pPr>
        <w:pStyle w:val="4"/>
        <w:keepNext w:val="0"/>
        <w:keepLines w:val="0"/>
        <w:overflowPunct w:val="0"/>
        <w:autoSpaceDE w:val="0"/>
        <w:spacing w:line="600" w:lineRule="exact"/>
        <w:jc w:val="center"/>
        <w:rPr>
          <w:rFonts w:ascii="Times New Roman" w:hAnsi="Times New Roman"/>
          <w:b w:val="0"/>
          <w:bCs/>
          <w:color w:val="000000"/>
        </w:rPr>
      </w:pPr>
      <w:bookmarkStart w:id="89" w:name="_Toc30849"/>
      <w:bookmarkStart w:id="90" w:name="_Toc9713"/>
      <w:bookmarkStart w:id="91" w:name="_Toc90645434"/>
      <w:bookmarkStart w:id="92" w:name="_Toc20949"/>
      <w:r>
        <w:rPr>
          <w:rFonts w:hint="eastAsia" w:ascii="Times New Roman" w:hAnsi="Times New Roman"/>
          <w:b w:val="0"/>
          <w:bCs/>
          <w:color w:val="000000"/>
        </w:rPr>
        <w:t>第一节  三重一创专项工程</w:t>
      </w:r>
      <w:bookmarkEnd w:id="89"/>
      <w:bookmarkEnd w:id="90"/>
      <w:bookmarkEnd w:id="91"/>
      <w:bookmarkEnd w:id="92"/>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扎实推进电子材料及新型元器件、智能流体装备和医卫纤维材料等省新兴产业工程和专项建设，围绕提高企业自主创新能力，不断强化企业创新主体地位，促进各类创新要素向企业集聚，加快建立企业为主体、市场为导向、产学研用紧密结合的技术创新体系。</w:t>
      </w:r>
    </w:p>
    <w:p>
      <w:pPr>
        <w:pStyle w:val="10"/>
        <w:overflowPunct w:val="0"/>
        <w:autoSpaceDE w:val="0"/>
        <w:spacing w:after="0"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加强产学研合作。</w:t>
      </w:r>
      <w:r>
        <w:rPr>
          <w:rFonts w:ascii="Times New Roman" w:hAnsi="Times New Roman" w:eastAsia="仿宋_GB2312"/>
          <w:color w:val="000000"/>
          <w:sz w:val="32"/>
        </w:rPr>
        <w:t>围绕产业链核心环节，重点引进带技术、带项目、带团队的技术领军人才和高端管理人才。拓展招才引智渠道，深化与高等院校和科研院所合作，促进人才“柔性流动”。依托龙头企业和本地研发机构，加快科技创新团队和技术工人培养，建设校企联合的双创基地和研发机构。以产业技术需求为导向，采取“企业为主、政府资助、优势互补、资源共享”的方式，组建权、责、利关系明晰的产业技术创新战略联盟。围绕产业关键技术问题开展紧密的合作和联合攻关，实现创新资源的有效分工和合理衔接，降低开发成本和风险。</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强化企业创新主体地位。</w:t>
      </w:r>
      <w:r>
        <w:rPr>
          <w:rFonts w:ascii="Times New Roman" w:hAnsi="Times New Roman" w:eastAsia="仿宋_GB2312"/>
          <w:color w:val="000000"/>
          <w:sz w:val="32"/>
        </w:rPr>
        <w:t>“十四五”期间，积极引导企业加大研发投入，把企业的研发投入、技术创新能力作为财政科技资金支持的重要条件，加快企业科技成果孵化，引导一批掌握行业技术的科技型中小企业向“专精特新”发展。积极培育特色鲜明、技术水平先进、产业链较长、布局相对集中的战略性新兴产业集群基地谋划实施一批“科创产业园”、“双创产业园”、“校企科研合作研发产业园”重点项目。实施“双创”升级工程，加快推进众创空间、孵化器、加速器等各类载体建设，构建“孵化＋创投”创业模式。</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加强科技创新人才培养和集聚。</w:t>
      </w:r>
      <w:r>
        <w:rPr>
          <w:rFonts w:ascii="Times New Roman" w:hAnsi="Times New Roman" w:eastAsia="仿宋_GB2312"/>
          <w:color w:val="000000"/>
          <w:sz w:val="32"/>
        </w:rPr>
        <w:t>依托龙头企业和研发平台，完善基础产业人才培养机制，形成常态化学习培训，更新技术知识存储，加快培育一批科技创新团队和技术工人。围绕产业链核心环节，重点引进带技术、带项目、带团队的技术领军人才和高端管理人才。建立薪酬激励制度，形成以“现金分配＋福利激励”为主体的薪酬保障与福利体系。实施股权和期权等激励政策，对部分核心技术人员实行员工持股，将研发核心人员的个人利益与公司发展的长期利益相结合，增强核心骨干的归属感和责任意识。将技术创新作为考核研发人员绩效的重要因素，并对创新性强的研发成果给予奖励，形成有效的创新激励机制，调动员工积极性，保证技术持续高效创新。</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优化创新生态环境。</w:t>
      </w:r>
      <w:r>
        <w:rPr>
          <w:rFonts w:ascii="Times New Roman" w:hAnsi="Times New Roman" w:eastAsia="仿宋_GB2312"/>
          <w:color w:val="000000"/>
          <w:sz w:val="32"/>
        </w:rPr>
        <w:t>建设“众创空间-孵化器-加速器-产业化基地”科技孵化体系，推进各类孵化器载体投资多元化、机制多样化、体系网络化、服务专业化发展。依托安元基金、晟禾基金、铜陵高新发展和铜陵同风园区发展等投融资平台，运用多层次、体系化的现代金融工具，有效聚合政府、企业、市场等资源主体力量，建立完善银行、证券、保险等金融服务组织体系，把专业人才、资源、信息等集中起来，出台专项政策，优化业务流程，形成银行、证券、保险等金融支持产业的合力。</w:t>
      </w:r>
    </w:p>
    <w:p>
      <w:pPr>
        <w:pStyle w:val="4"/>
        <w:keepNext w:val="0"/>
        <w:keepLines w:val="0"/>
        <w:overflowPunct w:val="0"/>
        <w:autoSpaceDE w:val="0"/>
        <w:spacing w:line="600" w:lineRule="exact"/>
        <w:jc w:val="center"/>
        <w:rPr>
          <w:rFonts w:ascii="Times New Roman" w:hAnsi="Times New Roman"/>
          <w:b w:val="0"/>
          <w:bCs/>
          <w:color w:val="000000"/>
        </w:rPr>
      </w:pPr>
      <w:bookmarkStart w:id="93" w:name="_Toc11338"/>
      <w:bookmarkStart w:id="94" w:name="_Toc29275"/>
      <w:bookmarkStart w:id="95" w:name="_Toc90645435"/>
      <w:bookmarkStart w:id="96" w:name="_Toc9335"/>
      <w:r>
        <w:rPr>
          <w:rFonts w:hint="eastAsia" w:ascii="Times New Roman" w:hAnsi="Times New Roman"/>
          <w:b w:val="0"/>
          <w:bCs/>
          <w:color w:val="000000"/>
        </w:rPr>
        <w:t>第二节 产业提质增效工作</w:t>
      </w:r>
    </w:p>
    <w:p>
      <w:pPr>
        <w:pStyle w:val="4"/>
        <w:keepNext w:val="0"/>
        <w:keepLines w:val="0"/>
        <w:overflowPunct w:val="0"/>
        <w:autoSpaceDE w:val="0"/>
        <w:spacing w:line="600" w:lineRule="exact"/>
        <w:ind w:firstLine="640" w:firstLineChars="200"/>
        <w:rPr>
          <w:rFonts w:ascii="Times New Roman" w:hAnsi="Times New Roman" w:eastAsia="仿宋_GB2312"/>
          <w:b w:val="0"/>
          <w:bCs/>
          <w:color w:val="000000"/>
          <w:szCs w:val="22"/>
        </w:rPr>
      </w:pPr>
      <w:r>
        <w:rPr>
          <w:rFonts w:hint="eastAsia" w:ascii="Times New Roman" w:hAnsi="Times New Roman" w:eastAsia="仿宋_GB2312"/>
          <w:b w:val="0"/>
          <w:bCs/>
          <w:color w:val="000000"/>
          <w:szCs w:val="22"/>
        </w:rPr>
        <w:t>按照“园区、企业、产业、产业链、产业集群、产业生态”的路径，建设园区、培育企业、壮大产业、完善产业链、打造产业集群、优化产业生态，形成“链式整合、园区支撑、集群带动、协同发展”新格局。</w:t>
      </w:r>
    </w:p>
    <w:p>
      <w:pPr>
        <w:pStyle w:val="4"/>
        <w:keepNext w:val="0"/>
        <w:keepLines w:val="0"/>
        <w:overflowPunct w:val="0"/>
        <w:autoSpaceDE w:val="0"/>
        <w:spacing w:line="600" w:lineRule="exact"/>
        <w:ind w:firstLine="640" w:firstLineChars="200"/>
        <w:rPr>
          <w:rFonts w:ascii="Times New Roman" w:hAnsi="Times New Roman" w:eastAsia="仿宋_GB2312"/>
          <w:b w:val="0"/>
          <w:bCs/>
          <w:color w:val="000000"/>
          <w:szCs w:val="22"/>
        </w:rPr>
      </w:pPr>
      <w:r>
        <w:rPr>
          <w:rFonts w:hint="eastAsia" w:ascii="Times New Roman" w:hAnsi="Times New Roman" w:eastAsia="仿宋_GB2312"/>
          <w:b w:val="0"/>
          <w:bCs/>
          <w:color w:val="000000"/>
          <w:szCs w:val="22"/>
        </w:rPr>
        <w:t>实施先进制造业集群培育行动计划。完善“1+4”集群发展机制（1个集群配套1个行动方案、1个专家库、1个领导班子、1个考核办法），围绕重点产业集群中关键产业链、供应链、创新链，深化“双招双引”行动，编制集群产业链图谱、招商路线图和重点项目库。加强县域特色产业集群（基地）建设，加快培育形成一批规模体量大、专业化程度高、延伸配套性好、支撑带动力强的集群（基地）。推行梯队培养机制。聚焦铜基新材料、化工新材料等集群，发力高端装备、信息技术、医疗健康等领域，培育在全省具有影响力的先进制造业集群。培育集群发展促进机构。鼓励集群成立集群发展促进机构，建立健全集群组织架构和规章制度，加大集群基础设施建设投入，积极开展公共服务活动。</w:t>
      </w:r>
    </w:p>
    <w:p>
      <w:pPr>
        <w:pStyle w:val="4"/>
        <w:keepNext w:val="0"/>
        <w:keepLines w:val="0"/>
        <w:overflowPunct w:val="0"/>
        <w:autoSpaceDE w:val="0"/>
        <w:spacing w:line="600" w:lineRule="exact"/>
        <w:jc w:val="center"/>
        <w:rPr>
          <w:rFonts w:ascii="Times New Roman" w:hAnsi="Times New Roman"/>
          <w:b w:val="0"/>
          <w:bCs/>
          <w:color w:val="000000"/>
        </w:rPr>
      </w:pPr>
      <w:r>
        <w:rPr>
          <w:rFonts w:hint="eastAsia" w:ascii="Times New Roman" w:hAnsi="Times New Roman"/>
          <w:b w:val="0"/>
          <w:bCs/>
          <w:color w:val="000000"/>
        </w:rPr>
        <w:t>第三节 高质量技术改造工程</w:t>
      </w:r>
    </w:p>
    <w:p>
      <w:pPr>
        <w:pStyle w:val="4"/>
        <w:keepNext w:val="0"/>
        <w:keepLines w:val="0"/>
        <w:overflowPunct w:val="0"/>
        <w:autoSpaceDE w:val="0"/>
        <w:spacing w:line="600" w:lineRule="exact"/>
        <w:ind w:firstLine="640" w:firstLineChars="200"/>
        <w:rPr>
          <w:rFonts w:ascii="Times New Roman" w:hAnsi="Times New Roman" w:eastAsia="仿宋_GB2312"/>
          <w:b w:val="0"/>
          <w:bCs/>
          <w:color w:val="000000"/>
          <w:szCs w:val="22"/>
        </w:rPr>
      </w:pPr>
      <w:r>
        <w:rPr>
          <w:rFonts w:hint="eastAsia" w:ascii="Times New Roman" w:hAnsi="Times New Roman" w:eastAsia="仿宋_GB2312"/>
          <w:b w:val="0"/>
          <w:bCs/>
          <w:color w:val="000000"/>
          <w:szCs w:val="22"/>
        </w:rPr>
        <w:t>以数字化、网络化、智能化为重要手段，加快运用工业互联网改造提升传统产业、发展先进制造业，深入推进新一轮大规模技术改造，推动企业设备更新和技术升级，扩大制造业有效投资。力争“十四五”期间实现规模以上工业企业技术改造全覆盖。鼓励企业围绕离散型智能制造、流程型智能制造、网络协同制造、大规模个性化定制、远程运维服务等新模式加大生产线、车间、工程系统改造，降低用工、能耗，提高质量效益、核心竞争力，促进产品、企业、产业全面升级。</w:t>
      </w:r>
    </w:p>
    <w:p>
      <w:pPr>
        <w:pStyle w:val="4"/>
        <w:keepNext w:val="0"/>
        <w:keepLines w:val="0"/>
        <w:overflowPunct w:val="0"/>
        <w:autoSpaceDE w:val="0"/>
        <w:spacing w:line="600" w:lineRule="exact"/>
        <w:ind w:firstLine="640" w:firstLineChars="200"/>
        <w:rPr>
          <w:rFonts w:ascii="Times New Roman" w:hAnsi="Times New Roman" w:eastAsia="仿宋_GB2312"/>
          <w:b w:val="0"/>
          <w:bCs/>
          <w:color w:val="000000"/>
          <w:szCs w:val="22"/>
        </w:rPr>
      </w:pPr>
      <w:r>
        <w:rPr>
          <w:rFonts w:hint="eastAsia" w:ascii="Times New Roman" w:hAnsi="Times New Roman" w:eastAsia="仿宋_GB2312"/>
          <w:b w:val="0"/>
          <w:bCs/>
          <w:color w:val="000000"/>
          <w:szCs w:val="22"/>
        </w:rPr>
        <w:t>定期编制技术改造投资导向计划，完善省、市、区三级重点项目库管理，落实重点项目分级分层管理和推进机制，着力提高开工率、竣工率、达产率。充分发挥各类基金投资引导作用，全面推广“技改贷”等融资产品，扩大技术改造类贷款品种和适用范围。探索“零土地”技术改造审批改革，对不新增建设用地前提下实施的技术改造项目，进一步简化审批手续，缩短审批时间。协调各地重点技术改造项目在项目用地、税费减免、投资奖励、金融扶持等方面享受招商引资优惠政策。</w:t>
      </w:r>
    </w:p>
    <w:p>
      <w:pPr>
        <w:pStyle w:val="4"/>
        <w:keepNext w:val="0"/>
        <w:keepLines w:val="0"/>
        <w:overflowPunct w:val="0"/>
        <w:autoSpaceDE w:val="0"/>
        <w:spacing w:line="600" w:lineRule="exact"/>
        <w:jc w:val="center"/>
        <w:rPr>
          <w:rFonts w:ascii="Times New Roman" w:hAnsi="Times New Roman"/>
          <w:b w:val="0"/>
          <w:bCs/>
          <w:color w:val="000000"/>
        </w:rPr>
      </w:pPr>
      <w:r>
        <w:rPr>
          <w:rFonts w:hint="eastAsia" w:ascii="Times New Roman" w:hAnsi="Times New Roman"/>
          <w:b w:val="0"/>
          <w:bCs/>
          <w:color w:val="000000"/>
        </w:rPr>
        <w:t>第四节 优质企业培育工程。</w:t>
      </w:r>
    </w:p>
    <w:p>
      <w:pPr>
        <w:spacing w:line="600" w:lineRule="exact"/>
        <w:ind w:firstLine="640" w:firstLineChars="200"/>
        <w:rPr>
          <w:rFonts w:eastAsia="仿宋_GB2312" w:cs="仿宋_GB2312"/>
          <w:sz w:val="32"/>
          <w:szCs w:val="32"/>
        </w:rPr>
      </w:pPr>
      <w:r>
        <w:rPr>
          <w:rFonts w:eastAsia="仿宋_GB2312" w:cs="仿宋_GB2312"/>
          <w:sz w:val="32"/>
          <w:szCs w:val="32"/>
        </w:rPr>
        <w:t>坚持创新发展理念，以提高质量和效益为核心，以强化政策引导、深化梯度培育、加大考核激励为抓手，强化调度意识、优化服务举措，全面实施规上工业企业数倍增行动计划，推动规上工业企业数量、质量和效益同步提升，为促进全区工业经济高质量发展打下坚实基础。</w:t>
      </w:r>
    </w:p>
    <w:p>
      <w:pPr>
        <w:autoSpaceDE w:val="0"/>
        <w:spacing w:line="600" w:lineRule="exact"/>
        <w:ind w:firstLine="643" w:firstLineChars="200"/>
        <w:rPr>
          <w:rFonts w:eastAsia="仿宋_GB2312" w:cs="仿宋_GB2312"/>
          <w:sz w:val="32"/>
          <w:szCs w:val="32"/>
        </w:rPr>
      </w:pPr>
      <w:r>
        <w:rPr>
          <w:rFonts w:hint="eastAsia" w:ascii="仿宋_GB2312" w:eastAsia="仿宋_GB2312" w:cs="仿宋_GB2312"/>
          <w:b/>
          <w:bCs/>
          <w:sz w:val="32"/>
          <w:szCs w:val="32"/>
        </w:rPr>
        <w:t>提升招商项目落地转换效率。</w:t>
      </w:r>
      <w:r>
        <w:rPr>
          <w:rFonts w:hint="eastAsia" w:ascii="仿宋_GB2312" w:eastAsia="仿宋_GB2312" w:cs="仿宋_GB2312"/>
          <w:sz w:val="32"/>
          <w:szCs w:val="32"/>
        </w:rPr>
        <w:t>规上工业企业倍增根本依托于工业企业的新增速度，解决签约项目落地是提高倍增工作的重中之重。以聚焦重点产业项目招商为重点，引进落地见效快、具有造血功能、带动能力强产业项目，不断夯实产业招商项目库，以高质量的招商引资项目落地实现倍增工作的顺利推进。</w:t>
      </w:r>
    </w:p>
    <w:p>
      <w:pPr>
        <w:spacing w:line="600" w:lineRule="exact"/>
        <w:ind w:firstLine="643" w:firstLineChars="200"/>
        <w:rPr>
          <w:rFonts w:eastAsia="仿宋_GB2312" w:cs="仿宋_GB2312"/>
          <w:sz w:val="32"/>
          <w:szCs w:val="32"/>
        </w:rPr>
      </w:pPr>
      <w:r>
        <w:rPr>
          <w:rFonts w:hint="eastAsia" w:eastAsia="仿宋_GB2312" w:cs="仿宋_GB2312"/>
          <w:b/>
          <w:bCs/>
          <w:sz w:val="32"/>
          <w:szCs w:val="32"/>
        </w:rPr>
        <w:t>优化中小企业梯度培育模式。</w:t>
      </w:r>
      <w:r>
        <w:rPr>
          <w:rFonts w:hint="eastAsia" w:eastAsia="仿宋_GB2312" w:cs="仿宋_GB2312"/>
          <w:sz w:val="32"/>
          <w:szCs w:val="32"/>
        </w:rPr>
        <w:t>从经济效益、专业化程度、创新能力、经营管理等方面，按照规模、特征以及成长性等确定不同的标准和条件，以总体部署、分级培育、整体推进、动态管理的方式，发展培育一批“小进规”企业。实施逐年逐次递进，实现我区进规工作的持久有序开展。</w:t>
      </w:r>
    </w:p>
    <w:p>
      <w:pPr>
        <w:overflowPunct w:val="0"/>
        <w:autoSpaceDE w:val="0"/>
        <w:spacing w:line="600" w:lineRule="exact"/>
        <w:ind w:firstLine="640" w:firstLineChars="200"/>
        <w:rPr>
          <w:rFonts w:ascii="Times New Roman" w:hAnsi="Times New Roman" w:eastAsia="仿宋_GB2312"/>
          <w:color w:val="000000"/>
          <w:sz w:val="32"/>
        </w:rPr>
      </w:pPr>
      <w:r>
        <w:rPr>
          <w:rFonts w:hint="eastAsia" w:ascii="Times New Roman" w:hAnsi="Times New Roman" w:eastAsia="仿宋_GB2312"/>
          <w:color w:val="000000"/>
          <w:sz w:val="32"/>
        </w:rPr>
        <w:t>遵循“双倍增、高成长型小微、规模以上企业、专精特新、小巨人、单项冠军”的梯度培育路径，催生更多高质量的市场主体。推进“龙头+配套”协同发展，引导中小企业以产业链为纽带，向龙头企业集中集聚，构建大中小企业协作配套、协同发展的生态体系。</w:t>
      </w:r>
    </w:p>
    <w:p>
      <w:pPr>
        <w:pStyle w:val="4"/>
        <w:keepNext w:val="0"/>
        <w:keepLines w:val="0"/>
        <w:overflowPunct w:val="0"/>
        <w:autoSpaceDE w:val="0"/>
        <w:spacing w:line="600" w:lineRule="exact"/>
        <w:jc w:val="center"/>
        <w:rPr>
          <w:rFonts w:ascii="Times New Roman" w:hAnsi="Times New Roman"/>
          <w:b w:val="0"/>
          <w:bCs/>
          <w:color w:val="000000"/>
        </w:rPr>
      </w:pPr>
      <w:r>
        <w:rPr>
          <w:rFonts w:hint="eastAsia" w:ascii="Times New Roman" w:hAnsi="Times New Roman"/>
          <w:b w:val="0"/>
          <w:bCs/>
          <w:color w:val="000000"/>
        </w:rPr>
        <w:t>第五节  两化融合发展工程</w:t>
      </w:r>
      <w:bookmarkEnd w:id="93"/>
      <w:bookmarkEnd w:id="94"/>
      <w:bookmarkEnd w:id="95"/>
      <w:bookmarkEnd w:id="96"/>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推动互联网、大数据、人工智能等与工业深度融合，推动制造业集群和集聚发展，积极培育新技术、新产品、新业态、新模式。</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推进企业信息化管理。</w:t>
      </w:r>
      <w:r>
        <w:rPr>
          <w:rFonts w:ascii="Times New Roman" w:hAnsi="Times New Roman" w:eastAsia="仿宋_GB2312"/>
          <w:color w:val="000000"/>
          <w:sz w:val="32"/>
        </w:rPr>
        <w:t>推进企业网络改造升级。支持企业开展针对既有生产设备与系统的网络化二次开发，推动“接口开放、机器上网”，扩大网络覆盖范围和终端连接数量。加快工业互联网建设，搭建行业共享平台，为更多制造业企业提供工业研发、设计、生产、销售、管理、服务等产业全要素的泛在互联。以中小企业为主体，加快上云上平台步伐。推动开展计算资源、存储资源、网络资源、安全防护等基础设施及非核心业务系统上云上平台。加快智慧园区建设，打造基础共性、行业通用和企业专用的管理平台。</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推进智能化生产水平。</w:t>
      </w:r>
      <w:r>
        <w:rPr>
          <w:rFonts w:ascii="Times New Roman" w:hAnsi="Times New Roman" w:eastAsia="仿宋_GB2312"/>
          <w:color w:val="000000"/>
          <w:sz w:val="32"/>
        </w:rPr>
        <w:t>围绕铜精深加工、装备制造、电子信息和精细化工等主导产业转型升级，引导有基础有条件的企业推进生产线智能化改造，支持龙头企业建设数字化车间和智能工厂。完善铜官区智能化项目改造库，加强项目跟踪服务。积极开展智能制造试点示范，争取国家智能制造综合标准化和新模式应用项目、智能制造试点示范项目，分行业选取智能智能示范企业，积极组织现场观摩和经验交流会，加快有效模式复制、移植、推广。有序推进“机器换人”进程，围绕铜艺加工、装备制造、电子信息、消毒纸巾、建材等重点行业，在重复劳动特征明显、劳动强度大、生产环境差、安全风险高、工艺要求严格的关键岗位，鼓励企业批量应用工业机器人、高档数控机床等智能装备替代人工生产。</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继续实施“皖企登云”计划。</w:t>
      </w:r>
      <w:r>
        <w:rPr>
          <w:rFonts w:ascii="Times New Roman" w:hAnsi="Times New Roman" w:eastAsia="仿宋_GB2312"/>
          <w:color w:val="000000"/>
          <w:sz w:val="32"/>
        </w:rPr>
        <w:t>加快数字赋能，支持云平台服务商为企业提供信息化基础设施、智能硬件、企业业务系统的云化改造和云端迁移服务，分类分阶段完成推进“皖企登云”。重点支持中小微企业和创业企业使用云应用软件，降低数字化、智能化改造成本，开展基于云的协同设计、众包众创、云制造等创新型应用。支持软件企业、工业企业、科研院所等开展合作，推广一批适用于特定行业、特点场景的工业APP。</w:t>
      </w:r>
    </w:p>
    <w:p>
      <w:pPr>
        <w:pStyle w:val="4"/>
        <w:keepNext w:val="0"/>
        <w:keepLines w:val="0"/>
        <w:overflowPunct w:val="0"/>
        <w:autoSpaceDE w:val="0"/>
        <w:spacing w:line="600" w:lineRule="exact"/>
        <w:jc w:val="center"/>
        <w:rPr>
          <w:rFonts w:ascii="Times New Roman" w:hAnsi="Times New Roman"/>
          <w:b w:val="0"/>
          <w:bCs/>
          <w:color w:val="000000"/>
        </w:rPr>
      </w:pPr>
      <w:bookmarkStart w:id="97" w:name="_Toc6569"/>
      <w:bookmarkStart w:id="98" w:name="_Toc8932"/>
      <w:bookmarkStart w:id="99" w:name="_Toc90645436"/>
      <w:bookmarkStart w:id="100" w:name="_Toc22946"/>
      <w:r>
        <w:rPr>
          <w:rFonts w:hint="eastAsia" w:ascii="Times New Roman" w:hAnsi="Times New Roman"/>
          <w:b w:val="0"/>
          <w:bCs/>
          <w:color w:val="000000"/>
        </w:rPr>
        <w:t>第六节  创业促进引领工程</w:t>
      </w:r>
      <w:bookmarkEnd w:id="97"/>
      <w:bookmarkEnd w:id="98"/>
      <w:bookmarkEnd w:id="99"/>
      <w:bookmarkEnd w:id="100"/>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把创业作为“稳就业”和“发展民营经济”的重要抓手，完善平台建设和政策支持，不断优化创业环境。</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开展创业促进活动。</w:t>
      </w:r>
      <w:r>
        <w:rPr>
          <w:rFonts w:ascii="Times New Roman" w:hAnsi="Times New Roman" w:eastAsia="仿宋_GB2312"/>
          <w:color w:val="000000"/>
          <w:sz w:val="32"/>
        </w:rPr>
        <w:t>坚持办好“创业大讲堂”、“创新创业大赛”、“扶贫创业大赛”等活动，积极开展外出经商务工人士返乡创业促进活动，为铜官区营造“大众创业、万众创新”的氛围，为创新创业人才提供更多机遇、更广阔的发展平台。</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加快创业平台建设。</w:t>
      </w:r>
      <w:r>
        <w:rPr>
          <w:rFonts w:ascii="Times New Roman" w:hAnsi="Times New Roman" w:eastAsia="仿宋_GB2312"/>
          <w:color w:val="000000"/>
          <w:sz w:val="32"/>
        </w:rPr>
        <w:t>围绕铜文化和铜精深加工、装备制造、电子信息、精细化工等主导产业，加快企业孵化器、创客空间、小微网络营销、工业原创设计中心等小微企业创业创新平台，学习并借鉴杭州市、芜湖高新技术产业开发区等小微企业双创示范城市和示范基地的创业园建设经验，加快“小微企业创业园”项目建设，积极谋划“铜官区国家级小微企业创业基地”项目建设，吸引外出务工人员和成功人士回乡创业。</w:t>
      </w:r>
    </w:p>
    <w:p>
      <w:pPr>
        <w:pStyle w:val="4"/>
        <w:keepNext w:val="0"/>
        <w:keepLines w:val="0"/>
        <w:overflowPunct w:val="0"/>
        <w:autoSpaceDE w:val="0"/>
        <w:spacing w:line="600" w:lineRule="exact"/>
        <w:jc w:val="center"/>
        <w:rPr>
          <w:rFonts w:ascii="Times New Roman" w:hAnsi="Times New Roman"/>
          <w:b w:val="0"/>
          <w:bCs/>
          <w:color w:val="000000"/>
        </w:rPr>
      </w:pPr>
      <w:bookmarkStart w:id="101" w:name="_Toc12894"/>
      <w:bookmarkStart w:id="102" w:name="_Toc28496"/>
      <w:bookmarkStart w:id="103" w:name="_Toc29676"/>
      <w:bookmarkStart w:id="104" w:name="_Toc90645437"/>
      <w:r>
        <w:rPr>
          <w:rFonts w:hint="eastAsia" w:ascii="Times New Roman" w:hAnsi="Times New Roman"/>
          <w:b w:val="0"/>
          <w:bCs/>
          <w:color w:val="000000"/>
        </w:rPr>
        <w:t>第七节  绿色制造推广工程</w:t>
      </w:r>
      <w:bookmarkEnd w:id="101"/>
      <w:bookmarkEnd w:id="102"/>
      <w:bookmarkEnd w:id="103"/>
      <w:bookmarkEnd w:id="104"/>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围绕清洁生产、节能降耗、制造工艺、综合利用和绿色协同等领域，加快推动绿色制造。</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加强企业节能降耗。</w:t>
      </w:r>
      <w:r>
        <w:rPr>
          <w:rFonts w:ascii="Times New Roman" w:hAnsi="Times New Roman" w:eastAsia="仿宋_GB2312"/>
          <w:color w:val="000000"/>
          <w:sz w:val="32"/>
        </w:rPr>
        <w:t>大力推广合同能源管理，切实帮助企业加强节能技术应用和管理技能提升。鼓励企业强化技术创新和管理，加大节水技术改造力度，重视污水回收再生水利用。加强企业原材料消耗管理，提升原材料使用效率和寿命，促进企业大幅降低能耗、物耗、水耗水平。加快提升绿色低碳能源使用比率，开展园区绿色智能微电网建设，降低企业用电成本。全面推行循环生产方式，促进资源再利用产业发展，强化技术装备支撑。</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加快制造业绿色改造升级。</w:t>
      </w:r>
      <w:r>
        <w:rPr>
          <w:rFonts w:ascii="Times New Roman" w:hAnsi="Times New Roman" w:eastAsia="仿宋_GB2312"/>
          <w:color w:val="000000"/>
          <w:sz w:val="32"/>
        </w:rPr>
        <w:t>加快“绿色矿山”建设步伐，推进传统制造业绿色化改造，培育一批基础制造工艺绿色化示范企业，加快先进环保技术和装备的推广应用。积极组织开展“绿色发展理念及绿色制造”专项行动，以制造业绿色改造升级为重点，加快推动关键技术产业化，强化试点示范和绿色监管，积极构建绿色制造体系，力争在绿色制造上取得突破，引领和带动制造业高效清洁低碳循环和可持续发展。</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加大循环经济支持力度。</w:t>
      </w:r>
      <w:r>
        <w:rPr>
          <w:rFonts w:ascii="Times New Roman" w:hAnsi="Times New Roman" w:eastAsia="仿宋_GB2312"/>
          <w:color w:val="000000"/>
          <w:sz w:val="32"/>
        </w:rPr>
        <w:t>引导各类金融机构加大贷款支持的力度，积极引导民间资本、社会资金投向重大工业循环经济项目。从供地、供水、供电等要素保障方面加大对工业循环经济项目的支持力度。对技术含量高、带动作用强的重大工业循环经济项目，优先安排年度用地指标，保障建设用地。到2025年，基本形成节约能源资源和保护生态环境的产业结构、增长方式、消费模式，工业固体废物综合利用率达到95%。</w:t>
      </w:r>
    </w:p>
    <w:p>
      <w:pPr>
        <w:pStyle w:val="4"/>
        <w:keepNext w:val="0"/>
        <w:keepLines w:val="0"/>
        <w:overflowPunct w:val="0"/>
        <w:autoSpaceDE w:val="0"/>
        <w:spacing w:line="600" w:lineRule="exact"/>
        <w:jc w:val="center"/>
        <w:rPr>
          <w:rFonts w:ascii="Times New Roman" w:hAnsi="Times New Roman"/>
          <w:b w:val="0"/>
          <w:bCs/>
          <w:color w:val="000000"/>
        </w:rPr>
      </w:pPr>
      <w:bookmarkStart w:id="105" w:name="_Toc268"/>
      <w:bookmarkStart w:id="106" w:name="_Toc30744"/>
      <w:bookmarkStart w:id="107" w:name="_Toc1328"/>
      <w:bookmarkStart w:id="108" w:name="_Toc90645438"/>
      <w:r>
        <w:rPr>
          <w:rFonts w:hint="eastAsia" w:ascii="Times New Roman" w:hAnsi="Times New Roman"/>
          <w:b w:val="0"/>
          <w:bCs/>
          <w:color w:val="000000"/>
        </w:rPr>
        <w:t>第八节  品牌质量提升工程</w:t>
      </w:r>
      <w:bookmarkEnd w:id="105"/>
      <w:bookmarkEnd w:id="106"/>
      <w:bookmarkEnd w:id="107"/>
      <w:bookmarkEnd w:id="108"/>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发挥社会各利益相关方和利益主体监督作用，引入第三方服务，共同参与质量品牌提升工程实施与管理，提升企业品牌质量，形成一批具有市场影响力、品牌竞争力的高质量企业，为铜官区工业高质量发展贡献力量。</w:t>
      </w:r>
    </w:p>
    <w:p>
      <w:pPr>
        <w:pStyle w:val="10"/>
        <w:overflowPunct w:val="0"/>
        <w:autoSpaceDE w:val="0"/>
        <w:spacing w:after="0"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推进商标品牌化。</w:t>
      </w:r>
      <w:r>
        <w:rPr>
          <w:rFonts w:ascii="Times New Roman" w:hAnsi="Times New Roman" w:eastAsia="仿宋_GB2312"/>
          <w:color w:val="000000"/>
          <w:sz w:val="32"/>
        </w:rPr>
        <w:t>大力发展注册商标，鼓励引导各类市场主体多形式发展商标，积极注册商品商标、服务商标、集体商标、证明商标等，积极指导出口类企业申请马德里商标国际注册，努力实现注册商标增量扩容。积极推进商标品牌化，发展品牌经济。实施商标品牌升级工程，大力培育自主商标品牌，重点培育和支持主导产业企业申报认定</w:t>
      </w:r>
      <w:r>
        <w:rPr>
          <w:rFonts w:hint="eastAsia" w:ascii="仿宋_GB2312" w:hAnsi="Times New Roman" w:eastAsia="仿宋_GB2312"/>
          <w:sz w:val="32"/>
          <w:szCs w:val="32"/>
        </w:rPr>
        <w:t>省商标品牌示范企业</w:t>
      </w:r>
      <w:r>
        <w:rPr>
          <w:rFonts w:ascii="Times New Roman" w:hAnsi="Times New Roman" w:eastAsia="仿宋_GB2312"/>
          <w:color w:val="000000"/>
          <w:sz w:val="32"/>
        </w:rPr>
        <w:t>和</w:t>
      </w:r>
      <w:r>
        <w:rPr>
          <w:rFonts w:hint="eastAsia" w:ascii="Times New Roman" w:hAnsi="Times New Roman" w:eastAsia="仿宋_GB2312"/>
          <w:color w:val="000000"/>
          <w:sz w:val="32"/>
        </w:rPr>
        <w:t>皖美品牌</w:t>
      </w:r>
      <w:r>
        <w:rPr>
          <w:rFonts w:ascii="Times New Roman" w:hAnsi="Times New Roman" w:eastAsia="仿宋_GB2312"/>
          <w:color w:val="000000"/>
          <w:sz w:val="32"/>
        </w:rPr>
        <w:t>，不断壮大商标品牌群体。发挥企业的主体作用，着力打造一批有市场影响力、知名度较高的商标品牌，大力开展商标品牌宣传和推介活动，积极搭建铜官区商标品牌宣传展示与品牌商品交易平台，发挥品牌经济在促进供给侧结构调整中的重要作用。</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color w:val="000000"/>
          <w:sz w:val="32"/>
        </w:rPr>
        <w:t>实现商标运用多样化。</w:t>
      </w:r>
      <w:r>
        <w:rPr>
          <w:rFonts w:ascii="Times New Roman" w:hAnsi="Times New Roman" w:eastAsia="仿宋_GB2312"/>
          <w:color w:val="000000"/>
          <w:sz w:val="32"/>
        </w:rPr>
        <w:t>以推进注册商标有效运用为重点，促进商标品牌价值实现形式多样化。增强企业商标品牌运用意识，把实施商标品牌战略纳入企业发展总体战略，贯穿于企业生产、营销、品牌形象设计推广、服务、招商、投资、融资、兼并重组、“走出去”等全过程。支持和鼓励企业采取商标许可、转让、商标作价入股、</w:t>
      </w:r>
      <w:r>
        <w:rPr>
          <w:rFonts w:hint="eastAsia" w:ascii="Times New Roman" w:hAnsi="Times New Roman" w:eastAsia="仿宋_GB2312"/>
          <w:color w:val="000000"/>
          <w:sz w:val="32"/>
        </w:rPr>
        <w:t>知识产权</w:t>
      </w:r>
      <w:r>
        <w:rPr>
          <w:rFonts w:ascii="Times New Roman" w:hAnsi="Times New Roman" w:eastAsia="仿宋_GB2312"/>
          <w:color w:val="000000"/>
          <w:sz w:val="32"/>
        </w:rPr>
        <w:t>融资、商标品牌连锁经营、商标品牌走出去、品牌并购等多种形式有效运用商标，实现商标运用方式更加多元多样，推动铜官产品向铜官品牌转变。将国有企业的商标纳入国家资产管理范围，防止企业在经营、转让、兼并重组中商标品牌资产的流失</w:t>
      </w:r>
      <w:r>
        <w:rPr>
          <w:rFonts w:ascii="Times New Roman" w:hAnsi="Times New Roman" w:eastAsia="仿宋_GB2312"/>
          <w:sz w:val="32"/>
        </w:rPr>
        <w:t>。以开展</w:t>
      </w:r>
      <w:r>
        <w:rPr>
          <w:rFonts w:hint="eastAsia" w:ascii="Times New Roman" w:hAnsi="Times New Roman" w:eastAsia="仿宋_GB2312"/>
          <w:sz w:val="32"/>
        </w:rPr>
        <w:t>知识产权</w:t>
      </w:r>
      <w:r>
        <w:rPr>
          <w:rFonts w:ascii="Times New Roman" w:hAnsi="Times New Roman" w:eastAsia="仿宋_GB2312"/>
          <w:sz w:val="32"/>
        </w:rPr>
        <w:t>融资为重点，采取多种方式，努力寻求押融资工作取得新突破。加强与</w:t>
      </w:r>
      <w:r>
        <w:rPr>
          <w:rFonts w:ascii="Times New Roman" w:hAnsi="Times New Roman" w:eastAsia="仿宋_GB2312"/>
          <w:color w:val="000000"/>
          <w:sz w:val="32"/>
        </w:rPr>
        <w:t>银行业金融机构的联系，探讨建立长效合作机制的方式方法，共同搭建融资平台，推动</w:t>
      </w:r>
      <w:r>
        <w:rPr>
          <w:rFonts w:hint="eastAsia" w:ascii="Times New Roman" w:hAnsi="Times New Roman" w:eastAsia="仿宋_GB2312"/>
          <w:color w:val="000000"/>
          <w:sz w:val="32"/>
        </w:rPr>
        <w:t>知识产权</w:t>
      </w:r>
      <w:r>
        <w:rPr>
          <w:rFonts w:ascii="Times New Roman" w:hAnsi="Times New Roman" w:eastAsia="仿宋_GB2312"/>
          <w:color w:val="000000"/>
          <w:sz w:val="32"/>
        </w:rPr>
        <w:t>贷款扩面增容，帮助解决中小微企业融资难问题，助推实体经济发展。</w:t>
      </w:r>
    </w:p>
    <w:p>
      <w:pPr>
        <w:pStyle w:val="4"/>
        <w:keepNext w:val="0"/>
        <w:keepLines w:val="0"/>
        <w:overflowPunct w:val="0"/>
        <w:autoSpaceDE w:val="0"/>
        <w:spacing w:line="600" w:lineRule="exact"/>
        <w:jc w:val="center"/>
        <w:rPr>
          <w:rFonts w:ascii="Times New Roman" w:hAnsi="Times New Roman"/>
          <w:b w:val="0"/>
          <w:bCs/>
          <w:color w:val="000000"/>
        </w:rPr>
      </w:pPr>
      <w:bookmarkStart w:id="109" w:name="_Toc90645439"/>
      <w:bookmarkStart w:id="110" w:name="_Toc23244"/>
      <w:r>
        <w:rPr>
          <w:rFonts w:hint="eastAsia" w:ascii="Times New Roman" w:hAnsi="Times New Roman"/>
          <w:b w:val="0"/>
          <w:bCs/>
          <w:color w:val="000000"/>
        </w:rPr>
        <w:t>第九节  民营经济壮大工程</w:t>
      </w:r>
      <w:bookmarkEnd w:id="109"/>
      <w:bookmarkEnd w:id="110"/>
    </w:p>
    <w:p>
      <w:pPr>
        <w:overflowPunct w:val="0"/>
        <w:autoSpaceDE w:val="0"/>
        <w:spacing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坚持把发展民营经济作为贯彻以人民为中心的发展思想的具体体现，通过一系列政策举措，促进民营经济又好又快发展。</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激发市场主体活力。</w:t>
      </w:r>
      <w:r>
        <w:rPr>
          <w:rFonts w:ascii="Times New Roman" w:hAnsi="Times New Roman" w:eastAsia="仿宋_GB2312"/>
          <w:color w:val="000000"/>
          <w:sz w:val="32"/>
        </w:rPr>
        <w:t xml:space="preserve">实施“稳主体增主体扶主体”行动，继续落实减税降费、减租降息政策，确保各项纾困措施直达基层、直接惠及市场主体。鼓励高校、科研院所科技人员离岗创业，积极推动大众创业。激活壮大创新创业主体。设立高等学校毕业生创业就业基金，对符合产业发展方向的大学生创业项目提供股权投资、融资担保等服务。全面强化载体建设。充分利用中小企业发展、创业扶持等专项资金，升级一批中小企业公共服务平台。支持民营企业参与强链延链补链工程，推动企业“上云用数赋智”。依托中小企业创业辅导基地、公共技术服务平台、人才培训基地、创业孵化基地、科技孵化器、众创空间等，培育一批资源共享、具有特色服务功能的中小企业公共服务示范平台。   </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强化要素资源保障。</w:t>
      </w:r>
      <w:r>
        <w:rPr>
          <w:rFonts w:ascii="Times New Roman" w:hAnsi="Times New Roman" w:eastAsia="仿宋_GB2312"/>
          <w:color w:val="000000"/>
          <w:sz w:val="32"/>
        </w:rPr>
        <w:t>做好用工保障。通过学校培训与企业实训培养一批民营企业亟须的高技能人才，强化企业用工服务。建立企业用工需求信息档案，加强企业用工需求动态化监测。支持民营企业与职业技术学校开展战略合作，大力开展技能大赛和劳动竞赛，推进技能大师工作室建设，推动高级技能传承，培育“工匠”精神，打造一支高技能人才队伍。鼓励民营企业引进高层次人才，全面落实住房、就医、就学、落户等政策，不断优化人才工作、生活环境。破解融资瓶颈。</w:t>
      </w:r>
      <w:r>
        <w:rPr>
          <w:rFonts w:hint="eastAsia" w:ascii="仿宋_GB2312" w:hAnsi="仿宋_GB2312" w:eastAsia="仿宋_GB2312" w:cs="仿宋_GB2312"/>
          <w:sz w:val="32"/>
          <w:szCs w:val="32"/>
        </w:rPr>
        <w:t>加强金融服务，引导金融机构扩大信贷规模，加大信贷资金投放力度，缓解中小微企业融资难难题</w:t>
      </w:r>
      <w:r>
        <w:rPr>
          <w:rFonts w:ascii="Times New Roman" w:hAnsi="Times New Roman" w:eastAsia="仿宋_GB2312"/>
          <w:color w:val="000000"/>
          <w:sz w:val="32"/>
        </w:rPr>
        <w:t>。支持银行增加制造业中长期贷款，提高中小微企业“首贷率”和信用贷款占比，扩大新型政银担、税融通、无还本续贷等业务规模。落实小微企业贷款风险补偿政策，支持金融机构增加对小微企业的信贷投入。</w:t>
      </w:r>
      <w:r>
        <w:rPr>
          <w:rFonts w:hint="eastAsia" w:ascii="仿宋_GB2312" w:hAnsi="仿宋_GB2312" w:eastAsia="仿宋_GB2312" w:cs="仿宋_GB2312"/>
          <w:sz w:val="32"/>
          <w:szCs w:val="32"/>
        </w:rPr>
        <w:t>完善民营和中小微企业上市后备资源库，支持民营企业上市和再融资</w:t>
      </w:r>
      <w:r>
        <w:rPr>
          <w:rFonts w:ascii="Times New Roman" w:hAnsi="Times New Roman" w:eastAsia="仿宋_GB2312"/>
          <w:color w:val="000000"/>
          <w:sz w:val="32"/>
        </w:rPr>
        <w:t>。</w:t>
      </w:r>
    </w:p>
    <w:p>
      <w:pPr>
        <w:overflowPunct w:val="0"/>
        <w:autoSpaceDE w:val="0"/>
        <w:spacing w:line="600" w:lineRule="exact"/>
        <w:ind w:firstLine="643" w:firstLineChars="200"/>
        <w:rPr>
          <w:rFonts w:ascii="Times New Roman" w:hAnsi="Times New Roman" w:eastAsia="仿宋_GB2312"/>
          <w:color w:val="000000"/>
          <w:sz w:val="32"/>
        </w:rPr>
      </w:pPr>
      <w:r>
        <w:rPr>
          <w:rFonts w:ascii="Times New Roman" w:hAnsi="Times New Roman" w:eastAsia="楷体_GB2312"/>
          <w:b/>
          <w:bCs/>
          <w:color w:val="000000"/>
          <w:sz w:val="32"/>
        </w:rPr>
        <w:t>着力优化营商环境。</w:t>
      </w:r>
      <w:r>
        <w:rPr>
          <w:rFonts w:ascii="Times New Roman" w:hAnsi="Times New Roman" w:eastAsia="仿宋_GB2312"/>
          <w:color w:val="000000"/>
          <w:sz w:val="32"/>
        </w:rPr>
        <w:t>加大奖励扶持、减税降费等各项政策的宣传、兑现力度，打通政策落实“最后一公里”，帮助企业走好发展的“最先一公里”。向民营企业推送政策信息，建立“一卡、一码、一表、一册”核心的工作机制，积极帮助符合条件的纳税人、缴费人用足用活用好各项减税降费政策红利。提升政务服务水平，持续推进“互联网+政务服务”，深化政务服务“一网、一门、一次”改革，推动线上线下深度融合，让企业办事更便利、更快捷。弘扬“有呼必应、无事不扰”的店小二精神，全力构建亲商重商新生态。积极发挥政府采购支持作用，引导各单位、部门在满足机构自身运转和提供公共服务需求的前提下，面向中小企业开展政府采购项目。探索推进“首台套”产品纳入政府采购目录，同质同价下优先采购，并定期举行银企对接活动，优先满足“首台套”企业和用户的融资需求。</w:t>
      </w:r>
    </w:p>
    <w:p>
      <w:pPr>
        <w:pStyle w:val="10"/>
        <w:overflowPunct w:val="0"/>
        <w:autoSpaceDE w:val="0"/>
        <w:spacing w:after="0" w:line="600" w:lineRule="exact"/>
        <w:ind w:firstLine="643" w:firstLineChars="200"/>
        <w:rPr>
          <w:rFonts w:ascii="Times New Roman" w:hAnsi="Times New Roman"/>
          <w:color w:val="000000"/>
        </w:rPr>
      </w:pPr>
      <w:r>
        <w:rPr>
          <w:rFonts w:ascii="Times New Roman" w:hAnsi="Times New Roman" w:eastAsia="楷体_GB2312"/>
          <w:b/>
          <w:bCs/>
          <w:color w:val="000000"/>
          <w:sz w:val="32"/>
        </w:rPr>
        <w:t>支持企业改革创新。</w:t>
      </w:r>
      <w:r>
        <w:rPr>
          <w:rFonts w:ascii="Times New Roman" w:hAnsi="Times New Roman" w:eastAsia="仿宋_GB2312"/>
          <w:color w:val="000000"/>
          <w:sz w:val="32"/>
        </w:rPr>
        <w:t>引导民营企业深化改革，鼓励民营企业探索建立中国特色现代企业制度，不断提升经营能力和管理水平。实施民营经济上台阶行动计划、新一轮技术改造专项行动、高新技术企业加速成长行动，培育一批行业领军型和成长创新型民营企业。加快民营企业转型升级优化重组，鼓励民营企业参与国有企业重大投资、成果转化和资产整合项目，引导中小企业走“专精特新”发展之路，培育一批专精特新企业、冠军企业、小巨人企业。鼓励民营企业参与重大战略实施，促进民营企业深度融入长三角区域一体化发展。引导民营企业聚精会神办实业，开展优秀民营企业和百名优秀民营企业家等评选表彰活动。推动民营企业守法合规经营，履行社会责任，关心员工健康，积极参与光彩事业、公益慈善事业、应急救灾、援疆援藏等工作。引导民营企业家健康成长，促进年轻一代民营企业家健康成长。</w:t>
      </w:r>
    </w:p>
    <w:tbl>
      <w:tblPr>
        <w:tblStyle w:val="30"/>
        <w:tblW w:w="8852" w:type="dxa"/>
        <w:jc w:val="center"/>
        <w:tblLayout w:type="fixed"/>
        <w:tblCellMar>
          <w:top w:w="15" w:type="dxa"/>
          <w:left w:w="15" w:type="dxa"/>
          <w:bottom w:w="15" w:type="dxa"/>
          <w:right w:w="15" w:type="dxa"/>
        </w:tblCellMar>
      </w:tblPr>
      <w:tblGrid>
        <w:gridCol w:w="8852"/>
      </w:tblGrid>
      <w:tr>
        <w:tblPrEx>
          <w:tblCellMar>
            <w:top w:w="15" w:type="dxa"/>
            <w:left w:w="15" w:type="dxa"/>
            <w:bottom w:w="15" w:type="dxa"/>
            <w:right w:w="15" w:type="dxa"/>
          </w:tblCellMar>
        </w:tblPrEx>
        <w:trPr>
          <w:cantSplit/>
          <w:trHeight w:val="570"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pStyle w:val="42"/>
              <w:widowControl w:val="0"/>
              <w:overflowPunct w:val="0"/>
              <w:autoSpaceDE w:val="0"/>
              <w:snapToGrid w:val="0"/>
              <w:spacing w:beforeLines="50" w:beforeAutospacing="0" w:afterLines="50" w:afterAutospacing="0" w:line="240" w:lineRule="auto"/>
              <w:jc w:val="center"/>
              <w:rPr>
                <w:rFonts w:ascii="Times New Roman" w:hAnsi="Times New Roman" w:eastAsia="仿宋"/>
                <w:bCs/>
                <w:color w:val="000000"/>
                <w:kern w:val="2"/>
                <w:sz w:val="24"/>
                <w:szCs w:val="24"/>
              </w:rPr>
            </w:pPr>
            <w:r>
              <w:rPr>
                <w:rFonts w:ascii="Times New Roman" w:hAnsi="Times New Roman" w:eastAsia="仿宋_GB2312"/>
                <w:b/>
                <w:color w:val="000000"/>
                <w:kern w:val="2"/>
                <w:sz w:val="30"/>
                <w:szCs w:val="30"/>
              </w:rPr>
              <w:t>专栏10：民营经济重点行动</w:t>
            </w:r>
          </w:p>
        </w:tc>
      </w:tr>
      <w:tr>
        <w:tblPrEx>
          <w:tblCellMar>
            <w:top w:w="15" w:type="dxa"/>
            <w:left w:w="15" w:type="dxa"/>
            <w:bottom w:w="15" w:type="dxa"/>
            <w:right w:w="15" w:type="dxa"/>
          </w:tblCellMar>
        </w:tblPrEx>
        <w:trPr>
          <w:cantSplit/>
          <w:trHeight w:val="12270" w:hRule="atLeast"/>
          <w:jc w:val="center"/>
        </w:trPr>
        <w:tc>
          <w:tcPr>
            <w:tcW w:w="8852" w:type="dxa"/>
            <w:tcBorders>
              <w:top w:val="single" w:color="auto" w:sz="4" w:space="0"/>
              <w:left w:val="single" w:color="auto" w:sz="4" w:space="0"/>
              <w:bottom w:val="single" w:color="auto" w:sz="4" w:space="0"/>
              <w:right w:val="single" w:color="auto" w:sz="4" w:space="0"/>
            </w:tcBorders>
            <w:noWrap/>
            <w:vAlign w:val="center"/>
          </w:tcPr>
          <w:p>
            <w:pPr>
              <w:overflowPunct w:val="0"/>
              <w:autoSpaceDE w:val="0"/>
              <w:adjustRightInd w:val="0"/>
              <w:snapToGrid w:val="0"/>
              <w:spacing w:line="58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四送一服“双千工程”行动：</w:t>
            </w:r>
            <w:r>
              <w:rPr>
                <w:rFonts w:ascii="Times New Roman" w:hAnsi="Times New Roman" w:eastAsia="仿宋_GB2312"/>
                <w:bCs/>
                <w:color w:val="000000"/>
                <w:sz w:val="24"/>
              </w:rPr>
              <w:t>送新发展理念、 送支持政策、送创新项目、送生产要素，服务实体经济，构建亲清政商关系，确保全区经济平稳健康发展。</w:t>
            </w:r>
          </w:p>
          <w:p>
            <w:pPr>
              <w:overflowPunct w:val="0"/>
              <w:autoSpaceDE w:val="0"/>
              <w:adjustRightInd w:val="0"/>
              <w:snapToGrid w:val="0"/>
              <w:spacing w:line="58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企业项目联系包保专题调度行动：</w:t>
            </w:r>
            <w:r>
              <w:rPr>
                <w:rFonts w:ascii="Times New Roman" w:hAnsi="Times New Roman" w:eastAsia="仿宋_GB2312"/>
                <w:bCs/>
                <w:color w:val="000000"/>
                <w:sz w:val="24"/>
              </w:rPr>
              <w:t>将省市重点项目、“专精特新”企业、规模以上工业企业、资质等级建筑业企业、限额以上批零住餐企业、规模以上服务业企业等“四上”企业以及重点外贸企业纳入各地、各部门“四送一服”联系包保范围并动态调整，“一对一”精准推送支持帮扶政策，协调解决企业反映诉求。</w:t>
            </w:r>
          </w:p>
          <w:p>
            <w:pPr>
              <w:overflowPunct w:val="0"/>
              <w:autoSpaceDE w:val="0"/>
              <w:adjustRightInd w:val="0"/>
              <w:snapToGrid w:val="0"/>
              <w:spacing w:line="58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民营经济高质量发展行动：</w:t>
            </w:r>
            <w:r>
              <w:rPr>
                <w:rFonts w:ascii="Times New Roman" w:hAnsi="Times New Roman" w:eastAsia="仿宋_GB2312"/>
                <w:bCs/>
                <w:color w:val="000000"/>
                <w:sz w:val="24"/>
              </w:rPr>
              <w:t>牢固树立“为‘自己人’办事就是办‘自己的’事”的服务理念，进一步激发民营企业创业热情，成全成就企业家创意创新创造，充分发挥职能作用，为民营经济发展提供支持和保障。</w:t>
            </w:r>
          </w:p>
          <w:p>
            <w:pPr>
              <w:overflowPunct w:val="0"/>
              <w:autoSpaceDE w:val="0"/>
              <w:adjustRightInd w:val="0"/>
              <w:snapToGrid w:val="0"/>
              <w:spacing w:line="58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说不“提级”行动：</w:t>
            </w:r>
            <w:r>
              <w:rPr>
                <w:rFonts w:ascii="Times New Roman" w:hAnsi="Times New Roman" w:eastAsia="仿宋_GB2312"/>
                <w:bCs/>
                <w:color w:val="000000"/>
                <w:sz w:val="24"/>
              </w:rPr>
              <w:t>按照“不说不能办、只说如何办”的原则，不得向服务对象说“不知道怎么办、不清楚在哪办、不符合办理条件、暂时不能办理、不属于我单位职责”等用语，严格执行“说不”提级管理制度，按规定予以办理答复，同时做好跟踪问效，直至有效推动事项办理完成。</w:t>
            </w:r>
          </w:p>
          <w:p>
            <w:pPr>
              <w:overflowPunct w:val="0"/>
              <w:autoSpaceDE w:val="0"/>
              <w:adjustRightInd w:val="0"/>
              <w:snapToGrid w:val="0"/>
              <w:spacing w:line="580" w:lineRule="exact"/>
              <w:ind w:firstLine="482"/>
              <w:rPr>
                <w:rFonts w:ascii="Times New Roman" w:hAnsi="Times New Roman" w:eastAsia="仿宋_GB2312"/>
                <w:bCs/>
                <w:color w:val="000000"/>
                <w:sz w:val="24"/>
              </w:rPr>
            </w:pPr>
            <w:r>
              <w:rPr>
                <w:rFonts w:ascii="Times New Roman" w:hAnsi="Times New Roman" w:eastAsia="仿宋_GB2312"/>
                <w:b/>
                <w:color w:val="000000"/>
                <w:sz w:val="24"/>
              </w:rPr>
              <w:t>首问负责制行动：</w:t>
            </w:r>
            <w:r>
              <w:rPr>
                <w:rFonts w:ascii="Times New Roman" w:hAnsi="Times New Roman" w:eastAsia="仿宋_GB2312"/>
                <w:bCs/>
                <w:color w:val="000000"/>
                <w:sz w:val="24"/>
              </w:rPr>
              <w:t>首问责任人对群众提出的问题或要求，无论是否是自己职责（权）范围内的事，都要给群众一个满意的答复。对职责（权）范围内的事，若手续完备，首问责任人要在规定的时限内予以办结；若手续不完备，应一次性告之其办事机关的全部办理要求和所需的文书材料，不要让群众多跑或白跑。对非自己职责（权）范围内的事，首问责任人也要热情接待。</w:t>
            </w:r>
          </w:p>
          <w:p>
            <w:pPr>
              <w:overflowPunct w:val="0"/>
              <w:autoSpaceDE w:val="0"/>
              <w:adjustRightInd w:val="0"/>
              <w:snapToGrid w:val="0"/>
              <w:spacing w:line="580" w:lineRule="exact"/>
              <w:ind w:firstLine="482"/>
              <w:rPr>
                <w:rFonts w:ascii="Times New Roman" w:hAnsi="Times New Roman" w:eastAsia="仿宋"/>
                <w:bCs/>
                <w:color w:val="000000"/>
                <w:sz w:val="24"/>
              </w:rPr>
            </w:pPr>
            <w:r>
              <w:rPr>
                <w:rFonts w:ascii="Times New Roman" w:hAnsi="Times New Roman" w:eastAsia="仿宋_GB2312"/>
                <w:b/>
                <w:color w:val="000000"/>
                <w:sz w:val="24"/>
              </w:rPr>
              <w:t>中小企业梯度培育行动：</w:t>
            </w:r>
            <w:r>
              <w:rPr>
                <w:rFonts w:ascii="Times New Roman" w:hAnsi="Times New Roman" w:eastAsia="仿宋_GB2312"/>
                <w:bCs/>
                <w:color w:val="000000"/>
                <w:sz w:val="24"/>
              </w:rPr>
              <w:t>构建支撑高质量发展的现代产业服务体系，支持产业载体提质增效、鼓励企业创新争优、支持企业梯度发展、培育产业生态圈。根据我区不同梯次企业需求，分层分类，有针对性开展指导服务。</w:t>
            </w:r>
          </w:p>
        </w:tc>
      </w:tr>
    </w:tbl>
    <w:p>
      <w:pPr>
        <w:pStyle w:val="3"/>
        <w:keepNext w:val="0"/>
        <w:keepLines w:val="0"/>
        <w:overflowPunct w:val="0"/>
        <w:autoSpaceDE w:val="0"/>
        <w:spacing w:beforeLines="50" w:afterLines="50" w:line="600" w:lineRule="exact"/>
        <w:rPr>
          <w:rFonts w:ascii="Times New Roman" w:hAnsi="Times New Roman" w:eastAsia="方正小标宋简体" w:cs="Times New Roman"/>
          <w:color w:val="000000"/>
          <w:sz w:val="44"/>
          <w:szCs w:val="44"/>
        </w:rPr>
      </w:pPr>
      <w:bookmarkStart w:id="111" w:name="_Toc90645440"/>
      <w:r>
        <w:rPr>
          <w:rFonts w:hint="eastAsia" w:ascii="Times New Roman" w:hAnsi="Times New Roman" w:eastAsia="方正小标宋简体" w:cs="Times New Roman"/>
          <w:color w:val="000000"/>
          <w:sz w:val="44"/>
          <w:szCs w:val="44"/>
        </w:rPr>
        <w:t>第九章  保障措施</w:t>
      </w:r>
      <w:bookmarkEnd w:id="111"/>
    </w:p>
    <w:p>
      <w:pPr>
        <w:pStyle w:val="10"/>
        <w:overflowPunct w:val="0"/>
        <w:autoSpaceDE w:val="0"/>
        <w:spacing w:after="0"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《规划》是铜官区“十四五”时期内对工业各部门发展建设与布局的总体部署，是全区工业发展战略的进一步详细落实，是指导工业建设和布局的科学依据。</w:t>
      </w:r>
    </w:p>
    <w:p>
      <w:pPr>
        <w:pStyle w:val="4"/>
        <w:keepNext w:val="0"/>
        <w:keepLines w:val="0"/>
        <w:overflowPunct w:val="0"/>
        <w:autoSpaceDE w:val="0"/>
        <w:spacing w:line="600" w:lineRule="exact"/>
        <w:jc w:val="center"/>
        <w:rPr>
          <w:rFonts w:ascii="Times New Roman" w:hAnsi="Times New Roman"/>
          <w:b w:val="0"/>
          <w:bCs/>
          <w:color w:val="000000"/>
        </w:rPr>
      </w:pPr>
      <w:bookmarkStart w:id="112" w:name="_Toc90645441"/>
      <w:r>
        <w:rPr>
          <w:rFonts w:hint="eastAsia" w:ascii="Times New Roman" w:hAnsi="Times New Roman"/>
          <w:b w:val="0"/>
          <w:bCs/>
          <w:color w:val="000000"/>
        </w:rPr>
        <w:t>第一节  加强统筹协调</w:t>
      </w:r>
      <w:bookmarkEnd w:id="112"/>
    </w:p>
    <w:p>
      <w:pPr>
        <w:pStyle w:val="10"/>
        <w:overflowPunct w:val="0"/>
        <w:autoSpaceDE w:val="0"/>
        <w:spacing w:after="0"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充分发挥区政府对工业和信息化发展工作的领导作用，加强顶层设计，加大对资金、技术、人力、土地等资源的统筹力度，及时研究解决工作推进中存在的问题。区各有关部门要加强协调配合，整合要素资源，共同推动全区</w:t>
      </w:r>
      <w:r>
        <w:rPr>
          <w:rFonts w:hint="eastAsia" w:ascii="Times New Roman" w:hAnsi="Times New Roman" w:eastAsia="仿宋_GB2312"/>
          <w:color w:val="000000"/>
          <w:sz w:val="32"/>
        </w:rPr>
        <w:t>工业</w:t>
      </w:r>
      <w:r>
        <w:rPr>
          <w:rFonts w:ascii="Times New Roman" w:hAnsi="Times New Roman" w:eastAsia="仿宋_GB2312"/>
          <w:color w:val="000000"/>
          <w:sz w:val="32"/>
        </w:rPr>
        <w:t>和信息化实现跨越发展。</w:t>
      </w:r>
    </w:p>
    <w:p>
      <w:pPr>
        <w:pStyle w:val="4"/>
        <w:keepNext w:val="0"/>
        <w:keepLines w:val="0"/>
        <w:overflowPunct w:val="0"/>
        <w:autoSpaceDE w:val="0"/>
        <w:spacing w:line="600" w:lineRule="exact"/>
        <w:jc w:val="center"/>
        <w:rPr>
          <w:rFonts w:ascii="Times New Roman" w:hAnsi="Times New Roman"/>
          <w:b w:val="0"/>
          <w:bCs/>
          <w:color w:val="000000"/>
        </w:rPr>
      </w:pPr>
      <w:bookmarkStart w:id="113" w:name="_Toc90645442"/>
      <w:r>
        <w:rPr>
          <w:rFonts w:hint="eastAsia" w:ascii="Times New Roman" w:hAnsi="Times New Roman"/>
          <w:b w:val="0"/>
          <w:bCs/>
          <w:color w:val="000000"/>
        </w:rPr>
        <w:t>第二节  创新工作机制</w:t>
      </w:r>
      <w:bookmarkEnd w:id="113"/>
    </w:p>
    <w:p>
      <w:pPr>
        <w:pStyle w:val="10"/>
        <w:overflowPunct w:val="0"/>
        <w:autoSpaceDE w:val="0"/>
        <w:spacing w:after="0" w:line="60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区</w:t>
      </w:r>
      <w:r>
        <w:rPr>
          <w:rFonts w:hint="eastAsia" w:ascii="Times New Roman" w:hAnsi="Times New Roman" w:eastAsia="仿宋_GB2312"/>
          <w:color w:val="000000"/>
          <w:sz w:val="32"/>
        </w:rPr>
        <w:t>经济</w:t>
      </w:r>
      <w:r>
        <w:rPr>
          <w:rFonts w:ascii="Times New Roman" w:hAnsi="Times New Roman" w:eastAsia="仿宋_GB2312"/>
          <w:color w:val="000000"/>
          <w:sz w:val="32"/>
        </w:rPr>
        <w:t>和信息化局是推进《规划》实施的责任主体，要加强组织领导，建立相应的工作机制，确保重大项目建设、体制机制改革、科技成果转化等顺利实施。要树立全局眼光，加强与各类智库合作，建立综合性、常态化的研判机制，把脉产业发展方向，提升产业谋划水平。</w:t>
      </w:r>
    </w:p>
    <w:p>
      <w:pPr>
        <w:pStyle w:val="4"/>
        <w:keepNext w:val="0"/>
        <w:keepLines w:val="0"/>
        <w:overflowPunct w:val="0"/>
        <w:autoSpaceDE w:val="0"/>
        <w:spacing w:line="600" w:lineRule="exact"/>
        <w:jc w:val="center"/>
        <w:rPr>
          <w:rFonts w:ascii="Times New Roman" w:hAnsi="Times New Roman"/>
          <w:b w:val="0"/>
          <w:bCs/>
          <w:color w:val="000000"/>
        </w:rPr>
      </w:pPr>
      <w:bookmarkStart w:id="114" w:name="_Toc90645443"/>
      <w:r>
        <w:rPr>
          <w:rFonts w:hint="eastAsia" w:ascii="Times New Roman" w:hAnsi="Times New Roman"/>
          <w:b w:val="0"/>
          <w:bCs/>
          <w:color w:val="000000"/>
        </w:rPr>
        <w:t>第三节  强化要素保障</w:t>
      </w:r>
      <w:bookmarkEnd w:id="114"/>
    </w:p>
    <w:p>
      <w:pPr>
        <w:pStyle w:val="10"/>
        <w:overflowPunct w:val="0"/>
        <w:autoSpaceDE w:val="0"/>
        <w:spacing w:after="0" w:line="58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充分发挥“三重一创”专项引导资金作用，重点投向重大项目建设、新产品研发和关键技术产业化、检验检测平台建设等。谋划设立铜官区产业投资基金，加大对种子期、初创期科技型中小企业支持力度。加大高层次人才、高技能人才引进培养力度，各类人才激励政策优先向“三重一创”建设倾斜。优化中小企业资本市场，建设中小企业融资服务绿色通道。指导企业主动对接多层次资本市场，发挥上市企业“资本＋技术＋市场”的叠加优势，推进企业上市步伐，鼓励和促进龙头企业在主板上市，新经济和新兴产业企业在创业板上市，做大做强资本市场“铜官板块”。</w:t>
      </w:r>
      <w:r>
        <w:rPr>
          <w:rFonts w:hint="eastAsia" w:ascii="Times New Roman" w:hAnsi="Times New Roman" w:eastAsia="仿宋_GB2312"/>
          <w:color w:val="000000"/>
          <w:sz w:val="32"/>
        </w:rPr>
        <w:t>以新一轮国土空间规划编制为契机，优化完善工业用地布局规划，坚持政府主导，依托“亩均论英雄”要求，支持低效工业用地通过政府回购、企业自主提升改造、二级市场流转等措施实施二次开发。鼓励通用行业的工业用地实行带建设工程设计方案和施工图设计方案出让，实现“拿地即开工”，并加大标准厂房建设力度。</w:t>
      </w:r>
    </w:p>
    <w:p>
      <w:pPr>
        <w:pStyle w:val="4"/>
        <w:keepNext w:val="0"/>
        <w:keepLines w:val="0"/>
        <w:overflowPunct w:val="0"/>
        <w:autoSpaceDE w:val="0"/>
        <w:spacing w:line="580" w:lineRule="exact"/>
        <w:jc w:val="center"/>
        <w:rPr>
          <w:rFonts w:ascii="Times New Roman" w:hAnsi="Times New Roman"/>
          <w:b w:val="0"/>
          <w:bCs/>
          <w:color w:val="000000"/>
        </w:rPr>
      </w:pPr>
      <w:bookmarkStart w:id="115" w:name="_Toc90645444"/>
      <w:r>
        <w:rPr>
          <w:rFonts w:hint="eastAsia" w:ascii="Times New Roman" w:hAnsi="Times New Roman"/>
          <w:b w:val="0"/>
          <w:bCs/>
          <w:color w:val="000000"/>
        </w:rPr>
        <w:t>第四节  扩大对外开放</w:t>
      </w:r>
      <w:bookmarkEnd w:id="115"/>
    </w:p>
    <w:p>
      <w:pPr>
        <w:pStyle w:val="10"/>
        <w:overflowPunct w:val="0"/>
        <w:autoSpaceDE w:val="0"/>
        <w:spacing w:after="0" w:line="58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推动形成以国内大循环为主体、国内国际双循环相互促进的新发展格局，培育新形势下铜官区参与国际合作和竞争新优势。支持企业参加“一带一路”展会和国际知名展会，巩固拓展铜文化和铜精深加工产品出口市场，努力流体装备制造、精密电子检测、精细化工等产品出口。鼓励洁雅</w:t>
      </w:r>
      <w:r>
        <w:rPr>
          <w:rFonts w:hint="eastAsia" w:ascii="Times New Roman" w:hAnsi="Times New Roman" w:eastAsia="仿宋_GB2312"/>
          <w:color w:val="000000"/>
          <w:sz w:val="32"/>
        </w:rPr>
        <w:t>生物</w:t>
      </w:r>
      <w:r>
        <w:rPr>
          <w:rFonts w:ascii="Times New Roman" w:hAnsi="Times New Roman" w:eastAsia="仿宋_GB2312"/>
          <w:color w:val="000000"/>
          <w:sz w:val="32"/>
        </w:rPr>
        <w:t>、安纳达等企业出口创汇，全方位多领域扩大铜官区外贸市场。加大对外贸企业监测服务力度，促进出口型产业项目增资扩产，培育外贸主体。积极利用进博会、世界制造业大会溢出效应，鼓励企业扩大进口，支持企业引进先进技术、关键设备和重要零部件，提升企业技术水平。</w:t>
      </w:r>
    </w:p>
    <w:p>
      <w:pPr>
        <w:pStyle w:val="4"/>
        <w:keepNext w:val="0"/>
        <w:keepLines w:val="0"/>
        <w:overflowPunct w:val="0"/>
        <w:autoSpaceDE w:val="0"/>
        <w:spacing w:line="580" w:lineRule="exact"/>
        <w:jc w:val="center"/>
        <w:rPr>
          <w:rFonts w:ascii="Times New Roman" w:hAnsi="Times New Roman"/>
          <w:b w:val="0"/>
          <w:bCs/>
          <w:color w:val="000000"/>
        </w:rPr>
      </w:pPr>
      <w:bookmarkStart w:id="116" w:name="_Toc90645445"/>
      <w:r>
        <w:rPr>
          <w:rFonts w:hint="eastAsia" w:ascii="Times New Roman" w:hAnsi="Times New Roman"/>
          <w:b w:val="0"/>
          <w:bCs/>
          <w:color w:val="000000"/>
        </w:rPr>
        <w:t>第五节  严格考核评估</w:t>
      </w:r>
      <w:bookmarkEnd w:id="116"/>
    </w:p>
    <w:p>
      <w:pPr>
        <w:pStyle w:val="10"/>
        <w:overflowPunct w:val="0"/>
        <w:autoSpaceDE w:val="0"/>
        <w:spacing w:after="0" w:line="580" w:lineRule="exact"/>
        <w:ind w:firstLine="640" w:firstLineChars="200"/>
        <w:rPr>
          <w:rFonts w:ascii="Times New Roman" w:hAnsi="Times New Roman" w:eastAsia="仿宋_GB2312"/>
          <w:color w:val="000000"/>
          <w:sz w:val="32"/>
        </w:rPr>
      </w:pPr>
      <w:r>
        <w:rPr>
          <w:rFonts w:ascii="Times New Roman" w:hAnsi="Times New Roman" w:eastAsia="仿宋_GB2312"/>
          <w:color w:val="000000"/>
          <w:sz w:val="32"/>
        </w:rPr>
        <w:t>建立任务落实情况督促检查机制和第三方评估机制，对重点项目实行动态调整管理。组织开展《规划》年度监测分析、中期评估和总结评估，加强第三方评估，及时公布规划实施进展，健全规划动态调整和修订机制。</w:t>
      </w:r>
    </w:p>
    <w:p>
      <w:pPr>
        <w:rPr>
          <w:rFonts w:ascii="Times New Roman" w:hAnsi="Times New Roman" w:eastAsia="仿宋_GB2312" w:cs="Times New Roman"/>
          <w:sz w:val="32"/>
        </w:rPr>
      </w:pPr>
    </w:p>
    <w:sectPr>
      <w:footerReference r:id="rId9" w:type="default"/>
      <w:pgSz w:w="11905" w:h="16838"/>
      <w:pgMar w:top="1701" w:right="1531" w:bottom="1701" w:left="1531" w:header="851" w:footer="1247" w:gutter="0"/>
      <w:pgNumType w:fmt="numberInDash"/>
      <w:cols w:space="0" w:num="1"/>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Heiti SC Medium">
    <w:altName w:val="hakuyoxingshu7000"/>
    <w:panose1 w:val="00000000000000000000"/>
    <w:charset w:val="80"/>
    <w:family w:val="auto"/>
    <w:pitch w:val="default"/>
    <w:sig w:usb0="00000000" w:usb1="00000000" w:usb2="00000010" w:usb3="00000000" w:csb0="003E0001" w:csb1="00000000"/>
  </w:font>
  <w:font w:name="hakuyoxingshu7000">
    <w:panose1 w:val="02000600000000000000"/>
    <w:charset w:val="86"/>
    <w:family w:val="auto"/>
    <w:pitch w:val="default"/>
    <w:sig w:usb0="FFFFFFFF" w:usb1="E9FFFFFF" w:usb2="0000003F" w:usb3="00000000" w:csb0="603F00FF" w:csb1="FFFF0000"/>
  </w:font>
  <w:font w:name="Arial">
    <w:panose1 w:val="020B0604020202020204"/>
    <w:charset w:val="00"/>
    <w:family w:val="swiss"/>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华文宋体">
    <w:altName w:val="宋体"/>
    <w:panose1 w:val="02010600040101010101"/>
    <w:charset w:val="86"/>
    <w:family w:val="auto"/>
    <w:pitch w:val="default"/>
    <w:sig w:usb0="00000000" w:usb1="00000000" w:usb2="00000010" w:usb3="00000000" w:csb0="0004009F"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rPr>
                              <w:rStyle w:val="34"/>
                              <w:rFonts w:asciiTheme="minorEastAsia" w:hAnsiTheme="minorEastAsia" w:cstheme="minorEastAsia"/>
                              <w:sz w:val="28"/>
                              <w:szCs w:val="28"/>
                            </w:rPr>
                          </w:pPr>
                          <w:r>
                            <w:rPr>
                              <w:rStyle w:val="34"/>
                              <w:rFonts w:hint="eastAsia" w:asciiTheme="minorEastAsia" w:hAnsiTheme="minorEastAsia" w:cstheme="minorEastAsia"/>
                              <w:sz w:val="28"/>
                              <w:szCs w:val="28"/>
                            </w:rPr>
                            <w:fldChar w:fldCharType="begin"/>
                          </w:r>
                          <w:r>
                            <w:rPr>
                              <w:rStyle w:val="34"/>
                              <w:rFonts w:hint="eastAsia" w:asciiTheme="minorEastAsia" w:hAnsiTheme="minorEastAsia" w:cstheme="minorEastAsia"/>
                              <w:sz w:val="28"/>
                              <w:szCs w:val="28"/>
                            </w:rPr>
                            <w:instrText xml:space="preserve"> PAGE </w:instrText>
                          </w:r>
                          <w:r>
                            <w:rPr>
                              <w:rStyle w:val="34"/>
                              <w:rFonts w:hint="eastAsia" w:asciiTheme="minorEastAsia" w:hAnsiTheme="minorEastAsia" w:cstheme="minorEastAsia"/>
                              <w:sz w:val="28"/>
                              <w:szCs w:val="28"/>
                            </w:rPr>
                            <w:fldChar w:fldCharType="separate"/>
                          </w:r>
                          <w:r>
                            <w:rPr>
                              <w:rStyle w:val="34"/>
                              <w:rFonts w:asciiTheme="minorEastAsia" w:hAnsiTheme="minorEastAsia" w:cstheme="minorEastAsia"/>
                              <w:sz w:val="28"/>
                              <w:szCs w:val="28"/>
                            </w:rPr>
                            <w:t>- 3 -</w:t>
                          </w:r>
                          <w:r>
                            <w:rPr>
                              <w:rStyle w:val="34"/>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jHpww4AgAAb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mMenDDgCAABvBAAADgAAAAAAAAABACAAAAAfAQAAZHJzL2Uyb0RvYy54&#10;bWxQSwUGAAAAAAYABgBZAQAAyQUAAAAA&#10;">
              <v:fill on="f" focussize="0,0"/>
              <v:stroke on="f" weight="0.5pt"/>
              <v:imagedata o:title=""/>
              <o:lock v:ext="edit" aspectratio="f"/>
              <v:textbox inset="0mm,0mm,0mm,0mm" style="mso-fit-shape-to-text:t;">
                <w:txbxContent>
                  <w:p>
                    <w:pPr>
                      <w:pStyle w:val="18"/>
                      <w:rPr>
                        <w:rStyle w:val="34"/>
                        <w:rFonts w:asciiTheme="minorEastAsia" w:hAnsiTheme="minorEastAsia" w:cstheme="minorEastAsia"/>
                        <w:sz w:val="28"/>
                        <w:szCs w:val="28"/>
                      </w:rPr>
                    </w:pPr>
                    <w:r>
                      <w:rPr>
                        <w:rStyle w:val="34"/>
                        <w:rFonts w:hint="eastAsia" w:asciiTheme="minorEastAsia" w:hAnsiTheme="minorEastAsia" w:cstheme="minorEastAsia"/>
                        <w:sz w:val="28"/>
                        <w:szCs w:val="28"/>
                      </w:rPr>
                      <w:fldChar w:fldCharType="begin"/>
                    </w:r>
                    <w:r>
                      <w:rPr>
                        <w:rStyle w:val="34"/>
                        <w:rFonts w:hint="eastAsia" w:asciiTheme="minorEastAsia" w:hAnsiTheme="minorEastAsia" w:cstheme="minorEastAsia"/>
                        <w:sz w:val="28"/>
                        <w:szCs w:val="28"/>
                      </w:rPr>
                      <w:instrText xml:space="preserve"> PAGE </w:instrText>
                    </w:r>
                    <w:r>
                      <w:rPr>
                        <w:rStyle w:val="34"/>
                        <w:rFonts w:hint="eastAsia" w:asciiTheme="minorEastAsia" w:hAnsiTheme="minorEastAsia" w:cstheme="minorEastAsia"/>
                        <w:sz w:val="28"/>
                        <w:szCs w:val="28"/>
                      </w:rPr>
                      <w:fldChar w:fldCharType="separate"/>
                    </w:r>
                    <w:r>
                      <w:rPr>
                        <w:rStyle w:val="34"/>
                        <w:rFonts w:asciiTheme="minorEastAsia" w:hAnsiTheme="minorEastAsia" w:cstheme="minorEastAsia"/>
                        <w:sz w:val="28"/>
                        <w:szCs w:val="28"/>
                      </w:rPr>
                      <w:t>- 3 -</w:t>
                    </w:r>
                    <w:r>
                      <w:rPr>
                        <w:rStyle w:val="34"/>
                        <w:rFonts w:hint="eastAsia" w:asciiTheme="minorEastAsia" w:hAnsi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8"/>
                            <w:rPr>
                              <w:rStyle w:val="34"/>
                              <w:rFonts w:asciiTheme="minorEastAsia" w:hAnsiTheme="minorEastAsia" w:cstheme="minorEastAsia"/>
                              <w:sz w:val="28"/>
                              <w:szCs w:val="28"/>
                            </w:rPr>
                          </w:pPr>
                          <w:r>
                            <w:rPr>
                              <w:rStyle w:val="34"/>
                              <w:rFonts w:hint="eastAsia" w:asciiTheme="minorEastAsia" w:hAnsiTheme="minorEastAsia" w:cstheme="minorEastAsia"/>
                              <w:sz w:val="28"/>
                              <w:szCs w:val="28"/>
                            </w:rPr>
                            <w:fldChar w:fldCharType="begin"/>
                          </w:r>
                          <w:r>
                            <w:rPr>
                              <w:rStyle w:val="34"/>
                              <w:rFonts w:hint="eastAsia" w:asciiTheme="minorEastAsia" w:hAnsiTheme="minorEastAsia" w:cstheme="minorEastAsia"/>
                              <w:sz w:val="28"/>
                              <w:szCs w:val="28"/>
                            </w:rPr>
                            <w:instrText xml:space="preserve"> PAGE </w:instrText>
                          </w:r>
                          <w:r>
                            <w:rPr>
                              <w:rStyle w:val="34"/>
                              <w:rFonts w:hint="eastAsia" w:asciiTheme="minorEastAsia" w:hAnsiTheme="minorEastAsia" w:cstheme="minorEastAsia"/>
                              <w:sz w:val="28"/>
                              <w:szCs w:val="28"/>
                            </w:rPr>
                            <w:fldChar w:fldCharType="separate"/>
                          </w:r>
                          <w:r>
                            <w:rPr>
                              <w:rStyle w:val="34"/>
                              <w:rFonts w:asciiTheme="minorEastAsia" w:hAnsiTheme="minorEastAsia" w:cstheme="minorEastAsia"/>
                              <w:sz w:val="28"/>
                              <w:szCs w:val="28"/>
                            </w:rPr>
                            <w:t>- 68 -</w:t>
                          </w:r>
                          <w:r>
                            <w:rPr>
                              <w:rStyle w:val="34"/>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niKxQ4AgAAb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Qfr6n3V&#10;PcAUWhY2emt5TBOl8nZ5CJA2KR4F6lRBp+IBc5h6dtmZOOh/nlPU0//E4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eIrFDgCAABvBAAADgAAAAAAAAABACAAAAAfAQAAZHJzL2Uyb0RvYy54&#10;bWxQSwUGAAAAAAYABgBZAQAAyQUAAAAA&#10;">
              <v:fill on="f" focussize="0,0"/>
              <v:stroke on="f" weight="0.5pt"/>
              <v:imagedata o:title=""/>
              <o:lock v:ext="edit" aspectratio="f"/>
              <v:textbox inset="0mm,0mm,0mm,0mm" style="mso-fit-shape-to-text:t;">
                <w:txbxContent>
                  <w:p>
                    <w:pPr>
                      <w:pStyle w:val="18"/>
                      <w:rPr>
                        <w:rStyle w:val="34"/>
                        <w:rFonts w:asciiTheme="minorEastAsia" w:hAnsiTheme="minorEastAsia" w:cstheme="minorEastAsia"/>
                        <w:sz w:val="28"/>
                        <w:szCs w:val="28"/>
                      </w:rPr>
                    </w:pPr>
                    <w:r>
                      <w:rPr>
                        <w:rStyle w:val="34"/>
                        <w:rFonts w:hint="eastAsia" w:asciiTheme="minorEastAsia" w:hAnsiTheme="minorEastAsia" w:cstheme="minorEastAsia"/>
                        <w:sz w:val="28"/>
                        <w:szCs w:val="28"/>
                      </w:rPr>
                      <w:fldChar w:fldCharType="begin"/>
                    </w:r>
                    <w:r>
                      <w:rPr>
                        <w:rStyle w:val="34"/>
                        <w:rFonts w:hint="eastAsia" w:asciiTheme="minorEastAsia" w:hAnsiTheme="minorEastAsia" w:cstheme="minorEastAsia"/>
                        <w:sz w:val="28"/>
                        <w:szCs w:val="28"/>
                      </w:rPr>
                      <w:instrText xml:space="preserve"> PAGE </w:instrText>
                    </w:r>
                    <w:r>
                      <w:rPr>
                        <w:rStyle w:val="34"/>
                        <w:rFonts w:hint="eastAsia" w:asciiTheme="minorEastAsia" w:hAnsiTheme="minorEastAsia" w:cstheme="minorEastAsia"/>
                        <w:sz w:val="28"/>
                        <w:szCs w:val="28"/>
                      </w:rPr>
                      <w:fldChar w:fldCharType="separate"/>
                    </w:r>
                    <w:r>
                      <w:rPr>
                        <w:rStyle w:val="34"/>
                        <w:rFonts w:asciiTheme="minorEastAsia" w:hAnsiTheme="minorEastAsia" w:cstheme="minorEastAsia"/>
                        <w:sz w:val="28"/>
                        <w:szCs w:val="28"/>
                      </w:rPr>
                      <w:t>- 68 -</w:t>
                    </w:r>
                    <w:r>
                      <w:rPr>
                        <w:rStyle w:val="34"/>
                        <w:rFonts w:hint="eastAsia" w:asciiTheme="minorEastAsia" w:hAnsiTheme="minorEastAsia" w:cstheme="minorEastAsia"/>
                        <w:sz w:val="28"/>
                        <w:szCs w:val="2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481991"/>
    <w:multiLevelType w:val="singleLevel"/>
    <w:tmpl w:val="CF481991"/>
    <w:lvl w:ilvl="0" w:tentative="0">
      <w:start w:val="1"/>
      <w:numFmt w:val="chineseCounting"/>
      <w:suff w:val="space"/>
      <w:lvlText w:val="第%1节"/>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8"/>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FlOTBmYzQ3OGFkN2Y2ZjNhMDkxNzRjNzg5N2EwMDYifQ=="/>
  </w:docVars>
  <w:rsids>
    <w:rsidRoot w:val="00172A27"/>
    <w:rsid w:val="00000976"/>
    <w:rsid w:val="00013E84"/>
    <w:rsid w:val="00021992"/>
    <w:rsid w:val="000331A6"/>
    <w:rsid w:val="00034ECD"/>
    <w:rsid w:val="00042E93"/>
    <w:rsid w:val="00045751"/>
    <w:rsid w:val="00052146"/>
    <w:rsid w:val="0005438E"/>
    <w:rsid w:val="00075B4B"/>
    <w:rsid w:val="00090313"/>
    <w:rsid w:val="00094910"/>
    <w:rsid w:val="000952E9"/>
    <w:rsid w:val="000955DE"/>
    <w:rsid w:val="000A1AC2"/>
    <w:rsid w:val="000A2011"/>
    <w:rsid w:val="000A2121"/>
    <w:rsid w:val="000A27EE"/>
    <w:rsid w:val="000A3FD6"/>
    <w:rsid w:val="000A4233"/>
    <w:rsid w:val="000A4B5A"/>
    <w:rsid w:val="000C2892"/>
    <w:rsid w:val="000C7562"/>
    <w:rsid w:val="000D4B86"/>
    <w:rsid w:val="000D60F8"/>
    <w:rsid w:val="000D76B0"/>
    <w:rsid w:val="000E0806"/>
    <w:rsid w:val="000E318C"/>
    <w:rsid w:val="000F031B"/>
    <w:rsid w:val="000F03AF"/>
    <w:rsid w:val="000F26AB"/>
    <w:rsid w:val="000F646F"/>
    <w:rsid w:val="00105FE3"/>
    <w:rsid w:val="00106FFF"/>
    <w:rsid w:val="00111B9A"/>
    <w:rsid w:val="0014565F"/>
    <w:rsid w:val="00155AA8"/>
    <w:rsid w:val="0016470F"/>
    <w:rsid w:val="00172A27"/>
    <w:rsid w:val="00172CD4"/>
    <w:rsid w:val="001770F8"/>
    <w:rsid w:val="00180786"/>
    <w:rsid w:val="001818C1"/>
    <w:rsid w:val="001839CB"/>
    <w:rsid w:val="00186064"/>
    <w:rsid w:val="00186B11"/>
    <w:rsid w:val="00192196"/>
    <w:rsid w:val="00194775"/>
    <w:rsid w:val="00196900"/>
    <w:rsid w:val="00196C03"/>
    <w:rsid w:val="001A03C4"/>
    <w:rsid w:val="001A5333"/>
    <w:rsid w:val="001A70C0"/>
    <w:rsid w:val="001B27BD"/>
    <w:rsid w:val="001B3BD4"/>
    <w:rsid w:val="001E06CE"/>
    <w:rsid w:val="002035EE"/>
    <w:rsid w:val="002038B1"/>
    <w:rsid w:val="0021589D"/>
    <w:rsid w:val="00222453"/>
    <w:rsid w:val="00222507"/>
    <w:rsid w:val="002307E4"/>
    <w:rsid w:val="0023600F"/>
    <w:rsid w:val="002361B8"/>
    <w:rsid w:val="00240D62"/>
    <w:rsid w:val="00244953"/>
    <w:rsid w:val="00245472"/>
    <w:rsid w:val="00251977"/>
    <w:rsid w:val="00253057"/>
    <w:rsid w:val="00253EE3"/>
    <w:rsid w:val="0025674D"/>
    <w:rsid w:val="00266D95"/>
    <w:rsid w:val="00270DDC"/>
    <w:rsid w:val="00281E1B"/>
    <w:rsid w:val="0028370D"/>
    <w:rsid w:val="0028488E"/>
    <w:rsid w:val="00286052"/>
    <w:rsid w:val="0029706C"/>
    <w:rsid w:val="002A0E47"/>
    <w:rsid w:val="002A280A"/>
    <w:rsid w:val="002A2B05"/>
    <w:rsid w:val="002A501B"/>
    <w:rsid w:val="002A5177"/>
    <w:rsid w:val="002A67FE"/>
    <w:rsid w:val="002B5B1F"/>
    <w:rsid w:val="002B6252"/>
    <w:rsid w:val="002B7964"/>
    <w:rsid w:val="002C0706"/>
    <w:rsid w:val="002C1B23"/>
    <w:rsid w:val="002C1B69"/>
    <w:rsid w:val="002D32F3"/>
    <w:rsid w:val="00306DAB"/>
    <w:rsid w:val="00313F32"/>
    <w:rsid w:val="00317A15"/>
    <w:rsid w:val="003256BA"/>
    <w:rsid w:val="003353DA"/>
    <w:rsid w:val="00335D7A"/>
    <w:rsid w:val="0034161A"/>
    <w:rsid w:val="0034685B"/>
    <w:rsid w:val="003520B8"/>
    <w:rsid w:val="0035214E"/>
    <w:rsid w:val="00354891"/>
    <w:rsid w:val="00364D10"/>
    <w:rsid w:val="00364F09"/>
    <w:rsid w:val="00367272"/>
    <w:rsid w:val="0037271F"/>
    <w:rsid w:val="00386B9F"/>
    <w:rsid w:val="00390E45"/>
    <w:rsid w:val="00391CEB"/>
    <w:rsid w:val="003A00AD"/>
    <w:rsid w:val="003A3209"/>
    <w:rsid w:val="003C09F6"/>
    <w:rsid w:val="003C1075"/>
    <w:rsid w:val="003C12D5"/>
    <w:rsid w:val="003D0FA3"/>
    <w:rsid w:val="003D583A"/>
    <w:rsid w:val="003D6924"/>
    <w:rsid w:val="003E2DE8"/>
    <w:rsid w:val="003E4D92"/>
    <w:rsid w:val="003E788F"/>
    <w:rsid w:val="003F1481"/>
    <w:rsid w:val="003F18C3"/>
    <w:rsid w:val="003F385F"/>
    <w:rsid w:val="003F4D97"/>
    <w:rsid w:val="004038D4"/>
    <w:rsid w:val="00412DBC"/>
    <w:rsid w:val="00414C93"/>
    <w:rsid w:val="004163B3"/>
    <w:rsid w:val="004168F2"/>
    <w:rsid w:val="0041693D"/>
    <w:rsid w:val="00423B55"/>
    <w:rsid w:val="00430529"/>
    <w:rsid w:val="00431D34"/>
    <w:rsid w:val="004361C8"/>
    <w:rsid w:val="00443938"/>
    <w:rsid w:val="004462D0"/>
    <w:rsid w:val="00450A35"/>
    <w:rsid w:val="004512D0"/>
    <w:rsid w:val="00456F09"/>
    <w:rsid w:val="00461AC2"/>
    <w:rsid w:val="00477979"/>
    <w:rsid w:val="00483660"/>
    <w:rsid w:val="004870CD"/>
    <w:rsid w:val="004A1E16"/>
    <w:rsid w:val="004A4C29"/>
    <w:rsid w:val="004B010E"/>
    <w:rsid w:val="004B0E15"/>
    <w:rsid w:val="004B440E"/>
    <w:rsid w:val="004C5DC1"/>
    <w:rsid w:val="004D2CD0"/>
    <w:rsid w:val="004E528B"/>
    <w:rsid w:val="004F7A90"/>
    <w:rsid w:val="00502E7C"/>
    <w:rsid w:val="00506A9B"/>
    <w:rsid w:val="005074E0"/>
    <w:rsid w:val="005113D6"/>
    <w:rsid w:val="00511831"/>
    <w:rsid w:val="00511F41"/>
    <w:rsid w:val="00514E48"/>
    <w:rsid w:val="005173B5"/>
    <w:rsid w:val="00531F41"/>
    <w:rsid w:val="00533C4F"/>
    <w:rsid w:val="00534BA6"/>
    <w:rsid w:val="005361B9"/>
    <w:rsid w:val="00546158"/>
    <w:rsid w:val="0056010E"/>
    <w:rsid w:val="0056723A"/>
    <w:rsid w:val="00572F6B"/>
    <w:rsid w:val="005742EB"/>
    <w:rsid w:val="005745FC"/>
    <w:rsid w:val="005749BE"/>
    <w:rsid w:val="00590CC4"/>
    <w:rsid w:val="005933EC"/>
    <w:rsid w:val="0059373A"/>
    <w:rsid w:val="00594AC7"/>
    <w:rsid w:val="005A48B7"/>
    <w:rsid w:val="005A50B9"/>
    <w:rsid w:val="005C49F9"/>
    <w:rsid w:val="005C5A3C"/>
    <w:rsid w:val="005D4D2E"/>
    <w:rsid w:val="005E17D7"/>
    <w:rsid w:val="005E25F2"/>
    <w:rsid w:val="005F2C77"/>
    <w:rsid w:val="005F4028"/>
    <w:rsid w:val="005F63AC"/>
    <w:rsid w:val="005F6888"/>
    <w:rsid w:val="00600F00"/>
    <w:rsid w:val="006116B7"/>
    <w:rsid w:val="00614820"/>
    <w:rsid w:val="00624666"/>
    <w:rsid w:val="006351DB"/>
    <w:rsid w:val="006454E4"/>
    <w:rsid w:val="006601CE"/>
    <w:rsid w:val="00667E69"/>
    <w:rsid w:val="00672BF5"/>
    <w:rsid w:val="006758FF"/>
    <w:rsid w:val="00680F61"/>
    <w:rsid w:val="00686EC4"/>
    <w:rsid w:val="00697111"/>
    <w:rsid w:val="006B746C"/>
    <w:rsid w:val="006C1EA8"/>
    <w:rsid w:val="006C4104"/>
    <w:rsid w:val="006F5CCE"/>
    <w:rsid w:val="00705643"/>
    <w:rsid w:val="00705E26"/>
    <w:rsid w:val="00710A14"/>
    <w:rsid w:val="00714158"/>
    <w:rsid w:val="00716399"/>
    <w:rsid w:val="00717E0C"/>
    <w:rsid w:val="00733010"/>
    <w:rsid w:val="00733E54"/>
    <w:rsid w:val="0074601B"/>
    <w:rsid w:val="00747FC5"/>
    <w:rsid w:val="00754D4A"/>
    <w:rsid w:val="00772099"/>
    <w:rsid w:val="007725C9"/>
    <w:rsid w:val="00774CEB"/>
    <w:rsid w:val="00781D33"/>
    <w:rsid w:val="00783335"/>
    <w:rsid w:val="007834AF"/>
    <w:rsid w:val="00791DCA"/>
    <w:rsid w:val="00793D02"/>
    <w:rsid w:val="007A1566"/>
    <w:rsid w:val="007A3784"/>
    <w:rsid w:val="007C049A"/>
    <w:rsid w:val="007C4F97"/>
    <w:rsid w:val="007D2AA9"/>
    <w:rsid w:val="007D41A2"/>
    <w:rsid w:val="007E14CB"/>
    <w:rsid w:val="007E6DA8"/>
    <w:rsid w:val="007F603D"/>
    <w:rsid w:val="00800388"/>
    <w:rsid w:val="00802028"/>
    <w:rsid w:val="008043F4"/>
    <w:rsid w:val="008065D2"/>
    <w:rsid w:val="00807FE5"/>
    <w:rsid w:val="0081752B"/>
    <w:rsid w:val="008210C1"/>
    <w:rsid w:val="008224CC"/>
    <w:rsid w:val="00832051"/>
    <w:rsid w:val="00832642"/>
    <w:rsid w:val="008419E4"/>
    <w:rsid w:val="008605C8"/>
    <w:rsid w:val="00865C71"/>
    <w:rsid w:val="008728FA"/>
    <w:rsid w:val="008900CA"/>
    <w:rsid w:val="008952F1"/>
    <w:rsid w:val="008A3DDD"/>
    <w:rsid w:val="008B6387"/>
    <w:rsid w:val="008C62F7"/>
    <w:rsid w:val="008D0E5B"/>
    <w:rsid w:val="008D1629"/>
    <w:rsid w:val="008D5595"/>
    <w:rsid w:val="008E47FA"/>
    <w:rsid w:val="008E5012"/>
    <w:rsid w:val="008E6F4C"/>
    <w:rsid w:val="008F2C20"/>
    <w:rsid w:val="008F7F3F"/>
    <w:rsid w:val="0090212C"/>
    <w:rsid w:val="0090267E"/>
    <w:rsid w:val="0090356A"/>
    <w:rsid w:val="00905FCF"/>
    <w:rsid w:val="00911F7F"/>
    <w:rsid w:val="0091509A"/>
    <w:rsid w:val="009160F0"/>
    <w:rsid w:val="0092278E"/>
    <w:rsid w:val="0092291F"/>
    <w:rsid w:val="00923C57"/>
    <w:rsid w:val="00925E17"/>
    <w:rsid w:val="00926CED"/>
    <w:rsid w:val="00935894"/>
    <w:rsid w:val="009408D1"/>
    <w:rsid w:val="00942913"/>
    <w:rsid w:val="00943421"/>
    <w:rsid w:val="00946128"/>
    <w:rsid w:val="009461FD"/>
    <w:rsid w:val="00946241"/>
    <w:rsid w:val="00962EC2"/>
    <w:rsid w:val="009728AB"/>
    <w:rsid w:val="0098576B"/>
    <w:rsid w:val="009910E0"/>
    <w:rsid w:val="0099196E"/>
    <w:rsid w:val="009A3B21"/>
    <w:rsid w:val="009A48BF"/>
    <w:rsid w:val="009B3409"/>
    <w:rsid w:val="009C4970"/>
    <w:rsid w:val="009C766E"/>
    <w:rsid w:val="009F1311"/>
    <w:rsid w:val="009F1A2B"/>
    <w:rsid w:val="009F454A"/>
    <w:rsid w:val="009F4596"/>
    <w:rsid w:val="009F6647"/>
    <w:rsid w:val="00A02835"/>
    <w:rsid w:val="00A057CB"/>
    <w:rsid w:val="00A11D65"/>
    <w:rsid w:val="00A12DC6"/>
    <w:rsid w:val="00A17D4E"/>
    <w:rsid w:val="00A2261F"/>
    <w:rsid w:val="00A227B3"/>
    <w:rsid w:val="00A22E10"/>
    <w:rsid w:val="00A274F3"/>
    <w:rsid w:val="00A33ECA"/>
    <w:rsid w:val="00A34979"/>
    <w:rsid w:val="00A432A6"/>
    <w:rsid w:val="00A45652"/>
    <w:rsid w:val="00A65472"/>
    <w:rsid w:val="00A678C2"/>
    <w:rsid w:val="00A67AE1"/>
    <w:rsid w:val="00A73C7B"/>
    <w:rsid w:val="00A77C4F"/>
    <w:rsid w:val="00A83DF8"/>
    <w:rsid w:val="00A871CF"/>
    <w:rsid w:val="00AA07A3"/>
    <w:rsid w:val="00AA19F6"/>
    <w:rsid w:val="00AC7EBC"/>
    <w:rsid w:val="00AD2123"/>
    <w:rsid w:val="00AD6DD3"/>
    <w:rsid w:val="00AE39FD"/>
    <w:rsid w:val="00AF4E63"/>
    <w:rsid w:val="00B06C80"/>
    <w:rsid w:val="00B20CFE"/>
    <w:rsid w:val="00B330C8"/>
    <w:rsid w:val="00B34F12"/>
    <w:rsid w:val="00B403BE"/>
    <w:rsid w:val="00B40BBC"/>
    <w:rsid w:val="00B443CF"/>
    <w:rsid w:val="00B525BE"/>
    <w:rsid w:val="00B56212"/>
    <w:rsid w:val="00B625EF"/>
    <w:rsid w:val="00B67B2F"/>
    <w:rsid w:val="00B743C2"/>
    <w:rsid w:val="00B74B87"/>
    <w:rsid w:val="00B8129F"/>
    <w:rsid w:val="00B954C6"/>
    <w:rsid w:val="00B97736"/>
    <w:rsid w:val="00BA3803"/>
    <w:rsid w:val="00BA5D93"/>
    <w:rsid w:val="00BB019E"/>
    <w:rsid w:val="00BB2F38"/>
    <w:rsid w:val="00BB5019"/>
    <w:rsid w:val="00BB7E0F"/>
    <w:rsid w:val="00BC007E"/>
    <w:rsid w:val="00BC2B7F"/>
    <w:rsid w:val="00BC50F7"/>
    <w:rsid w:val="00BC5B7A"/>
    <w:rsid w:val="00BC5CAF"/>
    <w:rsid w:val="00BD101F"/>
    <w:rsid w:val="00BD24AE"/>
    <w:rsid w:val="00BE098A"/>
    <w:rsid w:val="00BE3932"/>
    <w:rsid w:val="00BE7008"/>
    <w:rsid w:val="00BF24B1"/>
    <w:rsid w:val="00C143BE"/>
    <w:rsid w:val="00C22E2D"/>
    <w:rsid w:val="00C24554"/>
    <w:rsid w:val="00C33BAF"/>
    <w:rsid w:val="00C42B72"/>
    <w:rsid w:val="00C47008"/>
    <w:rsid w:val="00C636C8"/>
    <w:rsid w:val="00C64883"/>
    <w:rsid w:val="00C7644A"/>
    <w:rsid w:val="00C77505"/>
    <w:rsid w:val="00C91041"/>
    <w:rsid w:val="00CA72DE"/>
    <w:rsid w:val="00CB1161"/>
    <w:rsid w:val="00CB6DF7"/>
    <w:rsid w:val="00CB74C3"/>
    <w:rsid w:val="00CB784A"/>
    <w:rsid w:val="00CC1DA2"/>
    <w:rsid w:val="00CC7EE1"/>
    <w:rsid w:val="00CD145C"/>
    <w:rsid w:val="00CD300D"/>
    <w:rsid w:val="00CD4DEE"/>
    <w:rsid w:val="00CE5853"/>
    <w:rsid w:val="00CF05C3"/>
    <w:rsid w:val="00D0662C"/>
    <w:rsid w:val="00D20190"/>
    <w:rsid w:val="00D33F12"/>
    <w:rsid w:val="00D36A0E"/>
    <w:rsid w:val="00D468FF"/>
    <w:rsid w:val="00D5315A"/>
    <w:rsid w:val="00D53366"/>
    <w:rsid w:val="00D70DA2"/>
    <w:rsid w:val="00D712B0"/>
    <w:rsid w:val="00D76536"/>
    <w:rsid w:val="00DA0654"/>
    <w:rsid w:val="00DB0D55"/>
    <w:rsid w:val="00DB362D"/>
    <w:rsid w:val="00DC25F8"/>
    <w:rsid w:val="00DC55AE"/>
    <w:rsid w:val="00DD40E1"/>
    <w:rsid w:val="00DD6325"/>
    <w:rsid w:val="00DE2452"/>
    <w:rsid w:val="00DF3F18"/>
    <w:rsid w:val="00E027F8"/>
    <w:rsid w:val="00E05A65"/>
    <w:rsid w:val="00E11FAE"/>
    <w:rsid w:val="00E15E64"/>
    <w:rsid w:val="00E17C12"/>
    <w:rsid w:val="00E21BC8"/>
    <w:rsid w:val="00E34547"/>
    <w:rsid w:val="00E43ED1"/>
    <w:rsid w:val="00E600BB"/>
    <w:rsid w:val="00E65688"/>
    <w:rsid w:val="00E6724D"/>
    <w:rsid w:val="00E709E6"/>
    <w:rsid w:val="00E77FE3"/>
    <w:rsid w:val="00E81CA0"/>
    <w:rsid w:val="00E84277"/>
    <w:rsid w:val="00E90939"/>
    <w:rsid w:val="00E91689"/>
    <w:rsid w:val="00E917E9"/>
    <w:rsid w:val="00E96BFD"/>
    <w:rsid w:val="00E97E8C"/>
    <w:rsid w:val="00EA3052"/>
    <w:rsid w:val="00EA7DA2"/>
    <w:rsid w:val="00EB05D8"/>
    <w:rsid w:val="00EC2F67"/>
    <w:rsid w:val="00ED7B60"/>
    <w:rsid w:val="00EE1559"/>
    <w:rsid w:val="00EE4F89"/>
    <w:rsid w:val="00EF2E63"/>
    <w:rsid w:val="00EF76CD"/>
    <w:rsid w:val="00F111E9"/>
    <w:rsid w:val="00F308EB"/>
    <w:rsid w:val="00F3110B"/>
    <w:rsid w:val="00F41EBC"/>
    <w:rsid w:val="00F51B65"/>
    <w:rsid w:val="00F571B5"/>
    <w:rsid w:val="00F63EE2"/>
    <w:rsid w:val="00F64D62"/>
    <w:rsid w:val="00F867DE"/>
    <w:rsid w:val="00F9551B"/>
    <w:rsid w:val="00F96F76"/>
    <w:rsid w:val="00F97F23"/>
    <w:rsid w:val="00F97FFA"/>
    <w:rsid w:val="00FA5787"/>
    <w:rsid w:val="00FB01C1"/>
    <w:rsid w:val="00FB1C75"/>
    <w:rsid w:val="00FB2A0B"/>
    <w:rsid w:val="00FB5097"/>
    <w:rsid w:val="00FC0184"/>
    <w:rsid w:val="00FC7E92"/>
    <w:rsid w:val="00FD4AA9"/>
    <w:rsid w:val="00FE176D"/>
    <w:rsid w:val="02645079"/>
    <w:rsid w:val="02842EEB"/>
    <w:rsid w:val="02847F71"/>
    <w:rsid w:val="02DA1A3C"/>
    <w:rsid w:val="038E0B3E"/>
    <w:rsid w:val="038F7B39"/>
    <w:rsid w:val="03B254D9"/>
    <w:rsid w:val="040F7711"/>
    <w:rsid w:val="046E45B0"/>
    <w:rsid w:val="04831F07"/>
    <w:rsid w:val="04CF233F"/>
    <w:rsid w:val="05802F8B"/>
    <w:rsid w:val="05891E56"/>
    <w:rsid w:val="05BF66A6"/>
    <w:rsid w:val="05F81570"/>
    <w:rsid w:val="066C559F"/>
    <w:rsid w:val="069B740A"/>
    <w:rsid w:val="069C7FDA"/>
    <w:rsid w:val="06E865E8"/>
    <w:rsid w:val="06EC1426"/>
    <w:rsid w:val="074A7019"/>
    <w:rsid w:val="07871801"/>
    <w:rsid w:val="0790747E"/>
    <w:rsid w:val="07CB7C54"/>
    <w:rsid w:val="07D34CCF"/>
    <w:rsid w:val="07F113FB"/>
    <w:rsid w:val="080563B5"/>
    <w:rsid w:val="085D6258"/>
    <w:rsid w:val="089808CE"/>
    <w:rsid w:val="08D46607"/>
    <w:rsid w:val="09830071"/>
    <w:rsid w:val="09917470"/>
    <w:rsid w:val="09AB12C7"/>
    <w:rsid w:val="0A080A4B"/>
    <w:rsid w:val="0A3F6E76"/>
    <w:rsid w:val="0A752C31"/>
    <w:rsid w:val="0ADA577C"/>
    <w:rsid w:val="0B284E1D"/>
    <w:rsid w:val="0B61777A"/>
    <w:rsid w:val="0B6A12AC"/>
    <w:rsid w:val="0C275E55"/>
    <w:rsid w:val="0C996477"/>
    <w:rsid w:val="0CE7707D"/>
    <w:rsid w:val="0D242DDD"/>
    <w:rsid w:val="0D7665A5"/>
    <w:rsid w:val="0D942EE0"/>
    <w:rsid w:val="0DCE3439"/>
    <w:rsid w:val="0DDF66CC"/>
    <w:rsid w:val="0E0E38C8"/>
    <w:rsid w:val="0E183DD6"/>
    <w:rsid w:val="0E9D2AB1"/>
    <w:rsid w:val="0EA11573"/>
    <w:rsid w:val="0EBE5BE6"/>
    <w:rsid w:val="0EEB0A53"/>
    <w:rsid w:val="0EED1247"/>
    <w:rsid w:val="0F8C3254"/>
    <w:rsid w:val="0FF53A52"/>
    <w:rsid w:val="10007B7F"/>
    <w:rsid w:val="103A75D7"/>
    <w:rsid w:val="105E0E5D"/>
    <w:rsid w:val="10D613A8"/>
    <w:rsid w:val="10DB2485"/>
    <w:rsid w:val="10DE6EAF"/>
    <w:rsid w:val="110033E9"/>
    <w:rsid w:val="11197DD9"/>
    <w:rsid w:val="12D3188E"/>
    <w:rsid w:val="137E6912"/>
    <w:rsid w:val="13912FB8"/>
    <w:rsid w:val="13BC2C0C"/>
    <w:rsid w:val="14206772"/>
    <w:rsid w:val="14CE4C6C"/>
    <w:rsid w:val="1525798D"/>
    <w:rsid w:val="153C6A85"/>
    <w:rsid w:val="15516C62"/>
    <w:rsid w:val="158649A6"/>
    <w:rsid w:val="15B61201"/>
    <w:rsid w:val="1606419A"/>
    <w:rsid w:val="1619785F"/>
    <w:rsid w:val="16B10993"/>
    <w:rsid w:val="16DD6ABB"/>
    <w:rsid w:val="171660F7"/>
    <w:rsid w:val="174E4290"/>
    <w:rsid w:val="174E5958"/>
    <w:rsid w:val="177E0783"/>
    <w:rsid w:val="17803B86"/>
    <w:rsid w:val="1785527F"/>
    <w:rsid w:val="179F03F7"/>
    <w:rsid w:val="17DA17DA"/>
    <w:rsid w:val="17DD4C40"/>
    <w:rsid w:val="180F7AB6"/>
    <w:rsid w:val="18353BCD"/>
    <w:rsid w:val="187A28C7"/>
    <w:rsid w:val="190A402B"/>
    <w:rsid w:val="19B16810"/>
    <w:rsid w:val="19E81202"/>
    <w:rsid w:val="1A2F672D"/>
    <w:rsid w:val="1AAF31D5"/>
    <w:rsid w:val="1AD4669E"/>
    <w:rsid w:val="1B0F09AC"/>
    <w:rsid w:val="1B216501"/>
    <w:rsid w:val="1B434415"/>
    <w:rsid w:val="1B521D3D"/>
    <w:rsid w:val="1C091364"/>
    <w:rsid w:val="1C290AF6"/>
    <w:rsid w:val="1C306E1B"/>
    <w:rsid w:val="1CD7558D"/>
    <w:rsid w:val="1CF4296A"/>
    <w:rsid w:val="1D48000A"/>
    <w:rsid w:val="1D5B1434"/>
    <w:rsid w:val="1D7E4B70"/>
    <w:rsid w:val="1DAB62AA"/>
    <w:rsid w:val="1DCE5B0A"/>
    <w:rsid w:val="1E2A292B"/>
    <w:rsid w:val="1E31302E"/>
    <w:rsid w:val="1E5D7817"/>
    <w:rsid w:val="1E945C9F"/>
    <w:rsid w:val="1EBA622B"/>
    <w:rsid w:val="1EC55FFA"/>
    <w:rsid w:val="1EF412C5"/>
    <w:rsid w:val="1EF768C2"/>
    <w:rsid w:val="1F2F7602"/>
    <w:rsid w:val="1F96257C"/>
    <w:rsid w:val="1FB81DA8"/>
    <w:rsid w:val="1FD52B08"/>
    <w:rsid w:val="1FFA3237"/>
    <w:rsid w:val="207215AC"/>
    <w:rsid w:val="20AC04F2"/>
    <w:rsid w:val="20BD5A0D"/>
    <w:rsid w:val="2155485A"/>
    <w:rsid w:val="21AB4EBA"/>
    <w:rsid w:val="21B6560D"/>
    <w:rsid w:val="21EA2C2B"/>
    <w:rsid w:val="2273006E"/>
    <w:rsid w:val="2294247D"/>
    <w:rsid w:val="22F31C5E"/>
    <w:rsid w:val="23763BA8"/>
    <w:rsid w:val="2399237C"/>
    <w:rsid w:val="240E1769"/>
    <w:rsid w:val="24586234"/>
    <w:rsid w:val="245E2EB0"/>
    <w:rsid w:val="24DB031E"/>
    <w:rsid w:val="24E25BD9"/>
    <w:rsid w:val="261C7FCC"/>
    <w:rsid w:val="26D010A3"/>
    <w:rsid w:val="273D1299"/>
    <w:rsid w:val="273E3A03"/>
    <w:rsid w:val="27A630FD"/>
    <w:rsid w:val="27C27FF8"/>
    <w:rsid w:val="27C748D4"/>
    <w:rsid w:val="27F32988"/>
    <w:rsid w:val="281D44F4"/>
    <w:rsid w:val="283D6944"/>
    <w:rsid w:val="28417B94"/>
    <w:rsid w:val="28A21349"/>
    <w:rsid w:val="28DA1FA8"/>
    <w:rsid w:val="28E435E5"/>
    <w:rsid w:val="29BB2352"/>
    <w:rsid w:val="29F66AE9"/>
    <w:rsid w:val="29F83BAD"/>
    <w:rsid w:val="2A1C3FEC"/>
    <w:rsid w:val="2A5504BA"/>
    <w:rsid w:val="2A715D08"/>
    <w:rsid w:val="2AAE6F6F"/>
    <w:rsid w:val="2B001185"/>
    <w:rsid w:val="2B33434C"/>
    <w:rsid w:val="2B3B36B0"/>
    <w:rsid w:val="2B4D371F"/>
    <w:rsid w:val="2B836D64"/>
    <w:rsid w:val="2BAB22D1"/>
    <w:rsid w:val="2BC4740D"/>
    <w:rsid w:val="2BDA4BD6"/>
    <w:rsid w:val="2C7843EE"/>
    <w:rsid w:val="2CA90CEA"/>
    <w:rsid w:val="2CD672A8"/>
    <w:rsid w:val="2D1C3749"/>
    <w:rsid w:val="2D591126"/>
    <w:rsid w:val="2D897A3C"/>
    <w:rsid w:val="2E9F3D3C"/>
    <w:rsid w:val="2F870804"/>
    <w:rsid w:val="2FA638E9"/>
    <w:rsid w:val="2FAB5A88"/>
    <w:rsid w:val="2FEA3197"/>
    <w:rsid w:val="304A1E15"/>
    <w:rsid w:val="3080678D"/>
    <w:rsid w:val="30A06A82"/>
    <w:rsid w:val="30F42D46"/>
    <w:rsid w:val="3103023B"/>
    <w:rsid w:val="31DA30CD"/>
    <w:rsid w:val="31EA316B"/>
    <w:rsid w:val="31FD6F7C"/>
    <w:rsid w:val="32F95CF1"/>
    <w:rsid w:val="33C764D4"/>
    <w:rsid w:val="342D3739"/>
    <w:rsid w:val="344F31E9"/>
    <w:rsid w:val="34C45171"/>
    <w:rsid w:val="34D34B31"/>
    <w:rsid w:val="34F15289"/>
    <w:rsid w:val="350929A0"/>
    <w:rsid w:val="354B0793"/>
    <w:rsid w:val="35683DF4"/>
    <w:rsid w:val="35757D7F"/>
    <w:rsid w:val="35BD7874"/>
    <w:rsid w:val="36221648"/>
    <w:rsid w:val="363431EA"/>
    <w:rsid w:val="369E2844"/>
    <w:rsid w:val="371E10E1"/>
    <w:rsid w:val="37F12E81"/>
    <w:rsid w:val="386341A5"/>
    <w:rsid w:val="386D73D3"/>
    <w:rsid w:val="38AD09EE"/>
    <w:rsid w:val="38EB7890"/>
    <w:rsid w:val="39DE3256"/>
    <w:rsid w:val="39EF692A"/>
    <w:rsid w:val="3A21060C"/>
    <w:rsid w:val="3AE65CC2"/>
    <w:rsid w:val="3B2714BA"/>
    <w:rsid w:val="3B507A1F"/>
    <w:rsid w:val="3B577AA7"/>
    <w:rsid w:val="3B800A06"/>
    <w:rsid w:val="3BDC3532"/>
    <w:rsid w:val="3CA44E56"/>
    <w:rsid w:val="3CED6CE4"/>
    <w:rsid w:val="3CF70388"/>
    <w:rsid w:val="3D171054"/>
    <w:rsid w:val="3D58428E"/>
    <w:rsid w:val="3D7606BD"/>
    <w:rsid w:val="3D7F3BA9"/>
    <w:rsid w:val="3D9578A8"/>
    <w:rsid w:val="3DC00426"/>
    <w:rsid w:val="3DC36826"/>
    <w:rsid w:val="3E407FDD"/>
    <w:rsid w:val="3E4918C6"/>
    <w:rsid w:val="3E5539EC"/>
    <w:rsid w:val="3E8B62E8"/>
    <w:rsid w:val="3E965554"/>
    <w:rsid w:val="3EA937FA"/>
    <w:rsid w:val="3EAA1963"/>
    <w:rsid w:val="3EDC34C6"/>
    <w:rsid w:val="3F0778D1"/>
    <w:rsid w:val="3F4970B4"/>
    <w:rsid w:val="3F537090"/>
    <w:rsid w:val="3F6F19F2"/>
    <w:rsid w:val="3F915495"/>
    <w:rsid w:val="3FD82827"/>
    <w:rsid w:val="40595CF7"/>
    <w:rsid w:val="40656584"/>
    <w:rsid w:val="409018AD"/>
    <w:rsid w:val="41231C1F"/>
    <w:rsid w:val="41516CEE"/>
    <w:rsid w:val="423859FD"/>
    <w:rsid w:val="426137E5"/>
    <w:rsid w:val="42DF3DCB"/>
    <w:rsid w:val="43255F43"/>
    <w:rsid w:val="43381DFB"/>
    <w:rsid w:val="43C1037B"/>
    <w:rsid w:val="43F86A26"/>
    <w:rsid w:val="449008BC"/>
    <w:rsid w:val="44A554F1"/>
    <w:rsid w:val="45C36F15"/>
    <w:rsid w:val="463B1846"/>
    <w:rsid w:val="46A15468"/>
    <w:rsid w:val="46CF31F8"/>
    <w:rsid w:val="470629C8"/>
    <w:rsid w:val="47304EEF"/>
    <w:rsid w:val="473F3E2D"/>
    <w:rsid w:val="478C7986"/>
    <w:rsid w:val="47C22C96"/>
    <w:rsid w:val="47FD75B2"/>
    <w:rsid w:val="4835062D"/>
    <w:rsid w:val="485A3F04"/>
    <w:rsid w:val="485B5FAD"/>
    <w:rsid w:val="48823FC4"/>
    <w:rsid w:val="489363E0"/>
    <w:rsid w:val="48A40090"/>
    <w:rsid w:val="48CF1DA3"/>
    <w:rsid w:val="49AF1E02"/>
    <w:rsid w:val="4AD30D16"/>
    <w:rsid w:val="4B1E0A38"/>
    <w:rsid w:val="4B355CA7"/>
    <w:rsid w:val="4CD26CEA"/>
    <w:rsid w:val="4D8B7793"/>
    <w:rsid w:val="4DCA159F"/>
    <w:rsid w:val="4E6A7BE3"/>
    <w:rsid w:val="4EA26D2C"/>
    <w:rsid w:val="4EF41B4C"/>
    <w:rsid w:val="4F531F9B"/>
    <w:rsid w:val="4F855C76"/>
    <w:rsid w:val="4F9F3ABC"/>
    <w:rsid w:val="500606BE"/>
    <w:rsid w:val="500E3C28"/>
    <w:rsid w:val="501C6B43"/>
    <w:rsid w:val="502122CE"/>
    <w:rsid w:val="51EF76A9"/>
    <w:rsid w:val="520E32EE"/>
    <w:rsid w:val="525B7070"/>
    <w:rsid w:val="52B56EDD"/>
    <w:rsid w:val="533953D9"/>
    <w:rsid w:val="537021D4"/>
    <w:rsid w:val="53835E83"/>
    <w:rsid w:val="53A3372D"/>
    <w:rsid w:val="53B938B6"/>
    <w:rsid w:val="54041524"/>
    <w:rsid w:val="544D769E"/>
    <w:rsid w:val="54561DC9"/>
    <w:rsid w:val="549E56A8"/>
    <w:rsid w:val="54B33DF2"/>
    <w:rsid w:val="54ED7B60"/>
    <w:rsid w:val="550F0E2F"/>
    <w:rsid w:val="5540147A"/>
    <w:rsid w:val="554F5EFF"/>
    <w:rsid w:val="55684B2F"/>
    <w:rsid w:val="55A22FE3"/>
    <w:rsid w:val="55CA0FBA"/>
    <w:rsid w:val="55FB134A"/>
    <w:rsid w:val="5670321C"/>
    <w:rsid w:val="56A1273F"/>
    <w:rsid w:val="56AB220B"/>
    <w:rsid w:val="56DB7E24"/>
    <w:rsid w:val="571031DB"/>
    <w:rsid w:val="576829AA"/>
    <w:rsid w:val="5799049A"/>
    <w:rsid w:val="58122C23"/>
    <w:rsid w:val="582C27BF"/>
    <w:rsid w:val="58AC18A9"/>
    <w:rsid w:val="58CF0C1F"/>
    <w:rsid w:val="59285338"/>
    <w:rsid w:val="59745DBA"/>
    <w:rsid w:val="59863027"/>
    <w:rsid w:val="59B34274"/>
    <w:rsid w:val="59D81EA5"/>
    <w:rsid w:val="5A08555F"/>
    <w:rsid w:val="5A284604"/>
    <w:rsid w:val="5A4E0416"/>
    <w:rsid w:val="5AD54AA6"/>
    <w:rsid w:val="5B530880"/>
    <w:rsid w:val="5B9B02F2"/>
    <w:rsid w:val="5BC80216"/>
    <w:rsid w:val="5BF925A6"/>
    <w:rsid w:val="5C0207A5"/>
    <w:rsid w:val="5C127918"/>
    <w:rsid w:val="5C21067F"/>
    <w:rsid w:val="5C8021B4"/>
    <w:rsid w:val="5CEC0359"/>
    <w:rsid w:val="5D112CE2"/>
    <w:rsid w:val="5D431D9B"/>
    <w:rsid w:val="5DA92B98"/>
    <w:rsid w:val="5DDA2D10"/>
    <w:rsid w:val="5DE33C41"/>
    <w:rsid w:val="5E065DF9"/>
    <w:rsid w:val="5E132905"/>
    <w:rsid w:val="5E384975"/>
    <w:rsid w:val="5E3F0996"/>
    <w:rsid w:val="5E7403FD"/>
    <w:rsid w:val="5E743FC9"/>
    <w:rsid w:val="5E937CA5"/>
    <w:rsid w:val="5E9871C6"/>
    <w:rsid w:val="5E9C465A"/>
    <w:rsid w:val="5ED05334"/>
    <w:rsid w:val="5F051485"/>
    <w:rsid w:val="5F496B4C"/>
    <w:rsid w:val="5F7B1570"/>
    <w:rsid w:val="5F7F2254"/>
    <w:rsid w:val="5F9E7151"/>
    <w:rsid w:val="5FF40209"/>
    <w:rsid w:val="601C4672"/>
    <w:rsid w:val="612105D5"/>
    <w:rsid w:val="621411E2"/>
    <w:rsid w:val="621D5969"/>
    <w:rsid w:val="62C23135"/>
    <w:rsid w:val="62C40E60"/>
    <w:rsid w:val="634D0D90"/>
    <w:rsid w:val="63691697"/>
    <w:rsid w:val="63A04C8F"/>
    <w:rsid w:val="6450268A"/>
    <w:rsid w:val="646B5974"/>
    <w:rsid w:val="64A25573"/>
    <w:rsid w:val="64B16FD5"/>
    <w:rsid w:val="65783DB5"/>
    <w:rsid w:val="657D1B52"/>
    <w:rsid w:val="65AD2A9D"/>
    <w:rsid w:val="65FC780F"/>
    <w:rsid w:val="66875E90"/>
    <w:rsid w:val="66A61CD3"/>
    <w:rsid w:val="671D5DDA"/>
    <w:rsid w:val="677F7E04"/>
    <w:rsid w:val="67A037BF"/>
    <w:rsid w:val="67D64B8A"/>
    <w:rsid w:val="67E67DE5"/>
    <w:rsid w:val="67EE2525"/>
    <w:rsid w:val="68222D9F"/>
    <w:rsid w:val="685136D0"/>
    <w:rsid w:val="68776076"/>
    <w:rsid w:val="688B4D8B"/>
    <w:rsid w:val="68DE5DD0"/>
    <w:rsid w:val="693921DD"/>
    <w:rsid w:val="696D3FBD"/>
    <w:rsid w:val="69727E4D"/>
    <w:rsid w:val="699A46D0"/>
    <w:rsid w:val="6A406E72"/>
    <w:rsid w:val="6A414DD9"/>
    <w:rsid w:val="6A8B745B"/>
    <w:rsid w:val="6AEB0745"/>
    <w:rsid w:val="6B064398"/>
    <w:rsid w:val="6B10486E"/>
    <w:rsid w:val="6BA84E4E"/>
    <w:rsid w:val="6BAC697C"/>
    <w:rsid w:val="6BDC5203"/>
    <w:rsid w:val="6C3A079D"/>
    <w:rsid w:val="6CD367F8"/>
    <w:rsid w:val="6D2763C0"/>
    <w:rsid w:val="6D763BBA"/>
    <w:rsid w:val="6DA96A24"/>
    <w:rsid w:val="6E5727A1"/>
    <w:rsid w:val="6E784D79"/>
    <w:rsid w:val="6E807EF3"/>
    <w:rsid w:val="6E873158"/>
    <w:rsid w:val="6E873A42"/>
    <w:rsid w:val="6F881811"/>
    <w:rsid w:val="6FC871B6"/>
    <w:rsid w:val="6FD11E4D"/>
    <w:rsid w:val="6FDB2078"/>
    <w:rsid w:val="6FDD437C"/>
    <w:rsid w:val="6FE9347A"/>
    <w:rsid w:val="709C6D6B"/>
    <w:rsid w:val="70E56309"/>
    <w:rsid w:val="71DA0FDE"/>
    <w:rsid w:val="722F03D1"/>
    <w:rsid w:val="7242269E"/>
    <w:rsid w:val="72950B07"/>
    <w:rsid w:val="729E1A74"/>
    <w:rsid w:val="72AF6038"/>
    <w:rsid w:val="72DB032B"/>
    <w:rsid w:val="72ED34C7"/>
    <w:rsid w:val="735F06A8"/>
    <w:rsid w:val="73C3104F"/>
    <w:rsid w:val="73D522DF"/>
    <w:rsid w:val="73DE5EAA"/>
    <w:rsid w:val="73ED28B2"/>
    <w:rsid w:val="75023E22"/>
    <w:rsid w:val="75550EBF"/>
    <w:rsid w:val="760027E3"/>
    <w:rsid w:val="761E79EA"/>
    <w:rsid w:val="76320FB1"/>
    <w:rsid w:val="76720CEB"/>
    <w:rsid w:val="76AC51EB"/>
    <w:rsid w:val="76C27AAA"/>
    <w:rsid w:val="77321810"/>
    <w:rsid w:val="775F3703"/>
    <w:rsid w:val="77EA24F2"/>
    <w:rsid w:val="77FA18BB"/>
    <w:rsid w:val="780D7462"/>
    <w:rsid w:val="78433E86"/>
    <w:rsid w:val="78D21D5D"/>
    <w:rsid w:val="79123ACF"/>
    <w:rsid w:val="79890DAC"/>
    <w:rsid w:val="79992834"/>
    <w:rsid w:val="79B90163"/>
    <w:rsid w:val="79E01E29"/>
    <w:rsid w:val="7A114395"/>
    <w:rsid w:val="7A172F40"/>
    <w:rsid w:val="7C323553"/>
    <w:rsid w:val="7C3751E7"/>
    <w:rsid w:val="7C417159"/>
    <w:rsid w:val="7C431EAA"/>
    <w:rsid w:val="7C59580B"/>
    <w:rsid w:val="7C936979"/>
    <w:rsid w:val="7CAB459E"/>
    <w:rsid w:val="7CDD6E34"/>
    <w:rsid w:val="7CF27E82"/>
    <w:rsid w:val="7D2A6AD2"/>
    <w:rsid w:val="7D71484E"/>
    <w:rsid w:val="7DD619B2"/>
    <w:rsid w:val="7E2433BC"/>
    <w:rsid w:val="7E2F7B7C"/>
    <w:rsid w:val="7E8E4755"/>
    <w:rsid w:val="7ECB4D60"/>
    <w:rsid w:val="7EE672E4"/>
    <w:rsid w:val="7F1C287F"/>
    <w:rsid w:val="7F484B27"/>
    <w:rsid w:val="7F8B6FA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43"/>
    <w:qFormat/>
    <w:uiPriority w:val="0"/>
    <w:pPr>
      <w:keepNext/>
      <w:keepLines/>
      <w:spacing w:before="340" w:after="330" w:line="576" w:lineRule="auto"/>
      <w:jc w:val="center"/>
      <w:outlineLvl w:val="0"/>
    </w:pPr>
    <w:rPr>
      <w:rFonts w:ascii="仿宋" w:hAnsi="仿宋" w:eastAsia="Heiti SC Medium" w:cs="仿宋"/>
      <w:kern w:val="44"/>
    </w:rPr>
  </w:style>
  <w:style w:type="paragraph" w:styleId="4">
    <w:name w:val="heading 2"/>
    <w:basedOn w:val="1"/>
    <w:next w:val="1"/>
    <w:link w:val="41"/>
    <w:qFormat/>
    <w:uiPriority w:val="0"/>
    <w:pPr>
      <w:keepNext/>
      <w:keepLines/>
      <w:spacing w:line="413" w:lineRule="auto"/>
      <w:outlineLvl w:val="1"/>
    </w:pPr>
    <w:rPr>
      <w:rFonts w:ascii="Arial" w:hAnsi="Arial" w:eastAsia="黑体"/>
      <w:b/>
      <w:sz w:val="32"/>
    </w:rPr>
  </w:style>
  <w:style w:type="paragraph" w:styleId="5">
    <w:name w:val="heading 3"/>
    <w:basedOn w:val="1"/>
    <w:next w:val="1"/>
    <w:link w:val="44"/>
    <w:qFormat/>
    <w:uiPriority w:val="9"/>
    <w:pPr>
      <w:keepNext/>
      <w:keepLines/>
      <w:spacing w:before="260" w:after="260" w:line="416" w:lineRule="auto"/>
      <w:ind w:firstLine="1687" w:firstLineChars="200"/>
      <w:outlineLvl w:val="2"/>
    </w:pPr>
    <w:rPr>
      <w:rFonts w:ascii="Times New Roman" w:hAnsi="Times New Roman" w:eastAsia="宋体" w:cs="Times New Roman"/>
      <w:b/>
      <w:bCs/>
      <w:kern w:val="0"/>
      <w:sz w:val="20"/>
      <w:szCs w:val="32"/>
    </w:rPr>
  </w:style>
  <w:style w:type="paragraph" w:styleId="2">
    <w:name w:val="heading 4"/>
    <w:basedOn w:val="1"/>
    <w:next w:val="1"/>
    <w:qFormat/>
    <w:uiPriority w:val="0"/>
    <w:pPr>
      <w:keepNext/>
      <w:keepLines/>
      <w:spacing w:before="280" w:after="290" w:line="374" w:lineRule="auto"/>
      <w:outlineLvl w:val="3"/>
    </w:pPr>
    <w:rPr>
      <w:rFonts w:ascii="Arial" w:hAnsi="Arial" w:eastAsia="黑体" w:cs="Arial"/>
      <w:b/>
      <w:bCs/>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spacing w:line="360" w:lineRule="auto"/>
      <w:ind w:left="1920" w:firstLine="1687" w:firstLineChars="200"/>
      <w:jc w:val="left"/>
    </w:pPr>
    <w:rPr>
      <w:rFonts w:ascii="Calibri" w:hAnsi="Calibri" w:eastAsia="仿宋_GB2312" w:cs="Calibri"/>
      <w:sz w:val="18"/>
      <w:szCs w:val="18"/>
    </w:rPr>
  </w:style>
  <w:style w:type="paragraph" w:styleId="7">
    <w:name w:val="Normal Indent"/>
    <w:basedOn w:val="1"/>
    <w:qFormat/>
    <w:uiPriority w:val="0"/>
    <w:pPr>
      <w:spacing w:line="360" w:lineRule="auto"/>
      <w:ind w:firstLine="420" w:firstLineChars="200"/>
    </w:pPr>
    <w:rPr>
      <w:rFonts w:ascii="Calibri" w:hAnsi="Calibri" w:eastAsia="仿宋_GB2312" w:cs="Times New Roman"/>
      <w:sz w:val="28"/>
      <w:szCs w:val="22"/>
    </w:rPr>
  </w:style>
  <w:style w:type="paragraph" w:styleId="8">
    <w:name w:val="caption"/>
    <w:basedOn w:val="1"/>
    <w:next w:val="1"/>
    <w:qFormat/>
    <w:uiPriority w:val="0"/>
    <w:pPr>
      <w:spacing w:line="360" w:lineRule="auto"/>
      <w:ind w:firstLine="1687" w:firstLineChars="200"/>
    </w:pPr>
    <w:rPr>
      <w:rFonts w:ascii="Calibri Light" w:hAnsi="Calibri Light" w:eastAsia="黑体" w:cs="Times New Roman"/>
      <w:sz w:val="20"/>
      <w:szCs w:val="20"/>
    </w:rPr>
  </w:style>
  <w:style w:type="paragraph" w:styleId="9">
    <w:name w:val="annotation text"/>
    <w:basedOn w:val="1"/>
    <w:link w:val="45"/>
    <w:qFormat/>
    <w:uiPriority w:val="0"/>
    <w:pPr>
      <w:spacing w:line="360" w:lineRule="auto"/>
      <w:ind w:firstLine="1687" w:firstLineChars="200"/>
      <w:jc w:val="left"/>
    </w:pPr>
    <w:rPr>
      <w:rFonts w:ascii="Calibri" w:hAnsi="Calibri" w:eastAsia="仿宋_GB2312" w:cs="Times New Roman"/>
      <w:sz w:val="32"/>
      <w:szCs w:val="22"/>
    </w:rPr>
  </w:style>
  <w:style w:type="paragraph" w:styleId="10">
    <w:name w:val="Body Text"/>
    <w:basedOn w:val="1"/>
    <w:qFormat/>
    <w:uiPriority w:val="0"/>
    <w:pPr>
      <w:spacing w:after="120"/>
    </w:pPr>
  </w:style>
  <w:style w:type="paragraph" w:styleId="11">
    <w:name w:val="Body Text Indent"/>
    <w:basedOn w:val="1"/>
    <w:next w:val="12"/>
    <w:qFormat/>
    <w:uiPriority w:val="99"/>
    <w:pPr>
      <w:spacing w:after="120" w:line="360" w:lineRule="auto"/>
      <w:ind w:left="420" w:leftChars="200" w:firstLine="1687" w:firstLineChars="200"/>
    </w:pPr>
    <w:rPr>
      <w:rFonts w:ascii="Calibri" w:hAnsi="Calibri" w:eastAsia="仿宋_GB2312" w:cs="Times New Roman"/>
      <w:kern w:val="0"/>
      <w:sz w:val="20"/>
      <w:szCs w:val="20"/>
    </w:rPr>
  </w:style>
  <w:style w:type="paragraph" w:styleId="12">
    <w:name w:val="envelope return"/>
    <w:basedOn w:val="1"/>
    <w:qFormat/>
    <w:uiPriority w:val="99"/>
    <w:pPr>
      <w:snapToGrid w:val="0"/>
      <w:spacing w:line="360" w:lineRule="auto"/>
      <w:ind w:firstLine="1687" w:firstLineChars="200"/>
    </w:pPr>
    <w:rPr>
      <w:rFonts w:ascii="Arial" w:hAnsi="Arial" w:eastAsia="仿宋_GB2312" w:cs="Times New Roman"/>
      <w:sz w:val="32"/>
      <w:szCs w:val="22"/>
    </w:rPr>
  </w:style>
  <w:style w:type="paragraph" w:styleId="13">
    <w:name w:val="toc 5"/>
    <w:basedOn w:val="1"/>
    <w:next w:val="1"/>
    <w:qFormat/>
    <w:uiPriority w:val="0"/>
    <w:pPr>
      <w:spacing w:line="360" w:lineRule="auto"/>
      <w:ind w:left="1280" w:firstLine="1687" w:firstLineChars="200"/>
      <w:jc w:val="left"/>
    </w:pPr>
    <w:rPr>
      <w:rFonts w:ascii="Calibri" w:hAnsi="Calibri" w:eastAsia="仿宋_GB2312" w:cs="Calibri"/>
      <w:sz w:val="18"/>
      <w:szCs w:val="18"/>
    </w:rPr>
  </w:style>
  <w:style w:type="paragraph" w:styleId="14">
    <w:name w:val="toc 3"/>
    <w:basedOn w:val="1"/>
    <w:next w:val="1"/>
    <w:qFormat/>
    <w:uiPriority w:val="0"/>
    <w:pPr>
      <w:spacing w:line="360" w:lineRule="auto"/>
      <w:ind w:left="640" w:firstLine="1687" w:firstLineChars="200"/>
      <w:jc w:val="left"/>
    </w:pPr>
    <w:rPr>
      <w:rFonts w:ascii="Calibri" w:hAnsi="Calibri" w:eastAsia="仿宋_GB2312" w:cs="Calibri"/>
      <w:i/>
      <w:iCs/>
      <w:sz w:val="20"/>
      <w:szCs w:val="20"/>
    </w:rPr>
  </w:style>
  <w:style w:type="paragraph" w:styleId="15">
    <w:name w:val="toc 8"/>
    <w:basedOn w:val="1"/>
    <w:next w:val="1"/>
    <w:qFormat/>
    <w:uiPriority w:val="0"/>
    <w:pPr>
      <w:spacing w:line="360" w:lineRule="auto"/>
      <w:ind w:left="2240" w:firstLine="1687" w:firstLineChars="200"/>
      <w:jc w:val="left"/>
    </w:pPr>
    <w:rPr>
      <w:rFonts w:ascii="Calibri" w:hAnsi="Calibri" w:eastAsia="仿宋_GB2312" w:cs="Calibri"/>
      <w:sz w:val="18"/>
      <w:szCs w:val="18"/>
    </w:rPr>
  </w:style>
  <w:style w:type="paragraph" w:styleId="16">
    <w:name w:val="Date"/>
    <w:basedOn w:val="1"/>
    <w:next w:val="1"/>
    <w:link w:val="46"/>
    <w:qFormat/>
    <w:uiPriority w:val="0"/>
    <w:pPr>
      <w:spacing w:line="360" w:lineRule="auto"/>
      <w:ind w:left="100" w:leftChars="2500" w:firstLine="1687" w:firstLineChars="200"/>
    </w:pPr>
    <w:rPr>
      <w:rFonts w:ascii="Calibri" w:hAnsi="Calibri" w:eastAsia="仿宋_GB2312" w:cs="Times New Roman"/>
      <w:sz w:val="32"/>
      <w:szCs w:val="22"/>
    </w:rPr>
  </w:style>
  <w:style w:type="paragraph" w:styleId="17">
    <w:name w:val="Balloon Text"/>
    <w:basedOn w:val="1"/>
    <w:link w:val="47"/>
    <w:qFormat/>
    <w:uiPriority w:val="0"/>
    <w:pPr>
      <w:ind w:firstLine="1687" w:firstLineChars="200"/>
    </w:pPr>
    <w:rPr>
      <w:rFonts w:ascii="宋体" w:hAnsi="Calibri" w:eastAsia="仿宋_GB2312" w:cs="Times New Roman"/>
      <w:sz w:val="18"/>
      <w:szCs w:val="18"/>
    </w:rPr>
  </w:style>
  <w:style w:type="paragraph" w:styleId="18">
    <w:name w:val="footer"/>
    <w:basedOn w:val="1"/>
    <w:link w:val="40"/>
    <w:unhideWhenUsed/>
    <w:qFormat/>
    <w:uiPriority w:val="99"/>
    <w:pPr>
      <w:tabs>
        <w:tab w:val="center" w:pos="4153"/>
        <w:tab w:val="right" w:pos="8306"/>
      </w:tabs>
      <w:snapToGrid w:val="0"/>
      <w:jc w:val="left"/>
    </w:pPr>
    <w:rPr>
      <w:sz w:val="18"/>
      <w:szCs w:val="18"/>
    </w:rPr>
  </w:style>
  <w:style w:type="paragraph" w:styleId="19">
    <w:name w:val="header"/>
    <w:basedOn w:val="1"/>
    <w:link w:val="39"/>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rFonts w:ascii="Calibri" w:hAnsi="Calibri" w:cs="Calibri"/>
      <w:b/>
      <w:bCs/>
      <w:caps/>
      <w:sz w:val="20"/>
      <w:szCs w:val="20"/>
    </w:rPr>
  </w:style>
  <w:style w:type="paragraph" w:styleId="21">
    <w:name w:val="toc 4"/>
    <w:basedOn w:val="1"/>
    <w:next w:val="1"/>
    <w:qFormat/>
    <w:uiPriority w:val="0"/>
    <w:pPr>
      <w:spacing w:line="360" w:lineRule="auto"/>
      <w:ind w:left="960" w:firstLine="1687" w:firstLineChars="200"/>
      <w:jc w:val="left"/>
    </w:pPr>
    <w:rPr>
      <w:rFonts w:ascii="Calibri" w:hAnsi="Calibri" w:eastAsia="仿宋_GB2312" w:cs="Calibri"/>
      <w:sz w:val="18"/>
      <w:szCs w:val="18"/>
    </w:rPr>
  </w:style>
  <w:style w:type="paragraph" w:styleId="22">
    <w:name w:val="footnote text"/>
    <w:basedOn w:val="1"/>
    <w:link w:val="48"/>
    <w:unhideWhenUsed/>
    <w:qFormat/>
    <w:uiPriority w:val="0"/>
    <w:pPr>
      <w:widowControl/>
      <w:snapToGrid w:val="0"/>
      <w:spacing w:line="360" w:lineRule="auto"/>
      <w:jc w:val="left"/>
    </w:pPr>
    <w:rPr>
      <w:rFonts w:ascii="Times New Roman" w:hAnsi="Times New Roman" w:eastAsia="仿宋_GB2312" w:cs="Times New Roman"/>
      <w:kern w:val="0"/>
      <w:sz w:val="18"/>
      <w:szCs w:val="18"/>
      <w:lang w:eastAsia="en-US"/>
    </w:rPr>
  </w:style>
  <w:style w:type="paragraph" w:styleId="23">
    <w:name w:val="toc 6"/>
    <w:basedOn w:val="1"/>
    <w:next w:val="1"/>
    <w:qFormat/>
    <w:uiPriority w:val="0"/>
    <w:pPr>
      <w:spacing w:line="360" w:lineRule="auto"/>
      <w:ind w:left="1600" w:firstLine="1687" w:firstLineChars="200"/>
      <w:jc w:val="left"/>
    </w:pPr>
    <w:rPr>
      <w:rFonts w:ascii="Calibri" w:hAnsi="Calibri" w:eastAsia="仿宋_GB2312" w:cs="Calibri"/>
      <w:sz w:val="18"/>
      <w:szCs w:val="18"/>
    </w:rPr>
  </w:style>
  <w:style w:type="paragraph" w:styleId="24">
    <w:name w:val="toc 2"/>
    <w:basedOn w:val="1"/>
    <w:next w:val="1"/>
    <w:unhideWhenUsed/>
    <w:qFormat/>
    <w:uiPriority w:val="39"/>
    <w:pPr>
      <w:ind w:left="320"/>
      <w:jc w:val="left"/>
    </w:pPr>
    <w:rPr>
      <w:rFonts w:ascii="Calibri" w:hAnsi="Calibri" w:cs="Calibri"/>
      <w:smallCaps/>
      <w:sz w:val="20"/>
      <w:szCs w:val="20"/>
    </w:rPr>
  </w:style>
  <w:style w:type="paragraph" w:styleId="25">
    <w:name w:val="toc 9"/>
    <w:basedOn w:val="1"/>
    <w:next w:val="1"/>
    <w:qFormat/>
    <w:uiPriority w:val="0"/>
    <w:pPr>
      <w:spacing w:line="360" w:lineRule="auto"/>
      <w:ind w:left="2560" w:firstLine="1687" w:firstLineChars="200"/>
      <w:jc w:val="left"/>
    </w:pPr>
    <w:rPr>
      <w:rFonts w:ascii="Calibri" w:hAnsi="Calibri" w:eastAsia="仿宋_GB2312" w:cs="Calibri"/>
      <w:sz w:val="18"/>
      <w:szCs w:val="18"/>
    </w:rPr>
  </w:style>
  <w:style w:type="paragraph" w:styleId="26">
    <w:name w:val="Normal (Web)"/>
    <w:basedOn w:val="1"/>
    <w:qFormat/>
    <w:uiPriority w:val="99"/>
    <w:pPr>
      <w:widowControl/>
      <w:spacing w:before="100" w:beforeAutospacing="1" w:after="100" w:afterAutospacing="1" w:line="360" w:lineRule="auto"/>
      <w:ind w:firstLine="1687" w:firstLineChars="200"/>
      <w:jc w:val="left"/>
    </w:pPr>
    <w:rPr>
      <w:rFonts w:ascii="宋体" w:hAnsi="宋体" w:eastAsia="仿宋_GB2312" w:cs="宋体"/>
      <w:kern w:val="0"/>
      <w:sz w:val="32"/>
      <w:szCs w:val="22"/>
    </w:rPr>
  </w:style>
  <w:style w:type="paragraph" w:styleId="27">
    <w:name w:val="Title"/>
    <w:basedOn w:val="1"/>
    <w:qFormat/>
    <w:uiPriority w:val="0"/>
    <w:pPr>
      <w:spacing w:before="240" w:after="60" w:line="360" w:lineRule="auto"/>
      <w:ind w:firstLine="1687" w:firstLineChars="200"/>
      <w:jc w:val="center"/>
      <w:outlineLvl w:val="0"/>
    </w:pPr>
    <w:rPr>
      <w:rFonts w:ascii="Arial" w:hAnsi="Arial" w:eastAsia="仿宋_GB2312" w:cs="Times New Roman"/>
      <w:b/>
      <w:sz w:val="32"/>
      <w:szCs w:val="22"/>
    </w:rPr>
  </w:style>
  <w:style w:type="paragraph" w:styleId="28">
    <w:name w:val="annotation subject"/>
    <w:basedOn w:val="9"/>
    <w:next w:val="9"/>
    <w:link w:val="49"/>
    <w:qFormat/>
    <w:uiPriority w:val="0"/>
    <w:rPr>
      <w:b/>
      <w:bCs/>
    </w:rPr>
  </w:style>
  <w:style w:type="paragraph" w:styleId="29">
    <w:name w:val="Body Text First Indent 2"/>
    <w:basedOn w:val="11"/>
    <w:qFormat/>
    <w:uiPriority w:val="99"/>
    <w:pPr>
      <w:ind w:firstLine="420"/>
    </w:p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basedOn w:val="32"/>
    <w:qFormat/>
    <w:uiPriority w:val="0"/>
    <w:rPr>
      <w:rFonts w:ascii="Times New Roman" w:hAnsi="Times New Roman" w:eastAsia="宋体" w:cs="Times New Roman"/>
      <w:b/>
      <w:bCs/>
    </w:rPr>
  </w:style>
  <w:style w:type="character" w:styleId="34">
    <w:name w:val="page number"/>
    <w:basedOn w:val="32"/>
    <w:qFormat/>
    <w:uiPriority w:val="0"/>
  </w:style>
  <w:style w:type="character" w:styleId="35">
    <w:name w:val="Emphasis"/>
    <w:basedOn w:val="32"/>
    <w:qFormat/>
    <w:uiPriority w:val="0"/>
    <w:rPr>
      <w:rFonts w:ascii="Times New Roman" w:hAnsi="Times New Roman" w:eastAsia="宋体" w:cs="Times New Roman"/>
      <w:i/>
    </w:rPr>
  </w:style>
  <w:style w:type="character" w:styleId="36">
    <w:name w:val="Hyperlink"/>
    <w:basedOn w:val="32"/>
    <w:unhideWhenUsed/>
    <w:qFormat/>
    <w:uiPriority w:val="99"/>
    <w:rPr>
      <w:color w:val="0563C1"/>
      <w:u w:val="single"/>
    </w:rPr>
  </w:style>
  <w:style w:type="character" w:styleId="37">
    <w:name w:val="annotation reference"/>
    <w:basedOn w:val="32"/>
    <w:qFormat/>
    <w:uiPriority w:val="0"/>
    <w:rPr>
      <w:rFonts w:ascii="Times New Roman" w:hAnsi="Times New Roman" w:eastAsia="宋体" w:cs="Times New Roman"/>
      <w:sz w:val="21"/>
      <w:szCs w:val="21"/>
    </w:rPr>
  </w:style>
  <w:style w:type="character" w:styleId="38">
    <w:name w:val="footnote reference"/>
    <w:unhideWhenUsed/>
    <w:qFormat/>
    <w:uiPriority w:val="0"/>
    <w:rPr>
      <w:rFonts w:ascii="Times New Roman" w:hAnsi="Times New Roman" w:eastAsia="宋体" w:cs="Times New Roman"/>
      <w:vertAlign w:val="superscript"/>
    </w:rPr>
  </w:style>
  <w:style w:type="character" w:customStyle="1" w:styleId="39">
    <w:name w:val="页眉 Char"/>
    <w:basedOn w:val="32"/>
    <w:link w:val="19"/>
    <w:qFormat/>
    <w:uiPriority w:val="0"/>
    <w:rPr>
      <w:kern w:val="2"/>
      <w:sz w:val="18"/>
      <w:szCs w:val="18"/>
    </w:rPr>
  </w:style>
  <w:style w:type="character" w:customStyle="1" w:styleId="40">
    <w:name w:val="页脚 Char"/>
    <w:basedOn w:val="32"/>
    <w:link w:val="18"/>
    <w:qFormat/>
    <w:uiPriority w:val="0"/>
    <w:rPr>
      <w:kern w:val="2"/>
      <w:sz w:val="18"/>
      <w:szCs w:val="18"/>
    </w:rPr>
  </w:style>
  <w:style w:type="character" w:customStyle="1" w:styleId="41">
    <w:name w:val="标题 2 Char"/>
    <w:basedOn w:val="32"/>
    <w:link w:val="4"/>
    <w:qFormat/>
    <w:uiPriority w:val="0"/>
    <w:rPr>
      <w:rFonts w:ascii="Cambria" w:hAnsi="Cambria" w:eastAsia="宋体" w:cs="Times New Roman"/>
      <w:b/>
      <w:bCs/>
      <w:kern w:val="2"/>
      <w:sz w:val="32"/>
      <w:szCs w:val="32"/>
    </w:rPr>
  </w:style>
  <w:style w:type="paragraph" w:customStyle="1" w:styleId="42">
    <w:name w:val="Normal (Web)11"/>
    <w:basedOn w:val="1"/>
    <w:qFormat/>
    <w:uiPriority w:val="99"/>
    <w:pPr>
      <w:widowControl/>
      <w:spacing w:before="100" w:beforeAutospacing="1" w:after="100" w:afterAutospacing="1" w:line="360" w:lineRule="atLeast"/>
      <w:jc w:val="left"/>
    </w:pPr>
    <w:rPr>
      <w:rFonts w:ascii="宋体" w:hAnsi="宋体"/>
      <w:kern w:val="0"/>
      <w:sz w:val="20"/>
      <w:szCs w:val="20"/>
    </w:rPr>
  </w:style>
  <w:style w:type="character" w:customStyle="1" w:styleId="43">
    <w:name w:val="标题 1 Char"/>
    <w:basedOn w:val="32"/>
    <w:link w:val="3"/>
    <w:qFormat/>
    <w:uiPriority w:val="0"/>
    <w:rPr>
      <w:rFonts w:ascii="仿宋" w:hAnsi="仿宋" w:eastAsia="Heiti SC Medium" w:cs="仿宋"/>
      <w:kern w:val="44"/>
      <w:szCs w:val="24"/>
    </w:rPr>
  </w:style>
  <w:style w:type="character" w:customStyle="1" w:styleId="44">
    <w:name w:val="标题 3 Char"/>
    <w:link w:val="5"/>
    <w:qFormat/>
    <w:uiPriority w:val="9"/>
    <w:rPr>
      <w:rFonts w:ascii="Times New Roman" w:hAnsi="Times New Roman" w:eastAsia="宋体" w:cs="Times New Roman"/>
      <w:b/>
      <w:bCs/>
      <w:kern w:val="0"/>
      <w:sz w:val="20"/>
      <w:szCs w:val="32"/>
    </w:rPr>
  </w:style>
  <w:style w:type="character" w:customStyle="1" w:styleId="45">
    <w:name w:val="批注文字 Char"/>
    <w:basedOn w:val="32"/>
    <w:link w:val="9"/>
    <w:qFormat/>
    <w:uiPriority w:val="0"/>
    <w:rPr>
      <w:rFonts w:ascii="Times New Roman" w:hAnsi="Times New Roman" w:eastAsia="宋体" w:cs="Times New Roman"/>
    </w:rPr>
  </w:style>
  <w:style w:type="character" w:customStyle="1" w:styleId="46">
    <w:name w:val="日期 Char"/>
    <w:basedOn w:val="32"/>
    <w:link w:val="16"/>
    <w:qFormat/>
    <w:uiPriority w:val="0"/>
    <w:rPr>
      <w:rFonts w:ascii="Times New Roman" w:hAnsi="Times New Roman" w:eastAsia="宋体" w:cs="Times New Roman"/>
    </w:rPr>
  </w:style>
  <w:style w:type="character" w:customStyle="1" w:styleId="47">
    <w:name w:val="批注框文本 Char"/>
    <w:basedOn w:val="32"/>
    <w:link w:val="17"/>
    <w:qFormat/>
    <w:uiPriority w:val="0"/>
    <w:rPr>
      <w:rFonts w:ascii="宋体" w:hAnsi="Times New Roman" w:eastAsia="宋体" w:cs="Times New Roman"/>
      <w:sz w:val="18"/>
      <w:szCs w:val="18"/>
    </w:rPr>
  </w:style>
  <w:style w:type="character" w:customStyle="1" w:styleId="48">
    <w:name w:val="脚注文本 Char"/>
    <w:basedOn w:val="32"/>
    <w:link w:val="22"/>
    <w:qFormat/>
    <w:uiPriority w:val="0"/>
    <w:rPr>
      <w:rFonts w:ascii="Times New Roman" w:hAnsi="Times New Roman" w:eastAsia="宋体" w:cs="Times New Roman"/>
      <w:kern w:val="0"/>
      <w:sz w:val="18"/>
      <w:szCs w:val="18"/>
      <w:lang w:eastAsia="en-US"/>
    </w:rPr>
  </w:style>
  <w:style w:type="character" w:customStyle="1" w:styleId="49">
    <w:name w:val="批注主题 Char"/>
    <w:basedOn w:val="45"/>
    <w:link w:val="28"/>
    <w:qFormat/>
    <w:uiPriority w:val="0"/>
    <w:rPr>
      <w:b/>
      <w:bCs/>
    </w:rPr>
  </w:style>
  <w:style w:type="paragraph" w:customStyle="1" w:styleId="50">
    <w:name w:val="WPSOffice手动目录 1"/>
    <w:qFormat/>
    <w:uiPriority w:val="0"/>
    <w:rPr>
      <w:rFonts w:ascii="Times New Roman" w:hAnsi="Times New Roman" w:eastAsia="宋体" w:cs="Times New Roman"/>
      <w:lang w:val="en-US" w:eastAsia="zh-CN" w:bidi="ar-SA"/>
    </w:rPr>
  </w:style>
  <w:style w:type="paragraph" w:customStyle="1" w:styleId="51">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52">
    <w:name w:val="标题 1 Char1"/>
    <w:qFormat/>
    <w:uiPriority w:val="0"/>
    <w:rPr>
      <w:rFonts w:ascii="Times New Roman" w:hAnsi="Times New Roman" w:eastAsia="黑体" w:cs="Times New Roman"/>
      <w:b/>
      <w:kern w:val="44"/>
      <w:sz w:val="44"/>
      <w:lang w:val="en-US" w:eastAsia="zh-CN" w:bidi="ar-SA"/>
    </w:rPr>
  </w:style>
  <w:style w:type="character" w:customStyle="1" w:styleId="53">
    <w:name w:val="标题 2 Char1"/>
    <w:qFormat/>
    <w:uiPriority w:val="0"/>
    <w:rPr>
      <w:rFonts w:ascii="Arial" w:hAnsi="Arial" w:eastAsia="黑体" w:cs="Arial"/>
      <w:b/>
      <w:kern w:val="2"/>
      <w:sz w:val="32"/>
      <w:szCs w:val="24"/>
    </w:rPr>
  </w:style>
  <w:style w:type="character" w:customStyle="1" w:styleId="54">
    <w:name w:val="标题 3 Char1"/>
    <w:qFormat/>
    <w:uiPriority w:val="0"/>
    <w:rPr>
      <w:rFonts w:ascii="Calibri" w:hAnsi="Calibri" w:eastAsia="仿宋_GB2312" w:cs="Times New Roman"/>
      <w:b/>
      <w:bCs/>
      <w:kern w:val="2"/>
      <w:sz w:val="32"/>
      <w:szCs w:val="32"/>
    </w:rPr>
  </w:style>
  <w:style w:type="paragraph" w:styleId="55">
    <w:name w:val="List Paragraph"/>
    <w:basedOn w:val="1"/>
    <w:qFormat/>
    <w:uiPriority w:val="99"/>
    <w:pPr>
      <w:spacing w:line="360" w:lineRule="auto"/>
      <w:ind w:firstLine="420" w:firstLineChars="200"/>
    </w:pPr>
    <w:rPr>
      <w:rFonts w:ascii="Calibri" w:hAnsi="Calibri" w:eastAsia="仿宋_GB2312" w:cs="Times New Roman"/>
      <w:sz w:val="32"/>
      <w:szCs w:val="22"/>
    </w:rPr>
  </w:style>
  <w:style w:type="paragraph" w:customStyle="1" w:styleId="56">
    <w:name w:val="图表标题"/>
    <w:basedOn w:val="1"/>
    <w:qFormat/>
    <w:uiPriority w:val="0"/>
    <w:pPr>
      <w:adjustRightInd w:val="0"/>
      <w:snapToGrid w:val="0"/>
      <w:spacing w:line="560" w:lineRule="exact"/>
      <w:jc w:val="center"/>
    </w:pPr>
    <w:rPr>
      <w:rFonts w:ascii="黑体" w:hAnsi="黑体" w:eastAsia="黑体" w:cs="Times New Roman"/>
      <w:sz w:val="24"/>
      <w:szCs w:val="21"/>
    </w:rPr>
  </w:style>
  <w:style w:type="paragraph" w:customStyle="1" w:styleId="57">
    <w:name w:val="表格"/>
    <w:basedOn w:val="1"/>
    <w:qFormat/>
    <w:uiPriority w:val="0"/>
    <w:pPr>
      <w:adjustRightInd w:val="0"/>
      <w:snapToGrid w:val="0"/>
    </w:pPr>
    <w:rPr>
      <w:rFonts w:ascii="宋体" w:hAnsi="宋体" w:eastAsia="宋体" w:cs="Times New Roman"/>
      <w:szCs w:val="21"/>
    </w:rPr>
  </w:style>
  <w:style w:type="character" w:customStyle="1" w:styleId="58">
    <w:name w:val="font131"/>
    <w:basedOn w:val="32"/>
    <w:qFormat/>
    <w:uiPriority w:val="0"/>
    <w:rPr>
      <w:rFonts w:hint="eastAsia" w:ascii="宋体" w:hAnsi="宋体" w:eastAsia="宋体" w:cs="宋体"/>
      <w:color w:val="000000"/>
      <w:sz w:val="22"/>
      <w:szCs w:val="22"/>
      <w:u w:val="none"/>
    </w:rPr>
  </w:style>
  <w:style w:type="character" w:customStyle="1" w:styleId="59">
    <w:name w:val="font61"/>
    <w:basedOn w:val="32"/>
    <w:qFormat/>
    <w:uiPriority w:val="0"/>
    <w:rPr>
      <w:rFonts w:hint="eastAsia" w:ascii="黑体" w:hAnsi="宋体" w:eastAsia="黑体" w:cs="黑体"/>
      <w:color w:val="000000"/>
      <w:sz w:val="21"/>
      <w:szCs w:val="21"/>
      <w:u w:val="none"/>
    </w:rPr>
  </w:style>
  <w:style w:type="character" w:customStyle="1" w:styleId="60">
    <w:name w:val="font31"/>
    <w:basedOn w:val="32"/>
    <w:qFormat/>
    <w:uiPriority w:val="0"/>
    <w:rPr>
      <w:rFonts w:hint="eastAsia" w:ascii="黑体" w:hAnsi="宋体" w:eastAsia="黑体" w:cs="黑体"/>
      <w:color w:val="121212"/>
      <w:sz w:val="21"/>
      <w:szCs w:val="21"/>
      <w:u w:val="none"/>
    </w:rPr>
  </w:style>
  <w:style w:type="character" w:customStyle="1" w:styleId="61">
    <w:name w:val="font251"/>
    <w:basedOn w:val="32"/>
    <w:qFormat/>
    <w:uiPriority w:val="0"/>
    <w:rPr>
      <w:rFonts w:hint="eastAsia" w:ascii="仿宋" w:hAnsi="仿宋" w:eastAsia="仿宋" w:cs="仿宋"/>
      <w:color w:val="121212"/>
      <w:sz w:val="22"/>
      <w:szCs w:val="22"/>
      <w:u w:val="none"/>
    </w:rPr>
  </w:style>
  <w:style w:type="character" w:customStyle="1" w:styleId="62">
    <w:name w:val="font291"/>
    <w:basedOn w:val="32"/>
    <w:qFormat/>
    <w:uiPriority w:val="0"/>
    <w:rPr>
      <w:rFonts w:hint="default" w:ascii="Times New Roman" w:hAnsi="Times New Roman" w:eastAsia="宋体" w:cs="Times New Roman"/>
      <w:color w:val="000000"/>
      <w:sz w:val="22"/>
      <w:szCs w:val="22"/>
      <w:u w:val="none"/>
    </w:rPr>
  </w:style>
  <w:style w:type="character" w:customStyle="1" w:styleId="63">
    <w:name w:val="font241"/>
    <w:basedOn w:val="32"/>
    <w:qFormat/>
    <w:uiPriority w:val="0"/>
    <w:rPr>
      <w:rFonts w:hint="default" w:ascii="Times New Roman" w:hAnsi="Times New Roman" w:eastAsia="宋体" w:cs="Times New Roman"/>
      <w:color w:val="000000"/>
      <w:sz w:val="22"/>
      <w:szCs w:val="22"/>
      <w:u w:val="none"/>
    </w:rPr>
  </w:style>
  <w:style w:type="character" w:customStyle="1" w:styleId="64">
    <w:name w:val="font41"/>
    <w:basedOn w:val="32"/>
    <w:qFormat/>
    <w:uiPriority w:val="0"/>
    <w:rPr>
      <w:rFonts w:hint="eastAsia" w:ascii="仿宋" w:hAnsi="仿宋" w:eastAsia="仿宋" w:cs="仿宋"/>
      <w:color w:val="000000"/>
      <w:sz w:val="22"/>
      <w:szCs w:val="22"/>
      <w:u w:val="none"/>
    </w:rPr>
  </w:style>
  <w:style w:type="character" w:customStyle="1" w:styleId="65">
    <w:name w:val="font21"/>
    <w:basedOn w:val="32"/>
    <w:qFormat/>
    <w:uiPriority w:val="0"/>
    <w:rPr>
      <w:rFonts w:hint="eastAsia" w:ascii="宋体" w:hAnsi="宋体" w:eastAsia="宋体" w:cs="宋体"/>
      <w:color w:val="0000FF"/>
      <w:sz w:val="22"/>
      <w:szCs w:val="22"/>
      <w:u w:val="single"/>
    </w:rPr>
  </w:style>
  <w:style w:type="character" w:customStyle="1" w:styleId="66">
    <w:name w:val="font221"/>
    <w:basedOn w:val="32"/>
    <w:qFormat/>
    <w:uiPriority w:val="0"/>
    <w:rPr>
      <w:rFonts w:hint="eastAsia" w:ascii="宋体" w:hAnsi="宋体" w:eastAsia="宋体" w:cs="宋体"/>
      <w:color w:val="0000FF"/>
      <w:sz w:val="22"/>
      <w:szCs w:val="22"/>
      <w:u w:val="none"/>
    </w:rPr>
  </w:style>
  <w:style w:type="character" w:customStyle="1" w:styleId="67">
    <w:name w:val="font01"/>
    <w:basedOn w:val="32"/>
    <w:qFormat/>
    <w:uiPriority w:val="0"/>
    <w:rPr>
      <w:rFonts w:hint="eastAsia" w:ascii="仿宋" w:hAnsi="仿宋" w:eastAsia="仿宋" w:cs="仿宋"/>
      <w:color w:val="000000"/>
      <w:sz w:val="22"/>
      <w:szCs w:val="22"/>
      <w:u w:val="none"/>
    </w:rPr>
  </w:style>
  <w:style w:type="character" w:customStyle="1" w:styleId="68">
    <w:name w:val="font231"/>
    <w:basedOn w:val="32"/>
    <w:qFormat/>
    <w:uiPriority w:val="0"/>
    <w:rPr>
      <w:rFonts w:hint="eastAsia" w:ascii="微软雅黑" w:hAnsi="微软雅黑" w:eastAsia="微软雅黑" w:cs="微软雅黑"/>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B71B08-BFE9-4974-9630-A58A9D91A488}">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67</Pages>
  <Words>36335</Words>
  <Characters>37122</Characters>
  <Lines>268</Lines>
  <Paragraphs>75</Paragraphs>
  <TotalTime>40</TotalTime>
  <ScaleCrop>false</ScaleCrop>
  <LinksUpToDate>false</LinksUpToDate>
  <CharactersWithSpaces>37294</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2018-02-10T09:07:00Z</dcterms:created>
  <dc:creator>lenovo</dc:creator>
  <cp:lastModifiedBy>stars change</cp:lastModifiedBy>
  <cp:lastPrinted>2022-02-18T07:27:00Z</cp:lastPrinted>
  <dcterms:modified xsi:type="dcterms:W3CDTF">2022-09-30T03:14:18Z</dcterms:modified>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6BBB1BB6CC494932B68AF6D0E6E34C60</vt:lpwstr>
  </property>
</Properties>
</file>