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adjustRightInd w:val="0"/>
        <w:snapToGrid w:val="0"/>
        <w:spacing w:before="0" w:beforeAutospacing="1" w:after="0" w:afterAutospacing="1" w:line="18" w:lineRule="atLeast"/>
        <w:ind w:left="0" w:right="0"/>
        <w:jc w:val="center"/>
      </w:pPr>
      <w:r>
        <w:rPr>
          <w:rFonts w:ascii="方正小标宋简体" w:hAnsi="方正小标宋简体" w:eastAsia="方正小标宋简体" w:cs="方正小标宋简体"/>
          <w:b w:val="0"/>
          <w:bCs/>
          <w:color w:val="020202"/>
          <w:kern w:val="2"/>
          <w:sz w:val="48"/>
          <w:szCs w:val="48"/>
          <w:lang w:val="en-US" w:eastAsia="zh-CN" w:bidi="ar"/>
        </w:rPr>
        <w:t>铜官区西湖镇</w:t>
      </w:r>
      <w:r>
        <w:rPr>
          <w:rFonts w:hint="default" w:ascii="方正小标宋简体" w:hAnsi="方正小标宋简体" w:eastAsia="方正小标宋简体" w:cs="方正小标宋简体"/>
          <w:b w:val="0"/>
          <w:bCs/>
          <w:color w:val="020202"/>
          <w:kern w:val="2"/>
          <w:sz w:val="48"/>
          <w:szCs w:val="48"/>
          <w:lang w:val="en-US" w:eastAsia="zh-CN" w:bidi="ar"/>
        </w:rPr>
        <w:t>2020年</w:t>
      </w:r>
      <w:r>
        <w:rPr>
          <w:rFonts w:hint="default" w:ascii="方正小标宋简体" w:hAnsi="方正小标宋简体" w:eastAsia="方正小标宋简体" w:cs="方正小标宋简体"/>
          <w:b w:val="0"/>
          <w:bCs/>
          <w:kern w:val="2"/>
          <w:sz w:val="48"/>
          <w:szCs w:val="48"/>
          <w:lang w:val="en-US" w:eastAsia="zh-CN" w:bidi="ar"/>
        </w:rPr>
        <w:t>度</w:t>
      </w:r>
      <w:r>
        <w:rPr>
          <w:rFonts w:hint="default" w:ascii="方正小标宋简体" w:hAnsi="方正小标宋简体" w:eastAsia="方正小标宋简体" w:cs="方正小标宋简体"/>
          <w:b w:val="0"/>
          <w:bCs/>
          <w:color w:val="020202"/>
          <w:kern w:val="2"/>
          <w:sz w:val="48"/>
          <w:szCs w:val="48"/>
          <w:lang w:val="en-US" w:eastAsia="zh-CN" w:bidi="ar"/>
        </w:rPr>
        <w:t>部门决算</w:t>
      </w:r>
    </w:p>
    <w:p>
      <w:pPr>
        <w:keepNext w:val="0"/>
        <w:keepLines w:val="0"/>
        <w:widowControl/>
        <w:suppressLineNumbers w:val="0"/>
        <w:adjustRightInd w:val="0"/>
        <w:snapToGrid w:val="0"/>
        <w:spacing w:before="0" w:beforeAutospacing="1" w:after="0" w:afterAutospacing="1" w:line="18" w:lineRule="atLeast"/>
        <w:ind w:left="0" w:right="0"/>
        <w:jc w:val="center"/>
      </w:pPr>
      <w:r>
        <w:rPr>
          <w:rFonts w:ascii="华文中宋" w:hAnsi="华文中宋" w:eastAsia="华文中宋" w:cs="华文中宋"/>
          <w:b/>
          <w:bCs w:val="0"/>
          <w:color w:val="020202"/>
          <w:kern w:val="2"/>
          <w:sz w:val="48"/>
          <w:szCs w:val="48"/>
          <w:lang w:val="en-US" w:eastAsia="zh-CN" w:bidi="ar"/>
        </w:rPr>
        <w:t xml:space="preserve"> </w:t>
      </w:r>
    </w:p>
    <w:p>
      <w:pPr>
        <w:keepNext w:val="0"/>
        <w:keepLines w:val="0"/>
        <w:widowControl/>
        <w:suppressLineNumbers w:val="0"/>
        <w:spacing w:before="0" w:beforeAutospacing="1" w:after="0" w:afterAutospacing="1"/>
        <w:ind w:left="0" w:right="0"/>
        <w:jc w:val="left"/>
      </w:pPr>
      <w:r>
        <w:rPr>
          <w:rFonts w:ascii="宋体" w:hAnsi="宋体" w:eastAsia="仿宋_GB2312" w:cs="Times New Roman"/>
          <w:color w:val="020202"/>
          <w:kern w:val="2"/>
          <w:sz w:val="28"/>
          <w:szCs w:val="28"/>
          <w:lang w:val="en-US" w:eastAsia="zh-CN" w:bidi="ar"/>
        </w:rPr>
        <w:t xml:space="preserve"> </w:t>
      </w:r>
    </w:p>
    <w:p>
      <w:pPr>
        <w:keepNext w:val="0"/>
        <w:keepLines w:val="0"/>
        <w:widowControl/>
        <w:suppressLineNumbers w:val="0"/>
        <w:spacing w:before="0" w:beforeAutospacing="1" w:after="0" w:afterAutospacing="1"/>
        <w:ind w:left="0" w:right="0"/>
        <w:jc w:val="left"/>
      </w:pPr>
      <w:r>
        <w:rPr>
          <w:rFonts w:hint="default" w:ascii="宋体" w:hAnsi="宋体" w:eastAsia="仿宋_GB2312" w:cs="Times New Roman"/>
          <w:color w:val="020202"/>
          <w:kern w:val="2"/>
          <w:sz w:val="28"/>
          <w:szCs w:val="28"/>
          <w:lang w:val="en-US" w:eastAsia="zh-CN" w:bidi="ar"/>
        </w:rPr>
        <w:t xml:space="preserve"> </w:t>
      </w:r>
    </w:p>
    <w:p>
      <w:pPr>
        <w:keepNext w:val="0"/>
        <w:keepLines w:val="0"/>
        <w:widowControl/>
        <w:suppressLineNumbers w:val="0"/>
        <w:spacing w:before="0" w:beforeAutospacing="1" w:after="0" w:afterAutospacing="1"/>
        <w:ind w:left="0" w:right="0"/>
        <w:jc w:val="left"/>
      </w:pPr>
      <w:r>
        <w:rPr>
          <w:rFonts w:hint="default" w:ascii="宋体" w:hAnsi="宋体" w:eastAsia="仿宋_GB2312" w:cs="Times New Roman"/>
          <w:color w:val="020202"/>
          <w:kern w:val="2"/>
          <w:sz w:val="28"/>
          <w:szCs w:val="28"/>
          <w:lang w:val="en-US" w:eastAsia="zh-CN" w:bidi="ar"/>
        </w:rPr>
        <w:t xml:space="preserve"> </w:t>
      </w:r>
    </w:p>
    <w:p>
      <w:pPr>
        <w:keepNext w:val="0"/>
        <w:keepLines w:val="0"/>
        <w:widowControl/>
        <w:suppressLineNumbers w:val="0"/>
        <w:spacing w:before="0" w:beforeAutospacing="1" w:after="0" w:afterAutospacing="1"/>
        <w:ind w:left="0" w:right="0"/>
        <w:jc w:val="left"/>
      </w:pPr>
      <w:r>
        <w:rPr>
          <w:rFonts w:hint="default" w:ascii="宋体" w:hAnsi="宋体" w:eastAsia="仿宋_GB2312" w:cs="Times New Roman"/>
          <w:color w:val="020202"/>
          <w:kern w:val="2"/>
          <w:sz w:val="28"/>
          <w:szCs w:val="28"/>
          <w:lang w:val="en-US" w:eastAsia="zh-CN" w:bidi="ar"/>
        </w:rPr>
        <w:t xml:space="preserve"> </w:t>
      </w:r>
    </w:p>
    <w:p>
      <w:pPr>
        <w:keepNext w:val="0"/>
        <w:keepLines w:val="0"/>
        <w:widowControl/>
        <w:suppressLineNumbers w:val="0"/>
        <w:spacing w:before="0" w:beforeAutospacing="1" w:after="0" w:afterAutospacing="1"/>
        <w:ind w:left="0" w:right="0"/>
        <w:jc w:val="left"/>
      </w:pPr>
      <w:r>
        <w:rPr>
          <w:rFonts w:hint="default" w:ascii="宋体" w:hAnsi="宋体" w:eastAsia="仿宋_GB2312" w:cs="Times New Roman"/>
          <w:color w:val="020202"/>
          <w:kern w:val="2"/>
          <w:sz w:val="28"/>
          <w:szCs w:val="28"/>
          <w:lang w:val="en-US" w:eastAsia="zh-CN" w:bidi="ar"/>
        </w:rPr>
        <w:t xml:space="preserve"> </w:t>
      </w:r>
    </w:p>
    <w:p>
      <w:pPr>
        <w:keepNext w:val="0"/>
        <w:keepLines w:val="0"/>
        <w:widowControl/>
        <w:suppressLineNumbers w:val="0"/>
        <w:spacing w:before="0" w:beforeAutospacing="1" w:after="0" w:afterAutospacing="1"/>
        <w:ind w:left="0" w:right="0"/>
        <w:jc w:val="left"/>
      </w:pPr>
      <w:r>
        <w:rPr>
          <w:rFonts w:hint="default" w:ascii="宋体" w:hAnsi="宋体" w:eastAsia="仿宋_GB2312" w:cs="Times New Roman"/>
          <w:color w:val="020202"/>
          <w:kern w:val="2"/>
          <w:sz w:val="28"/>
          <w:szCs w:val="28"/>
          <w:lang w:val="en-US" w:eastAsia="zh-CN" w:bidi="ar"/>
        </w:rPr>
        <w:t xml:space="preserve"> </w:t>
      </w:r>
    </w:p>
    <w:p>
      <w:pPr>
        <w:keepNext w:val="0"/>
        <w:keepLines w:val="0"/>
        <w:widowControl/>
        <w:suppressLineNumbers w:val="0"/>
        <w:spacing w:before="0" w:beforeAutospacing="1" w:after="0" w:afterAutospacing="1"/>
        <w:ind w:left="0" w:right="0"/>
        <w:jc w:val="left"/>
      </w:pPr>
      <w:r>
        <w:rPr>
          <w:rFonts w:hint="default" w:ascii="宋体" w:hAnsi="宋体" w:eastAsia="仿宋_GB2312" w:cs="Times New Roman"/>
          <w:color w:val="020202"/>
          <w:kern w:val="2"/>
          <w:sz w:val="28"/>
          <w:szCs w:val="28"/>
          <w:lang w:val="en-US" w:eastAsia="zh-CN" w:bidi="ar"/>
        </w:rPr>
        <w:t xml:space="preserve"> </w:t>
      </w:r>
    </w:p>
    <w:p>
      <w:pPr>
        <w:keepNext w:val="0"/>
        <w:keepLines w:val="0"/>
        <w:widowControl/>
        <w:suppressLineNumbers w:val="0"/>
        <w:spacing w:before="0" w:beforeAutospacing="1" w:after="0" w:afterAutospacing="1"/>
        <w:ind w:left="0" w:right="0"/>
        <w:jc w:val="left"/>
      </w:pPr>
      <w:r>
        <w:rPr>
          <w:rFonts w:hint="default" w:ascii="宋体" w:hAnsi="宋体" w:eastAsia="仿宋_GB2312" w:cs="Times New Roman"/>
          <w:color w:val="020202"/>
          <w:kern w:val="2"/>
          <w:sz w:val="28"/>
          <w:szCs w:val="28"/>
          <w:lang w:val="en-US" w:eastAsia="zh-CN" w:bidi="ar"/>
        </w:rPr>
        <w:t xml:space="preserve"> </w:t>
      </w:r>
    </w:p>
    <w:p>
      <w:pPr>
        <w:keepNext w:val="0"/>
        <w:keepLines w:val="0"/>
        <w:widowControl/>
        <w:suppressLineNumbers w:val="0"/>
        <w:spacing w:before="0" w:beforeAutospacing="1" w:after="0" w:afterAutospacing="1"/>
        <w:ind w:left="0" w:right="0"/>
        <w:jc w:val="left"/>
      </w:pPr>
      <w:r>
        <w:rPr>
          <w:rFonts w:hint="default" w:ascii="宋体" w:hAnsi="宋体" w:eastAsia="仿宋_GB2312" w:cs="Times New Roman"/>
          <w:color w:val="020202"/>
          <w:kern w:val="2"/>
          <w:sz w:val="28"/>
          <w:szCs w:val="28"/>
          <w:lang w:val="en-US" w:eastAsia="zh-CN" w:bidi="ar"/>
        </w:rPr>
        <w:t xml:space="preserve"> </w:t>
      </w:r>
    </w:p>
    <w:p>
      <w:pPr>
        <w:keepNext w:val="0"/>
        <w:keepLines w:val="0"/>
        <w:widowControl/>
        <w:suppressLineNumbers w:val="0"/>
        <w:spacing w:before="0" w:beforeAutospacing="1" w:after="0" w:afterAutospacing="1"/>
        <w:ind w:left="0" w:right="0"/>
        <w:jc w:val="left"/>
      </w:pPr>
      <w:r>
        <w:rPr>
          <w:rFonts w:hint="default" w:ascii="宋体" w:hAnsi="宋体" w:eastAsia="仿宋_GB2312" w:cs="Times New Roman"/>
          <w:color w:val="020202"/>
          <w:kern w:val="2"/>
          <w:sz w:val="28"/>
          <w:szCs w:val="28"/>
          <w:lang w:val="en-US" w:eastAsia="zh-CN" w:bidi="ar"/>
        </w:rPr>
        <w:t xml:space="preserve"> </w:t>
      </w:r>
    </w:p>
    <w:p>
      <w:pPr>
        <w:keepNext w:val="0"/>
        <w:keepLines w:val="0"/>
        <w:widowControl/>
        <w:suppressLineNumbers w:val="0"/>
        <w:spacing w:before="0" w:beforeAutospacing="1" w:after="0" w:afterAutospacing="1"/>
        <w:ind w:left="0" w:right="0"/>
        <w:jc w:val="left"/>
      </w:pPr>
      <w:r>
        <w:rPr>
          <w:rFonts w:hint="default" w:ascii="宋体" w:hAnsi="宋体" w:eastAsia="仿宋_GB2312" w:cs="Times New Roman"/>
          <w:color w:val="020202"/>
          <w:kern w:val="2"/>
          <w:sz w:val="28"/>
          <w:szCs w:val="28"/>
          <w:lang w:val="en-US" w:eastAsia="zh-CN" w:bidi="ar"/>
        </w:rPr>
        <w:t xml:space="preserve"> </w:t>
      </w:r>
    </w:p>
    <w:p>
      <w:pPr>
        <w:keepNext w:val="0"/>
        <w:keepLines w:val="0"/>
        <w:widowControl/>
        <w:suppressLineNumbers w:val="0"/>
        <w:spacing w:before="0" w:beforeAutospacing="1" w:after="0" w:afterAutospacing="1"/>
        <w:ind w:left="0" w:right="0"/>
        <w:jc w:val="left"/>
      </w:pPr>
      <w:r>
        <w:rPr>
          <w:rFonts w:hint="default" w:ascii="宋体" w:hAnsi="宋体" w:eastAsia="仿宋_GB2312" w:cs="Times New Roman"/>
          <w:color w:val="020202"/>
          <w:kern w:val="2"/>
          <w:sz w:val="28"/>
          <w:szCs w:val="28"/>
          <w:lang w:val="en-US" w:eastAsia="zh-CN" w:bidi="ar"/>
        </w:rPr>
        <w:t xml:space="preserve"> </w:t>
      </w:r>
    </w:p>
    <w:p>
      <w:pPr>
        <w:keepNext w:val="0"/>
        <w:keepLines w:val="0"/>
        <w:widowControl/>
        <w:suppressLineNumbers w:val="0"/>
        <w:spacing w:before="0" w:beforeAutospacing="1" w:after="0" w:afterAutospacing="1"/>
        <w:ind w:left="0" w:right="0"/>
        <w:jc w:val="left"/>
      </w:pPr>
      <w:r>
        <w:rPr>
          <w:rFonts w:hint="default" w:ascii="宋体" w:hAnsi="宋体" w:eastAsia="仿宋_GB2312" w:cs="Times New Roman"/>
          <w:color w:val="020202"/>
          <w:kern w:val="2"/>
          <w:sz w:val="28"/>
          <w:szCs w:val="28"/>
          <w:lang w:val="en-US" w:eastAsia="zh-CN" w:bidi="ar"/>
        </w:rPr>
        <w:t xml:space="preserve"> </w:t>
      </w:r>
    </w:p>
    <w:p>
      <w:pPr>
        <w:keepNext w:val="0"/>
        <w:keepLines w:val="0"/>
        <w:widowControl/>
        <w:suppressLineNumbers w:val="0"/>
        <w:spacing w:before="0" w:beforeAutospacing="1" w:after="0" w:afterAutospacing="1"/>
        <w:ind w:left="0" w:right="0"/>
        <w:jc w:val="left"/>
      </w:pPr>
      <w:r>
        <w:rPr>
          <w:rFonts w:hint="default" w:ascii="宋体" w:hAnsi="宋体" w:eastAsia="仿宋_GB2312" w:cs="Times New Roman"/>
          <w:color w:val="020202"/>
          <w:kern w:val="2"/>
          <w:sz w:val="28"/>
          <w:szCs w:val="28"/>
          <w:lang w:val="en-US" w:eastAsia="zh-CN" w:bidi="ar"/>
        </w:rPr>
        <w:t xml:space="preserve"> </w:t>
      </w:r>
    </w:p>
    <w:p>
      <w:pPr>
        <w:pStyle w:val="2"/>
        <w:keepNext w:val="0"/>
        <w:keepLines w:val="0"/>
        <w:widowControl/>
        <w:suppressLineNumbers w:val="0"/>
        <w:adjustRightInd w:val="0"/>
        <w:snapToGrid w:val="0"/>
        <w:spacing w:before="0" w:beforeLines="0" w:beforeAutospacing="0" w:after="0" w:afterLines="0" w:afterAutospacing="0" w:line="18" w:lineRule="atLeast"/>
        <w:ind w:left="0" w:right="0"/>
        <w:jc w:val="center"/>
        <w:rPr>
          <w:rFonts w:ascii="黑体" w:hAnsi="宋体" w:eastAsia="黑体" w:cs="黑体"/>
          <w:bCs/>
          <w:kern w:val="0"/>
          <w:sz w:val="40"/>
          <w:szCs w:val="40"/>
        </w:rPr>
      </w:pPr>
    </w:p>
    <w:p>
      <w:pPr>
        <w:pStyle w:val="2"/>
        <w:keepNext w:val="0"/>
        <w:keepLines w:val="0"/>
        <w:widowControl/>
        <w:suppressLineNumbers w:val="0"/>
        <w:adjustRightInd w:val="0"/>
        <w:snapToGrid w:val="0"/>
        <w:spacing w:before="0" w:beforeLines="0" w:beforeAutospacing="0" w:after="0" w:afterLines="0" w:afterAutospacing="0" w:line="18" w:lineRule="atLeast"/>
        <w:ind w:left="0" w:right="0"/>
        <w:jc w:val="center"/>
      </w:pPr>
      <w:r>
        <w:rPr>
          <w:rFonts w:ascii="黑体" w:hAnsi="宋体" w:eastAsia="黑体" w:cs="黑体"/>
          <w:bCs/>
          <w:kern w:val="0"/>
          <w:sz w:val="40"/>
          <w:szCs w:val="40"/>
        </w:rPr>
        <w:t>2021年</w:t>
      </w:r>
      <w:r>
        <w:rPr>
          <w:rFonts w:hint="eastAsia" w:ascii="黑体" w:hAnsi="宋体" w:eastAsia="黑体" w:cs="黑体"/>
          <w:bCs/>
          <w:kern w:val="0"/>
          <w:sz w:val="40"/>
          <w:szCs w:val="40"/>
        </w:rPr>
        <w:t>9月</w:t>
      </w:r>
    </w:p>
    <w:p>
      <w:pPr>
        <w:keepNext w:val="0"/>
        <w:keepLines w:val="0"/>
        <w:widowControl/>
        <w:suppressLineNumbers w:val="0"/>
        <w:spacing w:before="0" w:beforeAutospacing="1" w:after="0" w:afterAutospacing="1" w:line="600" w:lineRule="exact"/>
        <w:ind w:left="0" w:right="0" w:firstLine="0" w:firstLineChars="0"/>
        <w:jc w:val="center"/>
        <w:rPr>
          <w:rFonts w:hint="eastAsia" w:ascii="黑体" w:hAnsi="宋体" w:eastAsia="黑体" w:cs="黑体"/>
          <w:b/>
          <w:bCs w:val="0"/>
          <w:color w:val="020202"/>
          <w:kern w:val="2"/>
          <w:sz w:val="32"/>
          <w:szCs w:val="32"/>
          <w:lang w:val="en-US" w:eastAsia="zh-CN" w:bidi="ar"/>
        </w:rPr>
      </w:pPr>
    </w:p>
    <w:p>
      <w:pPr>
        <w:keepNext w:val="0"/>
        <w:keepLines w:val="0"/>
        <w:widowControl/>
        <w:suppressLineNumbers w:val="0"/>
        <w:spacing w:before="0" w:beforeAutospacing="1" w:after="0" w:afterAutospacing="1" w:line="600" w:lineRule="exact"/>
        <w:ind w:left="0" w:right="0" w:firstLine="0" w:firstLineChars="0"/>
        <w:jc w:val="center"/>
        <w:rPr>
          <w:rFonts w:hint="eastAsia" w:ascii="黑体" w:hAnsi="宋体" w:eastAsia="黑体" w:cs="黑体"/>
          <w:b/>
          <w:bCs w:val="0"/>
          <w:color w:val="020202"/>
          <w:kern w:val="2"/>
          <w:sz w:val="32"/>
          <w:szCs w:val="32"/>
          <w:lang w:val="en-US" w:eastAsia="zh-CN" w:bidi="ar"/>
        </w:rPr>
      </w:pPr>
    </w:p>
    <w:p>
      <w:pPr>
        <w:keepNext w:val="0"/>
        <w:keepLines w:val="0"/>
        <w:widowControl/>
        <w:suppressLineNumbers w:val="0"/>
        <w:spacing w:before="0" w:beforeAutospacing="1" w:after="0" w:afterAutospacing="1" w:line="600" w:lineRule="exact"/>
        <w:ind w:left="0" w:right="0" w:firstLine="0" w:firstLineChars="0"/>
        <w:jc w:val="center"/>
        <w:rPr>
          <w:rFonts w:hint="eastAsia" w:ascii="黑体" w:hAnsi="宋体" w:eastAsia="黑体" w:cs="黑体"/>
          <w:b/>
          <w:bCs w:val="0"/>
          <w:color w:val="020202"/>
          <w:kern w:val="2"/>
          <w:sz w:val="32"/>
          <w:szCs w:val="32"/>
          <w:lang w:val="en-US" w:eastAsia="zh-CN" w:bidi="ar"/>
        </w:rPr>
      </w:pPr>
    </w:p>
    <w:p>
      <w:pPr>
        <w:keepNext w:val="0"/>
        <w:keepLines w:val="0"/>
        <w:widowControl/>
        <w:suppressLineNumbers w:val="0"/>
        <w:spacing w:before="0" w:beforeAutospacing="1" w:after="0" w:afterAutospacing="1" w:line="600" w:lineRule="exact"/>
        <w:ind w:left="0" w:right="0" w:firstLine="0" w:firstLineChars="0"/>
        <w:jc w:val="center"/>
      </w:pPr>
      <w:r>
        <w:rPr>
          <w:rFonts w:hint="eastAsia" w:ascii="黑体" w:hAnsi="宋体" w:eastAsia="黑体" w:cs="黑体"/>
          <w:b/>
          <w:bCs w:val="0"/>
          <w:color w:val="020202"/>
          <w:kern w:val="2"/>
          <w:sz w:val="32"/>
          <w:szCs w:val="32"/>
          <w:lang w:val="en-US" w:eastAsia="zh-CN" w:bidi="ar"/>
        </w:rPr>
        <w:t>目</w:t>
      </w:r>
      <w:r>
        <w:rPr>
          <w:rFonts w:hint="eastAsia" w:ascii="黑体" w:hAnsi="宋体" w:eastAsia="黑体" w:cs="Times New Roman"/>
          <w:b/>
          <w:bCs w:val="0"/>
          <w:color w:val="020202"/>
          <w:kern w:val="2"/>
          <w:sz w:val="32"/>
          <w:szCs w:val="32"/>
          <w:lang w:val="en-US" w:eastAsia="zh-CN" w:bidi="ar"/>
        </w:rPr>
        <w:t xml:space="preserve">  </w:t>
      </w:r>
      <w:r>
        <w:rPr>
          <w:rFonts w:hint="eastAsia" w:ascii="黑体" w:hAnsi="宋体" w:eastAsia="黑体" w:cs="黑体"/>
          <w:b/>
          <w:bCs w:val="0"/>
          <w:color w:val="020202"/>
          <w:kern w:val="2"/>
          <w:sz w:val="32"/>
          <w:szCs w:val="32"/>
          <w:lang w:val="en-US" w:eastAsia="zh-CN" w:bidi="ar"/>
        </w:rPr>
        <w:t>录</w:t>
      </w:r>
    </w:p>
    <w:p>
      <w:pPr>
        <w:keepNext w:val="0"/>
        <w:keepLines w:val="0"/>
        <w:widowControl/>
        <w:suppressLineNumbers w:val="0"/>
        <w:spacing w:before="0" w:beforeAutospacing="1" w:after="0" w:afterAutospacing="1" w:line="520" w:lineRule="exact"/>
        <w:ind w:left="0" w:right="0" w:firstLine="643" w:firstLineChars="200"/>
        <w:jc w:val="left"/>
        <w:rPr>
          <w:rFonts w:hint="default" w:ascii="仿宋_GB2312" w:eastAsia="仿宋_GB2312" w:cs="仿宋_GB2312" w:hAnsiTheme="minorHAnsi"/>
          <w:b/>
          <w:bCs w:val="0"/>
          <w:color w:val="020202"/>
          <w:kern w:val="2"/>
          <w:sz w:val="32"/>
          <w:szCs w:val="32"/>
          <w:lang w:val="en-US" w:eastAsia="zh-CN" w:bidi="ar"/>
        </w:rPr>
      </w:pPr>
    </w:p>
    <w:p>
      <w:pPr>
        <w:keepNext w:val="0"/>
        <w:keepLines w:val="0"/>
        <w:widowControl/>
        <w:suppressLineNumbers w:val="0"/>
        <w:spacing w:before="0" w:beforeAutospacing="1" w:after="0" w:afterAutospacing="1" w:line="520" w:lineRule="exact"/>
        <w:ind w:left="0" w:right="0" w:firstLine="643" w:firstLineChars="200"/>
        <w:jc w:val="left"/>
      </w:pPr>
      <w:r>
        <w:rPr>
          <w:rFonts w:hint="default" w:ascii="仿宋_GB2312" w:eastAsia="仿宋_GB2312" w:cs="仿宋_GB2312" w:hAnsiTheme="minorHAnsi"/>
          <w:b/>
          <w:bCs w:val="0"/>
          <w:color w:val="020202"/>
          <w:kern w:val="2"/>
          <w:sz w:val="32"/>
          <w:szCs w:val="32"/>
          <w:lang w:val="en-US" w:eastAsia="zh-CN" w:bidi="ar"/>
        </w:rPr>
        <w:t xml:space="preserve"> </w:t>
      </w:r>
    </w:p>
    <w:p>
      <w:pPr>
        <w:keepNext w:val="0"/>
        <w:keepLines w:val="0"/>
        <w:widowControl/>
        <w:suppressLineNumbers w:val="0"/>
        <w:spacing w:before="0" w:beforeAutospacing="1" w:after="0" w:afterAutospacing="1" w:line="520" w:lineRule="exact"/>
        <w:ind w:left="0" w:right="0" w:firstLine="643" w:firstLineChars="200"/>
        <w:jc w:val="left"/>
      </w:pPr>
      <w:r>
        <w:rPr>
          <w:rFonts w:hint="default" w:ascii="仿宋_GB2312" w:eastAsia="仿宋_GB2312" w:cs="仿宋_GB2312" w:hAnsiTheme="minorHAnsi"/>
          <w:b/>
          <w:bCs w:val="0"/>
          <w:color w:val="020202"/>
          <w:kern w:val="2"/>
          <w:sz w:val="32"/>
          <w:szCs w:val="32"/>
          <w:lang w:val="en-US" w:eastAsia="zh-CN" w:bidi="ar"/>
        </w:rPr>
        <w:t>第一部分 铜官区西湖镇人民政府概况</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一、部</w:t>
      </w:r>
      <w:r>
        <w:rPr>
          <w:rFonts w:hint="default" w:ascii="仿宋_GB2312" w:eastAsia="仿宋_GB2312" w:cs="仿宋_GB2312" w:hAnsiTheme="minorHAnsi"/>
          <w:bCs/>
          <w:kern w:val="2"/>
          <w:sz w:val="32"/>
          <w:szCs w:val="32"/>
          <w:lang w:val="en-US" w:eastAsia="zh-CN" w:bidi="ar"/>
        </w:rPr>
        <w:t>门</w:t>
      </w:r>
      <w:r>
        <w:rPr>
          <w:rFonts w:hint="default" w:ascii="仿宋_GB2312" w:eastAsia="仿宋_GB2312" w:cs="仿宋_GB2312" w:hAnsiTheme="minorHAnsi"/>
          <w:bCs/>
          <w:color w:val="020202"/>
          <w:kern w:val="2"/>
          <w:sz w:val="32"/>
          <w:szCs w:val="32"/>
          <w:lang w:val="en-US" w:eastAsia="zh-CN" w:bidi="ar"/>
        </w:rPr>
        <w:t>职责</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二、机构设置</w:t>
      </w:r>
    </w:p>
    <w:p>
      <w:pPr>
        <w:keepNext w:val="0"/>
        <w:keepLines w:val="0"/>
        <w:widowControl/>
        <w:suppressLineNumbers w:val="0"/>
        <w:spacing w:before="0" w:beforeAutospacing="1" w:after="0" w:afterAutospacing="1" w:line="520" w:lineRule="exact"/>
        <w:ind w:left="0" w:right="0" w:firstLine="643" w:firstLineChars="200"/>
        <w:jc w:val="left"/>
      </w:pPr>
      <w:r>
        <w:rPr>
          <w:rFonts w:hint="default" w:ascii="仿宋_GB2312" w:eastAsia="仿宋_GB2312" w:cs="仿宋_GB2312" w:hAnsiTheme="minorHAnsi"/>
          <w:b/>
          <w:bCs w:val="0"/>
          <w:color w:val="020202"/>
          <w:kern w:val="2"/>
          <w:sz w:val="32"/>
          <w:szCs w:val="32"/>
          <w:lang w:val="en-US" w:eastAsia="zh-CN" w:bidi="ar"/>
        </w:rPr>
        <w:t>第二部分 铜官区西湖镇2020年度部门决算表</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一、收入支出决算总表</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二、收入决算表</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三、支出决算表</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四、财政拨款收入支出决算总表</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五、一般公共预算财政拨款支出决算表</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六、一般公共预算财政拨款基本支出决算表</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七、政府性基金预算财政拨款收入支出决算表</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八、国有资本经营预算财政拨款支出决算表</w:t>
      </w:r>
    </w:p>
    <w:p>
      <w:pPr>
        <w:keepNext w:val="0"/>
        <w:keepLines w:val="0"/>
        <w:widowControl/>
        <w:suppressLineNumbers w:val="0"/>
        <w:spacing w:before="0" w:beforeAutospacing="1" w:after="0" w:afterAutospacing="1" w:line="520" w:lineRule="exact"/>
        <w:ind w:left="0" w:right="0" w:firstLine="643" w:firstLineChars="200"/>
        <w:jc w:val="left"/>
      </w:pPr>
      <w:r>
        <w:rPr>
          <w:rFonts w:hint="default" w:ascii="仿宋_GB2312" w:eastAsia="仿宋_GB2312" w:cs="仿宋_GB2312" w:hAnsiTheme="minorHAnsi"/>
          <w:b/>
          <w:bCs w:val="0"/>
          <w:color w:val="020202"/>
          <w:kern w:val="2"/>
          <w:sz w:val="32"/>
          <w:szCs w:val="32"/>
          <w:lang w:val="en-US" w:eastAsia="zh-CN" w:bidi="ar"/>
        </w:rPr>
        <w:t>第三部分 铜官区西湖镇2020年度部门决算情况说明</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一、收入支出决算总体情况</w:t>
      </w:r>
      <w:r>
        <w:rPr>
          <w:rFonts w:hint="default" w:ascii="仿宋_GB2312" w:eastAsia="仿宋_GB2312" w:cs="仿宋_GB2312" w:hAnsiTheme="minorHAnsi"/>
          <w:bCs/>
          <w:kern w:val="2"/>
          <w:sz w:val="32"/>
          <w:szCs w:val="32"/>
          <w:lang w:val="en-US" w:eastAsia="zh-CN" w:bidi="ar"/>
        </w:rPr>
        <w:t>说明</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二、收入决算情况说明</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三、支出决算情况说明</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四、财政拨款收入支出决算总体情况说明</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五、一般公共预算财政拨款支出决算情况说明</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六、一般公共预算财政拨款基本支出决算情况说明</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七、政府性基金财政拨款收入支出决算情况说明</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八、国有资本经营预算财政拨款支出决算情况说明</w:t>
      </w:r>
    </w:p>
    <w:p>
      <w:pPr>
        <w:keepNext w:val="0"/>
        <w:keepLines w:val="0"/>
        <w:widowControl/>
        <w:suppressLineNumbers w:val="0"/>
        <w:spacing w:before="0" w:beforeAutospacing="1" w:after="0" w:afterAutospacing="1" w:line="520" w:lineRule="exact"/>
        <w:ind w:left="0" w:right="0" w:firstLine="640" w:firstLineChars="200"/>
        <w:jc w:val="left"/>
      </w:pPr>
      <w:r>
        <w:rPr>
          <w:rFonts w:hint="default" w:ascii="仿宋_GB2312" w:eastAsia="仿宋_GB2312" w:cs="仿宋_GB2312" w:hAnsiTheme="minorHAnsi"/>
          <w:bCs/>
          <w:color w:val="020202"/>
          <w:kern w:val="2"/>
          <w:sz w:val="32"/>
          <w:szCs w:val="32"/>
          <w:lang w:val="en-US" w:eastAsia="zh-CN" w:bidi="ar"/>
        </w:rPr>
        <w:t>九、其他重要事项情况说明</w:t>
      </w:r>
    </w:p>
    <w:p>
      <w:pPr>
        <w:keepNext w:val="0"/>
        <w:keepLines w:val="0"/>
        <w:widowControl/>
        <w:suppressLineNumbers w:val="0"/>
        <w:spacing w:before="0" w:beforeAutospacing="1" w:after="0" w:afterAutospacing="1" w:line="520" w:lineRule="exact"/>
        <w:ind w:left="0" w:right="0" w:firstLine="643" w:firstLineChars="200"/>
        <w:jc w:val="left"/>
      </w:pPr>
      <w:r>
        <w:rPr>
          <w:rFonts w:hint="default" w:ascii="仿宋_GB2312" w:eastAsia="仿宋_GB2312" w:cs="仿宋_GB2312" w:hAnsiTheme="minorHAnsi"/>
          <w:b/>
          <w:bCs w:val="0"/>
          <w:color w:val="020202"/>
          <w:kern w:val="2"/>
          <w:sz w:val="32"/>
          <w:szCs w:val="32"/>
          <w:lang w:val="en-US" w:eastAsia="zh-CN" w:bidi="ar"/>
        </w:rPr>
        <w:t>第四部分  名词解释</w:t>
      </w:r>
    </w:p>
    <w:p>
      <w:pPr>
        <w:keepNext w:val="0"/>
        <w:keepLines w:val="0"/>
        <w:widowControl/>
        <w:suppressLineNumbers w:val="0"/>
        <w:spacing w:before="0" w:beforeAutospacing="1" w:after="0" w:afterAutospacing="1" w:line="520" w:lineRule="exact"/>
        <w:ind w:left="0" w:right="0" w:firstLine="643" w:firstLineChars="200"/>
        <w:jc w:val="left"/>
      </w:pPr>
      <w:r>
        <w:rPr>
          <w:rFonts w:hint="default" w:ascii="仿宋_GB2312" w:eastAsia="仿宋_GB2312" w:cs="仿宋_GB2312" w:hAnsiTheme="minorHAnsi"/>
          <w:b/>
          <w:bCs w:val="0"/>
          <w:color w:val="020202"/>
          <w:kern w:val="2"/>
          <w:sz w:val="32"/>
          <w:szCs w:val="32"/>
          <w:lang w:val="en-US" w:eastAsia="zh-CN" w:bidi="ar"/>
        </w:rPr>
        <w:t>第五部分  附件</w:t>
      </w:r>
    </w:p>
    <w:p>
      <w:pPr>
        <w:keepNext w:val="0"/>
        <w:keepLines w:val="0"/>
        <w:widowControl/>
        <w:suppressLineNumbers w:val="0"/>
        <w:spacing w:before="0" w:beforeAutospacing="1" w:after="0" w:afterAutospacing="1"/>
        <w:ind w:left="0" w:right="0"/>
        <w:jc w:val="center"/>
        <w:rPr>
          <w:rFonts w:hint="default" w:ascii="方正小标宋简体" w:hAnsi="方正小标宋简体" w:eastAsia="方正小标宋简体" w:cs="方正小标宋简体"/>
          <w:b w:val="0"/>
          <w:bCs/>
          <w:color w:val="020202"/>
          <w:kern w:val="2"/>
          <w:sz w:val="40"/>
          <w:szCs w:val="40"/>
          <w:lang w:val="en-US" w:eastAsia="zh-CN" w:bidi="ar"/>
        </w:rPr>
      </w:pPr>
    </w:p>
    <w:p>
      <w:pPr>
        <w:keepNext w:val="0"/>
        <w:keepLines w:val="0"/>
        <w:widowControl/>
        <w:suppressLineNumbers w:val="0"/>
        <w:spacing w:before="0" w:beforeAutospacing="1" w:after="0" w:afterAutospacing="1"/>
        <w:ind w:left="0" w:right="0"/>
        <w:jc w:val="center"/>
        <w:rPr>
          <w:rFonts w:hint="default" w:ascii="方正小标宋简体" w:hAnsi="方正小标宋简体" w:eastAsia="方正小标宋简体" w:cs="方正小标宋简体"/>
          <w:b w:val="0"/>
          <w:bCs/>
          <w:color w:val="020202"/>
          <w:kern w:val="2"/>
          <w:sz w:val="40"/>
          <w:szCs w:val="40"/>
          <w:lang w:val="en-US" w:eastAsia="zh-CN" w:bidi="ar"/>
        </w:rPr>
      </w:pPr>
    </w:p>
    <w:p>
      <w:pPr>
        <w:keepNext w:val="0"/>
        <w:keepLines w:val="0"/>
        <w:widowControl/>
        <w:suppressLineNumbers w:val="0"/>
        <w:spacing w:before="0" w:beforeAutospacing="1" w:after="0" w:afterAutospacing="1"/>
        <w:ind w:left="0" w:right="0"/>
        <w:jc w:val="center"/>
        <w:rPr>
          <w:rFonts w:hint="default" w:ascii="方正小标宋简体" w:hAnsi="方正小标宋简体" w:eastAsia="方正小标宋简体" w:cs="方正小标宋简体"/>
          <w:b w:val="0"/>
          <w:bCs/>
          <w:color w:val="020202"/>
          <w:kern w:val="2"/>
          <w:sz w:val="40"/>
          <w:szCs w:val="40"/>
          <w:lang w:val="en-US" w:eastAsia="zh-CN" w:bidi="ar"/>
        </w:rPr>
      </w:pPr>
    </w:p>
    <w:p>
      <w:pPr>
        <w:keepNext w:val="0"/>
        <w:keepLines w:val="0"/>
        <w:widowControl/>
        <w:suppressLineNumbers w:val="0"/>
        <w:spacing w:before="0" w:beforeAutospacing="1" w:after="0" w:afterAutospacing="1"/>
        <w:ind w:left="0" w:right="0"/>
        <w:jc w:val="center"/>
        <w:rPr>
          <w:rFonts w:hint="default" w:ascii="方正小标宋简体" w:hAnsi="方正小标宋简体" w:eastAsia="方正小标宋简体" w:cs="方正小标宋简体"/>
          <w:b w:val="0"/>
          <w:bCs/>
          <w:color w:val="020202"/>
          <w:kern w:val="2"/>
          <w:sz w:val="40"/>
          <w:szCs w:val="40"/>
          <w:lang w:val="en-US" w:eastAsia="zh-CN" w:bidi="ar"/>
        </w:rPr>
      </w:pPr>
    </w:p>
    <w:p>
      <w:pPr>
        <w:keepNext w:val="0"/>
        <w:keepLines w:val="0"/>
        <w:widowControl/>
        <w:suppressLineNumbers w:val="0"/>
        <w:spacing w:before="0" w:beforeAutospacing="1" w:after="0" w:afterAutospacing="1"/>
        <w:ind w:left="0" w:right="0"/>
        <w:jc w:val="center"/>
        <w:rPr>
          <w:rFonts w:hint="default" w:ascii="方正小标宋简体" w:hAnsi="方正小标宋简体" w:eastAsia="方正小标宋简体" w:cs="方正小标宋简体"/>
          <w:b w:val="0"/>
          <w:bCs/>
          <w:color w:val="020202"/>
          <w:kern w:val="2"/>
          <w:sz w:val="40"/>
          <w:szCs w:val="40"/>
          <w:lang w:val="en-US" w:eastAsia="zh-CN" w:bidi="ar"/>
        </w:rPr>
      </w:pPr>
    </w:p>
    <w:p>
      <w:pPr>
        <w:keepNext w:val="0"/>
        <w:keepLines w:val="0"/>
        <w:widowControl/>
        <w:suppressLineNumbers w:val="0"/>
        <w:spacing w:before="0" w:beforeAutospacing="1" w:after="0" w:afterAutospacing="1"/>
        <w:ind w:left="0" w:right="0"/>
        <w:jc w:val="center"/>
        <w:rPr>
          <w:rFonts w:hint="default" w:ascii="方正小标宋简体" w:hAnsi="方正小标宋简体" w:eastAsia="方正小标宋简体" w:cs="方正小标宋简体"/>
          <w:b w:val="0"/>
          <w:bCs/>
          <w:color w:val="020202"/>
          <w:kern w:val="2"/>
          <w:sz w:val="40"/>
          <w:szCs w:val="40"/>
          <w:lang w:val="en-US" w:eastAsia="zh-CN" w:bidi="ar"/>
        </w:rPr>
      </w:pPr>
    </w:p>
    <w:p>
      <w:pPr>
        <w:keepNext w:val="0"/>
        <w:keepLines w:val="0"/>
        <w:widowControl/>
        <w:suppressLineNumbers w:val="0"/>
        <w:spacing w:before="0" w:beforeAutospacing="1" w:after="0" w:afterAutospacing="1"/>
        <w:ind w:left="0" w:right="0"/>
        <w:jc w:val="center"/>
      </w:pPr>
      <w:bookmarkStart w:id="0" w:name="_GoBack"/>
      <w:bookmarkEnd w:id="0"/>
      <w:r>
        <w:rPr>
          <w:rFonts w:hint="default" w:ascii="方正小标宋简体" w:hAnsi="方正小标宋简体" w:eastAsia="方正小标宋简体" w:cs="方正小标宋简体"/>
          <w:b w:val="0"/>
          <w:bCs/>
          <w:color w:val="020202"/>
          <w:kern w:val="2"/>
          <w:sz w:val="40"/>
          <w:szCs w:val="40"/>
          <w:lang w:val="en-US" w:eastAsia="zh-CN" w:bidi="ar"/>
        </w:rPr>
        <w:t>铜官区西湖镇2020年</w:t>
      </w:r>
      <w:r>
        <w:rPr>
          <w:rFonts w:hint="default" w:ascii="方正小标宋简体" w:hAnsi="方正小标宋简体" w:eastAsia="方正小标宋简体" w:cs="方正小标宋简体"/>
          <w:b w:val="0"/>
          <w:bCs/>
          <w:kern w:val="2"/>
          <w:sz w:val="40"/>
          <w:szCs w:val="40"/>
          <w:lang w:val="en-US" w:eastAsia="zh-CN" w:bidi="ar"/>
        </w:rPr>
        <w:t>度</w:t>
      </w:r>
      <w:r>
        <w:rPr>
          <w:rFonts w:hint="default" w:ascii="方正小标宋简体" w:hAnsi="方正小标宋简体" w:eastAsia="方正小标宋简体" w:cs="方正小标宋简体"/>
          <w:b w:val="0"/>
          <w:bCs/>
          <w:color w:val="020202"/>
          <w:kern w:val="2"/>
          <w:sz w:val="40"/>
          <w:szCs w:val="40"/>
          <w:lang w:val="en-US" w:eastAsia="zh-CN" w:bidi="ar"/>
        </w:rPr>
        <w:t>部门决算情况</w:t>
      </w:r>
    </w:p>
    <w:p>
      <w:pPr>
        <w:keepNext w:val="0"/>
        <w:keepLines w:val="0"/>
        <w:widowControl/>
        <w:suppressLineNumbers w:val="0"/>
        <w:spacing w:before="0" w:beforeAutospacing="1" w:after="0" w:afterAutospacing="1"/>
        <w:ind w:left="0" w:right="0" w:firstLine="640" w:firstLineChars="200"/>
        <w:jc w:val="left"/>
      </w:pPr>
      <w:r>
        <w:rPr>
          <w:rFonts w:hint="eastAsia" w:ascii="黑体" w:hAnsi="宋体" w:eastAsia="黑体"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eastAsia" w:ascii="黑体" w:hAnsi="宋体" w:eastAsia="黑体" w:cs="黑体"/>
          <w:color w:val="020202"/>
          <w:kern w:val="2"/>
          <w:sz w:val="32"/>
          <w:szCs w:val="32"/>
          <w:lang w:val="en-US" w:eastAsia="zh-CN" w:bidi="ar"/>
        </w:rPr>
        <w:t>第一部分</w:t>
      </w:r>
      <w:r>
        <w:rPr>
          <w:rFonts w:hint="eastAsia" w:ascii="黑体" w:hAnsi="宋体" w:eastAsia="黑体" w:cs="Times New Roman"/>
          <w:color w:val="020202"/>
          <w:kern w:val="2"/>
          <w:sz w:val="32"/>
          <w:szCs w:val="32"/>
          <w:lang w:val="en-US" w:eastAsia="zh-CN" w:bidi="ar"/>
        </w:rPr>
        <w:t xml:space="preserve"> </w:t>
      </w:r>
      <w:r>
        <w:rPr>
          <w:rFonts w:hint="eastAsia" w:ascii="黑体" w:hAnsi="宋体" w:eastAsia="黑体" w:cs="黑体"/>
          <w:color w:val="020202"/>
          <w:kern w:val="2"/>
          <w:sz w:val="32"/>
          <w:szCs w:val="32"/>
          <w:lang w:val="en-US" w:eastAsia="zh-CN" w:bidi="ar"/>
        </w:rPr>
        <w:t>铜官区西湖镇概况</w:t>
      </w:r>
    </w:p>
    <w:p>
      <w:pPr>
        <w:keepNext w:val="0"/>
        <w:keepLines w:val="0"/>
        <w:widowControl/>
        <w:suppressLineNumbers w:val="0"/>
        <w:spacing w:before="0" w:beforeAutospacing="1" w:after="0" w:afterAutospacing="1"/>
        <w:ind w:left="0" w:right="0" w:firstLine="640" w:firstLineChars="200"/>
        <w:jc w:val="left"/>
      </w:pPr>
      <w:r>
        <w:rPr>
          <w:rFonts w:hint="eastAsia" w:ascii="黑体" w:hAnsi="宋体" w:eastAsia="黑体" w:cs="黑体"/>
          <w:color w:val="020202"/>
          <w:kern w:val="2"/>
          <w:sz w:val="32"/>
          <w:szCs w:val="32"/>
          <w:lang w:val="en-US" w:eastAsia="zh-CN" w:bidi="ar"/>
        </w:rPr>
        <w:t>一、部门职责</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仿宋" w:eastAsia="仿宋_GB2312" w:cs="仿宋_GB2312"/>
          <w:color w:val="020202"/>
          <w:kern w:val="2"/>
          <w:sz w:val="32"/>
          <w:szCs w:val="32"/>
          <w:lang w:val="en-US" w:eastAsia="zh-CN" w:bidi="ar"/>
        </w:rPr>
        <w:t>（1）制定和组织实施经济、科技和社会发展计划，制定资源开发技术改造和产业结构调整方案，组织指导好各业生产，搞好商品流通，协调好本乡与外地区的经济交流与合作，抓好招商引资，</w:t>
      </w:r>
      <w:r>
        <w:rPr>
          <w:rFonts w:asciiTheme="minorHAnsi" w:hAnsiTheme="minorHAnsi" w:eastAsiaTheme="minorEastAsia" w:cstheme="minorBidi"/>
          <w:kern w:val="0"/>
          <w:sz w:val="24"/>
          <w:szCs w:val="24"/>
          <w:lang w:val="en-US" w:eastAsia="zh-CN" w:bidi="ar"/>
        </w:rPr>
        <w:fldChar w:fldCharType="begin"/>
      </w:r>
      <w:r>
        <w:rPr>
          <w:rFonts w:asciiTheme="minorHAnsi" w:hAnsiTheme="minorHAnsi" w:eastAsiaTheme="minorEastAsia" w:cstheme="minorBidi"/>
          <w:kern w:val="0"/>
          <w:sz w:val="24"/>
          <w:szCs w:val="24"/>
          <w:lang w:val="en-US" w:eastAsia="zh-CN" w:bidi="ar"/>
        </w:rPr>
        <w:instrText xml:space="preserve"> HYPERLINK "https://www.baidu.com/s?wd=%E4%BA%BA%E6%89%8D%E5%BC%95%E8%BF%9B&amp;tn=44039180_cpr&amp;fenlei=mv6quAkxTZn0IZRqIHckPjm4nH00T1Y3nAPbn1uWnjmdn1n1nvub0ZwV5Hcvrjm3rH6sPfKWUMw85HfYnjn4nH6sgvPsT6KdThsqpZwYTjCEQLGCpyw9Uz4Bmy-bIi4WUvYETgN-TLwGUv3EPjcLrHc3Pj04" </w:instrText>
      </w:r>
      <w:r>
        <w:rPr>
          <w:rFonts w:asciiTheme="minorHAnsi" w:hAnsiTheme="minorHAnsi" w:eastAsiaTheme="minorEastAsia" w:cstheme="minorBidi"/>
          <w:kern w:val="0"/>
          <w:sz w:val="24"/>
          <w:szCs w:val="24"/>
          <w:lang w:val="en-US" w:eastAsia="zh-CN" w:bidi="ar"/>
        </w:rPr>
        <w:fldChar w:fldCharType="separate"/>
      </w:r>
      <w:r>
        <w:rPr>
          <w:rStyle w:val="5"/>
          <w:rFonts w:hint="default" w:ascii="仿宋_GB2312" w:hAnsi="仿宋" w:eastAsia="仿宋_GB2312" w:cs="仿宋_GB2312"/>
          <w:color w:val="020202"/>
          <w:kern w:val="2"/>
          <w:sz w:val="32"/>
          <w:szCs w:val="32"/>
        </w:rPr>
        <w:t>人才引进</w:t>
      </w:r>
      <w:r>
        <w:rPr>
          <w:rFonts w:asciiTheme="minorHAnsi" w:hAnsiTheme="minorHAnsi" w:eastAsiaTheme="minorEastAsia" w:cstheme="minorBidi"/>
          <w:kern w:val="0"/>
          <w:sz w:val="24"/>
          <w:szCs w:val="24"/>
          <w:lang w:val="en-US" w:eastAsia="zh-CN" w:bidi="ar"/>
        </w:rPr>
        <w:fldChar w:fldCharType="end"/>
      </w:r>
      <w:r>
        <w:rPr>
          <w:rFonts w:hint="default" w:ascii="仿宋_GB2312" w:hAnsi="仿宋" w:eastAsia="仿宋_GB2312" w:cs="仿宋_GB2312"/>
          <w:color w:val="020202"/>
          <w:kern w:val="2"/>
          <w:sz w:val="32"/>
          <w:szCs w:val="32"/>
          <w:lang w:val="en-US" w:eastAsia="zh-CN" w:bidi="ar"/>
        </w:rPr>
        <w:t>项目开发，不断培育市场体系，组织经济运行，促进经济发展。</w:t>
      </w:r>
      <w:r>
        <w:rPr>
          <w:rFonts w:hint="default" w:ascii="仿宋_GB2312" w:hAnsi="仿宋" w:eastAsia="仿宋_GB2312" w:cs="Times New Roman"/>
          <w:color w:val="020202"/>
          <w:kern w:val="2"/>
          <w:sz w:val="32"/>
          <w:szCs w:val="32"/>
          <w:lang w:val="en-US" w:eastAsia="zh-CN" w:bidi="ar"/>
        </w:rPr>
        <w:br w:type="textWrapping"/>
      </w:r>
      <w:r>
        <w:rPr>
          <w:rFonts w:hint="default" w:ascii="仿宋_GB2312" w:hAnsi="仿宋" w:eastAsia="仿宋_GB2312" w:cs="仿宋_GB2312"/>
          <w:color w:val="020202"/>
          <w:kern w:val="2"/>
          <w:sz w:val="32"/>
          <w:szCs w:val="32"/>
          <w:lang w:val="en-US" w:eastAsia="zh-CN" w:bidi="ar"/>
        </w:rPr>
        <w:t>（2）制定并组织实施村镇建设规划，部署重点工程建设，地方道路建设及公共设施，水利设施的管理，负责土地、林木、水等自然资源和生态环境的保护，做好护林防火工作。</w:t>
      </w:r>
      <w:r>
        <w:rPr>
          <w:rFonts w:hint="default" w:ascii="仿宋_GB2312" w:hAnsi="仿宋" w:eastAsia="仿宋_GB2312" w:cs="Times New Roman"/>
          <w:color w:val="020202"/>
          <w:kern w:val="2"/>
          <w:sz w:val="32"/>
          <w:szCs w:val="32"/>
          <w:lang w:val="en-US" w:eastAsia="zh-CN" w:bidi="ar"/>
        </w:rPr>
        <w:br w:type="textWrapping"/>
      </w:r>
      <w:r>
        <w:rPr>
          <w:rFonts w:hint="default" w:ascii="仿宋_GB2312" w:hAnsi="仿宋" w:eastAsia="仿宋_GB2312" w:cs="仿宋_GB2312"/>
          <w:color w:val="020202"/>
          <w:kern w:val="2"/>
          <w:sz w:val="32"/>
          <w:szCs w:val="32"/>
          <w:lang w:val="en-US" w:eastAsia="zh-CN" w:bidi="ar"/>
        </w:rPr>
        <w:t>（3）负责本行政区域内的民政、计划生育、文化教育、卫生、体育等社会公益事业的综合性工作，维护一切经济单位和个人的正当经济权益，取缔非法经济活动，调解和处理民事纠纷，打击刑事犯罪维护社会稳定。</w:t>
      </w:r>
      <w:r>
        <w:rPr>
          <w:rFonts w:hint="default" w:ascii="仿宋_GB2312" w:hAnsi="仿宋" w:eastAsia="仿宋_GB2312" w:cs="Times New Roman"/>
          <w:color w:val="020202"/>
          <w:kern w:val="2"/>
          <w:sz w:val="32"/>
          <w:szCs w:val="32"/>
          <w:lang w:val="en-US" w:eastAsia="zh-CN" w:bidi="ar"/>
        </w:rPr>
        <w:br w:type="textWrapping"/>
      </w:r>
      <w:r>
        <w:rPr>
          <w:rFonts w:hint="default" w:ascii="仿宋_GB2312" w:hAnsi="仿宋" w:eastAsia="仿宋_GB2312" w:cs="仿宋_GB2312"/>
          <w:color w:val="020202"/>
          <w:kern w:val="2"/>
          <w:sz w:val="32"/>
          <w:szCs w:val="32"/>
          <w:lang w:val="en-US" w:eastAsia="zh-CN" w:bidi="ar"/>
        </w:rPr>
        <w:t>（4）按计划组织本级财政收入和地方税的征收，完成国家财政计划，不断培植税源，管好财政资金，增强财政实力。</w:t>
      </w:r>
      <w:r>
        <w:rPr>
          <w:rFonts w:hint="default" w:ascii="仿宋_GB2312" w:hAnsi="仿宋" w:eastAsia="仿宋_GB2312" w:cs="Times New Roman"/>
          <w:color w:val="020202"/>
          <w:kern w:val="2"/>
          <w:sz w:val="32"/>
          <w:szCs w:val="32"/>
          <w:lang w:val="en-US" w:eastAsia="zh-CN" w:bidi="ar"/>
        </w:rPr>
        <w:br w:type="textWrapping"/>
      </w:r>
      <w:r>
        <w:rPr>
          <w:rFonts w:hint="default" w:ascii="仿宋_GB2312" w:hAnsi="仿宋" w:eastAsia="仿宋_GB2312" w:cs="仿宋_GB2312"/>
          <w:color w:val="020202"/>
          <w:kern w:val="2"/>
          <w:sz w:val="32"/>
          <w:szCs w:val="32"/>
          <w:lang w:val="en-US" w:eastAsia="zh-CN" w:bidi="ar"/>
        </w:rPr>
        <w:t>（5）抓好精神文明建设，丰富群众文化生活，提倡移风易俗，反对封建迷信，破除陈规陋习，树立社会主义新风尚。</w:t>
      </w:r>
      <w:r>
        <w:rPr>
          <w:rFonts w:hint="default" w:ascii="仿宋_GB2312" w:hAnsi="仿宋" w:eastAsia="仿宋_GB2312" w:cs="Times New Roman"/>
          <w:color w:val="020202"/>
          <w:kern w:val="2"/>
          <w:sz w:val="32"/>
          <w:szCs w:val="32"/>
          <w:lang w:val="en-US" w:eastAsia="zh-CN" w:bidi="ar"/>
        </w:rPr>
        <w:br w:type="textWrapping"/>
      </w:r>
      <w:r>
        <w:rPr>
          <w:rFonts w:hint="default" w:ascii="仿宋_GB2312" w:hAnsi="仿宋" w:eastAsia="仿宋_GB2312" w:cs="仿宋_GB2312"/>
          <w:color w:val="020202"/>
          <w:kern w:val="2"/>
          <w:sz w:val="32"/>
          <w:szCs w:val="32"/>
          <w:lang w:val="en-US" w:eastAsia="zh-CN" w:bidi="ar"/>
        </w:rPr>
        <w:t>（6）完成上级政府交办的其它事项。</w:t>
      </w:r>
    </w:p>
    <w:p>
      <w:pPr>
        <w:keepNext w:val="0"/>
        <w:keepLines w:val="0"/>
        <w:widowControl/>
        <w:suppressLineNumbers w:val="0"/>
        <w:spacing w:before="0" w:beforeAutospacing="1" w:after="0" w:afterAutospacing="1"/>
        <w:ind w:left="0" w:right="0" w:firstLine="640" w:firstLineChars="200"/>
        <w:jc w:val="left"/>
      </w:pPr>
      <w:r>
        <w:rPr>
          <w:rFonts w:hint="eastAsia" w:ascii="黑体" w:hAnsi="宋体" w:eastAsia="黑体" w:cs="黑体"/>
          <w:color w:val="020202"/>
          <w:kern w:val="2"/>
          <w:sz w:val="32"/>
          <w:szCs w:val="32"/>
          <w:lang w:val="en-US" w:eastAsia="zh-CN" w:bidi="ar"/>
        </w:rPr>
        <w:t>二、机构设置</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仿宋" w:eastAsia="仿宋_GB2312" w:cs="仿宋_GB2312"/>
          <w:color w:val="020202"/>
          <w:kern w:val="2"/>
          <w:sz w:val="32"/>
          <w:szCs w:val="32"/>
          <w:lang w:val="en-US" w:eastAsia="zh-CN" w:bidi="ar"/>
        </w:rPr>
        <w:t>从决算单位构成看，铜官区西湖镇2020年度部门决算包括：</w:t>
      </w:r>
      <w:r>
        <w:rPr>
          <w:rFonts w:hint="default" w:ascii="仿宋_GB2312" w:hAnsi="Times New Roman" w:eastAsia="仿宋_GB2312" w:cs="仿宋_GB2312"/>
          <w:color w:val="020202"/>
          <w:kern w:val="2"/>
          <w:sz w:val="32"/>
          <w:szCs w:val="32"/>
          <w:lang w:val="en-US" w:eastAsia="zh-CN" w:bidi="ar"/>
        </w:rPr>
        <w:t>单位本级</w:t>
      </w:r>
      <w:r>
        <w:rPr>
          <w:rFonts w:hint="default" w:ascii="仿宋_GB2312" w:hAnsi="仿宋" w:eastAsia="仿宋_GB2312" w:cs="仿宋_GB2312"/>
          <w:color w:val="020202"/>
          <w:kern w:val="2"/>
          <w:sz w:val="32"/>
          <w:szCs w:val="32"/>
          <w:lang w:val="en-US" w:eastAsia="zh-CN" w:bidi="ar"/>
        </w:rPr>
        <w:t>决算。</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仿宋" w:eastAsia="仿宋_GB2312" w:cs="仿宋_GB2312"/>
          <w:color w:val="020202"/>
          <w:kern w:val="2"/>
          <w:sz w:val="32"/>
          <w:szCs w:val="32"/>
          <w:lang w:val="en-US" w:eastAsia="zh-CN" w:bidi="ar"/>
        </w:rPr>
        <w:t>纳入铜官区西湖镇2020年度部门决算编制范围的单位共1个，详细情况见下表：</w:t>
      </w:r>
    </w:p>
    <w:tbl>
      <w:tblPr>
        <w:tblStyle w:val="3"/>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Layout w:type="fixed"/>
        <w:tblCellMar>
          <w:top w:w="0" w:type="dxa"/>
          <w:left w:w="0" w:type="dxa"/>
          <w:bottom w:w="0" w:type="dxa"/>
          <w:right w:w="0" w:type="dxa"/>
        </w:tblCellMar>
      </w:tblPr>
      <w:tblGrid>
        <w:gridCol w:w="1607"/>
        <w:gridCol w:w="675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0" w:type="dxa"/>
            <w:left w:w="0" w:type="dxa"/>
            <w:bottom w:w="0" w:type="dxa"/>
            <w:right w:w="0" w:type="dxa"/>
          </w:tblCellMar>
        </w:tblPrEx>
        <w:trPr>
          <w:trHeight w:val="451" w:hRule="atLeast"/>
          <w:jc w:val="center"/>
        </w:trPr>
        <w:tc>
          <w:tcPr>
            <w:tcW w:w="1607"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20202"/>
                <w:kern w:val="2"/>
                <w:sz w:val="26"/>
                <w:szCs w:val="26"/>
                <w:lang w:val="en-US" w:eastAsia="zh-CN" w:bidi="ar"/>
              </w:rPr>
              <w:t>序号</w:t>
            </w:r>
          </w:p>
        </w:tc>
        <w:tc>
          <w:tcPr>
            <w:tcW w:w="6753"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20202"/>
                <w:kern w:val="2"/>
                <w:sz w:val="26"/>
                <w:szCs w:val="26"/>
                <w:lang w:val="en-US" w:eastAsia="zh-CN" w:bidi="ar"/>
              </w:rPr>
              <w:t>单位名称</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0" w:type="dxa"/>
            <w:left w:w="0" w:type="dxa"/>
            <w:bottom w:w="0" w:type="dxa"/>
            <w:right w:w="0" w:type="dxa"/>
          </w:tblCellMar>
        </w:tblPrEx>
        <w:trPr>
          <w:trHeight w:val="451" w:hRule="atLeast"/>
          <w:jc w:val="center"/>
        </w:trPr>
        <w:tc>
          <w:tcPr>
            <w:tcW w:w="1607"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20202"/>
                <w:kern w:val="2"/>
                <w:sz w:val="26"/>
                <w:szCs w:val="26"/>
                <w:lang w:val="en-US" w:eastAsia="zh-CN" w:bidi="ar"/>
              </w:rPr>
              <w:t>1</w:t>
            </w:r>
          </w:p>
        </w:tc>
        <w:tc>
          <w:tcPr>
            <w:tcW w:w="6753"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20202"/>
                <w:kern w:val="2"/>
                <w:sz w:val="26"/>
                <w:szCs w:val="26"/>
                <w:lang w:val="en-US" w:eastAsia="zh-CN" w:bidi="ar"/>
              </w:rPr>
              <w:t>铜官区西湖镇人民政府</w:t>
            </w:r>
          </w:p>
        </w:tc>
      </w:tr>
    </w:tbl>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宋体" w:eastAsia="仿宋_GB2312"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0" w:firstLineChars="0"/>
        <w:jc w:val="center"/>
      </w:pPr>
      <w:r>
        <w:rPr>
          <w:rFonts w:hint="eastAsia" w:ascii="黑体" w:hAnsi="宋体" w:eastAsia="黑体" w:cs="黑体"/>
          <w:color w:val="020202"/>
          <w:kern w:val="2"/>
          <w:sz w:val="32"/>
          <w:szCs w:val="32"/>
          <w:lang w:val="en-US" w:eastAsia="zh-CN" w:bidi="ar"/>
        </w:rPr>
        <w:t>第二部分</w:t>
      </w:r>
      <w:r>
        <w:rPr>
          <w:rFonts w:hint="eastAsia" w:ascii="黑体" w:hAnsi="宋体" w:eastAsia="黑体" w:cs="Times New Roman"/>
          <w:color w:val="020202"/>
          <w:kern w:val="2"/>
          <w:sz w:val="32"/>
          <w:szCs w:val="32"/>
          <w:lang w:val="en-US" w:eastAsia="zh-CN" w:bidi="ar"/>
        </w:rPr>
        <w:t xml:space="preserve"> </w:t>
      </w:r>
      <w:r>
        <w:rPr>
          <w:rFonts w:hint="eastAsia" w:ascii="黑体" w:hAnsi="宋体" w:eastAsia="黑体" w:cs="黑体"/>
          <w:color w:val="020202"/>
          <w:kern w:val="2"/>
          <w:sz w:val="32"/>
          <w:szCs w:val="32"/>
          <w:lang w:val="en-US" w:eastAsia="zh-CN" w:bidi="ar"/>
        </w:rPr>
        <w:t>铜官区西湖镇2020年</w:t>
      </w:r>
      <w:r>
        <w:rPr>
          <w:rFonts w:hint="eastAsia" w:ascii="黑体" w:hAnsi="宋体" w:eastAsia="黑体" w:cs="黑体"/>
          <w:kern w:val="2"/>
          <w:sz w:val="32"/>
          <w:szCs w:val="32"/>
          <w:lang w:val="en-US" w:eastAsia="zh-CN" w:bidi="ar"/>
        </w:rPr>
        <w:t>度</w:t>
      </w:r>
      <w:r>
        <w:rPr>
          <w:rFonts w:hint="eastAsia" w:ascii="黑体" w:hAnsi="宋体" w:eastAsia="黑体" w:cs="黑体"/>
          <w:color w:val="020202"/>
          <w:kern w:val="2"/>
          <w:sz w:val="32"/>
          <w:szCs w:val="32"/>
          <w:lang w:val="en-US" w:eastAsia="zh-CN" w:bidi="ar"/>
        </w:rPr>
        <w:t>部门决算表</w:t>
      </w:r>
    </w:p>
    <w:p>
      <w:pPr>
        <w:keepNext w:val="0"/>
        <w:keepLines w:val="0"/>
        <w:widowControl/>
        <w:suppressLineNumbers w:val="0"/>
        <w:spacing w:before="0" w:beforeAutospacing="1" w:after="0" w:afterAutospacing="1"/>
        <w:ind w:left="0" w:right="0" w:firstLine="0" w:firstLineChars="0"/>
        <w:jc w:val="center"/>
      </w:pPr>
      <w:r>
        <w:rPr>
          <w:rFonts w:hint="eastAsia" w:ascii="黑体" w:hAnsi="宋体" w:eastAsia="黑体" w:cs="黑体"/>
          <w:b/>
          <w:bCs/>
          <w:i w:val="0"/>
          <w:iCs w:val="0"/>
          <w:color w:val="020202"/>
          <w:kern w:val="2"/>
          <w:sz w:val="32"/>
          <w:szCs w:val="32"/>
          <w:lang w:val="en-US" w:eastAsia="zh-CN" w:bidi="ar"/>
        </w:rPr>
        <w:t>收入支出决算总表</w:t>
      </w:r>
    </w:p>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0"/>
          <w:szCs w:val="20"/>
          <w:lang w:val="en-US" w:eastAsia="zh-CN" w:bidi="ar"/>
        </w:rPr>
        <w:t>公开01表</w:t>
      </w:r>
    </w:p>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20202"/>
          <w:kern w:val="0"/>
          <w:sz w:val="20"/>
          <w:szCs w:val="20"/>
          <w:lang w:val="en-US" w:eastAsia="zh-CN" w:bidi="ar"/>
        </w:rPr>
        <w:t xml:space="preserve">部门：                                                                     </w:t>
      </w:r>
      <w:r>
        <w:rPr>
          <w:rFonts w:hint="eastAsia" w:ascii="宋体" w:hAnsi="宋体" w:eastAsia="宋体" w:cs="宋体"/>
          <w:color w:val="000000"/>
          <w:kern w:val="0"/>
          <w:sz w:val="20"/>
          <w:szCs w:val="20"/>
          <w:lang w:val="en-US" w:eastAsia="zh-CN" w:bidi="ar"/>
        </w:rPr>
        <w:t>金额单位：万元</w:t>
      </w:r>
    </w:p>
    <w:tbl>
      <w:tblPr>
        <w:tblStyle w:val="3"/>
        <w:tblW w:w="95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08" w:type="dxa"/>
          <w:bottom w:w="15" w:type="dxa"/>
          <w:right w:w="108" w:type="dxa"/>
        </w:tblCellMar>
      </w:tblPr>
      <w:tblGrid>
        <w:gridCol w:w="3857"/>
        <w:gridCol w:w="1017"/>
        <w:gridCol w:w="3563"/>
        <w:gridCol w:w="10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487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00000"/>
                <w:kern w:val="0"/>
                <w:sz w:val="22"/>
                <w:szCs w:val="22"/>
                <w:lang w:val="en-US" w:eastAsia="zh-CN" w:bidi="ar"/>
              </w:rPr>
              <w:t>收入</w:t>
            </w:r>
          </w:p>
        </w:tc>
        <w:tc>
          <w:tcPr>
            <w:tcW w:w="4626"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00000"/>
                <w:kern w:val="0"/>
                <w:sz w:val="22"/>
                <w:szCs w:val="22"/>
                <w:lang w:val="en-US" w:eastAsia="zh-CN" w:bidi="ar"/>
              </w:rPr>
              <w:t>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00000"/>
                <w:kern w:val="0"/>
                <w:sz w:val="22"/>
                <w:szCs w:val="22"/>
                <w:lang w:val="en-US" w:eastAsia="zh-CN" w:bidi="ar"/>
              </w:rPr>
              <w:t>项 目</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00000"/>
                <w:kern w:val="0"/>
                <w:sz w:val="22"/>
                <w:szCs w:val="22"/>
                <w:lang w:val="en-US" w:eastAsia="zh-CN" w:bidi="ar"/>
              </w:rPr>
              <w:t>金额</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00000"/>
                <w:kern w:val="0"/>
                <w:sz w:val="22"/>
                <w:szCs w:val="22"/>
                <w:lang w:val="en-US" w:eastAsia="zh-CN" w:bidi="ar"/>
              </w:rPr>
              <w:t>项目</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00000"/>
                <w:kern w:val="0"/>
                <w:sz w:val="22"/>
                <w:szCs w:val="22"/>
                <w:lang w:val="en-US" w:eastAsia="zh-CN" w:bidi="ar"/>
              </w:rPr>
              <w:t>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firstLine="660" w:firstLineChars="300"/>
              <w:jc w:val="left"/>
            </w:pPr>
            <w:r>
              <w:rPr>
                <w:rFonts w:hint="eastAsia" w:ascii="宋体" w:hAnsi="宋体" w:eastAsia="宋体" w:cs="宋体"/>
                <w:color w:val="000000"/>
                <w:kern w:val="0"/>
                <w:sz w:val="22"/>
                <w:szCs w:val="22"/>
                <w:lang w:val="en-US" w:eastAsia="zh-CN" w:bidi="ar"/>
              </w:rPr>
              <w:t>栏 次</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2"/>
                <w:sz w:val="22"/>
                <w:szCs w:val="22"/>
                <w:lang w:val="en-US" w:eastAsia="zh-CN" w:bidi="ar"/>
              </w:rPr>
              <w:t>一、一般公共预算财政拨款收入</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4021.04</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一、一般公共服务支出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2"/>
                <w:sz w:val="22"/>
                <w:szCs w:val="22"/>
                <w:lang w:val="en-US" w:eastAsia="zh-CN" w:bidi="ar"/>
              </w:rPr>
              <w:t>二、政府性基金预算财政拨款收入</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二、外交支出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2"/>
                <w:sz w:val="22"/>
                <w:szCs w:val="22"/>
                <w:lang w:val="en-US" w:eastAsia="zh-CN" w:bidi="ar"/>
              </w:rPr>
              <w:t>三、国有资本经营预算财政拨款收入</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三、国防支出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2"/>
                <w:sz w:val="22"/>
                <w:szCs w:val="22"/>
                <w:lang w:val="en-US" w:eastAsia="zh-CN" w:bidi="ar"/>
              </w:rPr>
              <w:t>四、上级补助收入</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四、公共安全支出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2"/>
                <w:sz w:val="22"/>
                <w:szCs w:val="22"/>
                <w:lang w:val="en-US" w:eastAsia="zh-CN" w:bidi="ar"/>
              </w:rPr>
              <w:t>五、事业收入</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五、教育支出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2"/>
                <w:sz w:val="22"/>
                <w:szCs w:val="22"/>
                <w:lang w:val="en-US" w:eastAsia="zh-CN" w:bidi="ar"/>
              </w:rPr>
              <w:t>六、经营收入</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六、科学技术支出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2"/>
                <w:sz w:val="22"/>
                <w:szCs w:val="22"/>
                <w:lang w:val="en-US" w:eastAsia="zh-CN" w:bidi="ar"/>
              </w:rPr>
              <w:t>七、附属单位上缴收入</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七、文化旅游体育与传媒支出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2"/>
                <w:sz w:val="22"/>
                <w:szCs w:val="22"/>
                <w:lang w:val="en-US" w:eastAsia="zh-CN" w:bidi="ar"/>
              </w:rPr>
              <w:t>八、其他收入</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2190.66</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八、社会保障和就业支出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236.95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九、卫生健康支出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十、节能环保支出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十一、城乡社区支出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5834.44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十二、农林水支出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十三、交通运输支出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十四、资源勘探信息等支出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十五、商业服务业等支出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十六、金融支出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十七、援助其他地区支出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十八、自然资源海洋气象等支出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十九、住房保障支出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201.17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二十、粮油物资储备支出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二十一、国有资本经营预算支出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二十二、灾害防治及应急管理支出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二十三、其他支出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b/>
                <w:bCs/>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二十四、债务还本支出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b/>
                <w:bCs/>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二十五、债务付息支出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b/>
                <w:bCs/>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二十六、抗疫特别国债安排的支出</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b/>
                <w:bCs/>
                <w:color w:val="000000"/>
                <w:kern w:val="0"/>
                <w:sz w:val="22"/>
                <w:szCs w:val="22"/>
                <w:lang w:val="en-US" w:eastAsia="zh-CN" w:bidi="ar"/>
              </w:rPr>
              <w:t>本年收入合计</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6211.70</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b/>
                <w:bCs/>
                <w:color w:val="000000"/>
                <w:kern w:val="0"/>
                <w:sz w:val="22"/>
                <w:szCs w:val="22"/>
                <w:lang w:val="en-US" w:eastAsia="zh-CN" w:bidi="ar"/>
              </w:rPr>
              <w:t>本年支出合计</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6272.56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2"/>
                <w:szCs w:val="22"/>
                <w:lang w:val="en-US" w:eastAsia="zh-CN" w:bidi="ar"/>
              </w:rPr>
              <w:t>使用非财政拨款结余</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FF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2"/>
                <w:szCs w:val="22"/>
                <w:lang w:val="en-US" w:eastAsia="zh-CN" w:bidi="ar"/>
              </w:rPr>
              <w:t>结余分配</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2"/>
                <w:szCs w:val="22"/>
                <w:lang w:val="en-US" w:eastAsia="zh-CN" w:bidi="ar"/>
              </w:rPr>
              <w:t>年初结转和结余</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kern w:val="0"/>
                <w:sz w:val="22"/>
                <w:szCs w:val="22"/>
                <w:lang w:val="en-US" w:eastAsia="zh-CN" w:bidi="ar"/>
              </w:rPr>
              <w:t>101.10</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2"/>
                <w:szCs w:val="22"/>
                <w:lang w:val="en-US" w:eastAsia="zh-CN" w:bidi="ar"/>
              </w:rPr>
              <w:t>年末结转和结余</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40.24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12"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00000"/>
                <w:kern w:val="0"/>
                <w:sz w:val="22"/>
                <w:szCs w:val="22"/>
                <w:lang w:val="en-US" w:eastAsia="zh-CN" w:bidi="ar"/>
              </w:rPr>
              <w:t> </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 </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00000"/>
                <w:kern w:val="0"/>
                <w:sz w:val="22"/>
                <w:szCs w:val="22"/>
                <w:lang w:val="en-US" w:eastAsia="zh-CN" w:bidi="ar"/>
              </w:rPr>
              <w:t> </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4" w:hRule="atLeast"/>
          <w:jc w:val="center"/>
        </w:trPr>
        <w:tc>
          <w:tcPr>
            <w:tcW w:w="38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b/>
                <w:bCs/>
                <w:color w:val="000000"/>
                <w:kern w:val="0"/>
                <w:sz w:val="22"/>
                <w:szCs w:val="22"/>
                <w:lang w:val="en-US" w:eastAsia="zh-CN" w:bidi="ar"/>
              </w:rPr>
              <w:t>总计</w:t>
            </w:r>
          </w:p>
        </w:tc>
        <w:tc>
          <w:tcPr>
            <w:tcW w:w="101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6312.80</w:t>
            </w:r>
          </w:p>
        </w:tc>
        <w:tc>
          <w:tcPr>
            <w:tcW w:w="35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b/>
                <w:bCs/>
                <w:color w:val="000000"/>
                <w:kern w:val="0"/>
                <w:sz w:val="22"/>
                <w:szCs w:val="22"/>
                <w:lang w:val="en-US" w:eastAsia="zh-CN" w:bidi="ar"/>
              </w:rPr>
              <w:t>总计</w:t>
            </w:r>
          </w:p>
        </w:tc>
        <w:tc>
          <w:tcPr>
            <w:tcW w:w="106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6312.80</w:t>
            </w:r>
          </w:p>
        </w:tc>
      </w:tr>
    </w:tbl>
    <w:p>
      <w:pPr>
        <w:keepNext w:val="0"/>
        <w:keepLines w:val="0"/>
        <w:widowControl/>
        <w:suppressLineNumbers w:val="0"/>
        <w:spacing w:before="0" w:beforeAutospacing="1" w:after="0" w:afterAutospacing="1"/>
        <w:ind w:left="0" w:right="0" w:firstLine="0" w:firstLineChars="0"/>
        <w:jc w:val="both"/>
      </w:pPr>
      <w:r>
        <w:rPr>
          <w:rFonts w:ascii="楷体_GB2312" w:eastAsia="楷体_GB2312" w:cs="楷体_GB2312" w:hAnsiTheme="minorHAnsi"/>
          <w:b w:val="0"/>
          <w:bCs w:val="0"/>
          <w:color w:val="020202"/>
          <w:kern w:val="2"/>
          <w:sz w:val="24"/>
          <w:szCs w:val="24"/>
          <w:lang w:val="en-US" w:eastAsia="zh-CN" w:bidi="ar"/>
        </w:rPr>
        <w:t>注：本表金额转换成万元时，四舍五入可能存在尾差</w:t>
      </w:r>
    </w:p>
    <w:p>
      <w:pPr>
        <w:keepNext w:val="0"/>
        <w:keepLines w:val="0"/>
        <w:widowControl/>
        <w:suppressLineNumbers w:val="0"/>
        <w:spacing w:before="0" w:beforeAutospacing="1" w:after="0" w:afterAutospacing="1"/>
        <w:ind w:left="0" w:right="0" w:firstLine="0" w:firstLineChars="0"/>
        <w:jc w:val="both"/>
      </w:pPr>
      <w:r>
        <w:rPr>
          <w:rFonts w:hint="default" w:ascii="楷体_GB2312" w:eastAsia="楷体_GB2312" w:cs="楷体_GB2312" w:hAnsiTheme="minorHAnsi"/>
          <w:b w:val="0"/>
          <w:bCs w:val="0"/>
          <w:color w:val="020202"/>
          <w:kern w:val="2"/>
          <w:sz w:val="24"/>
          <w:szCs w:val="24"/>
          <w:lang w:val="en-US" w:eastAsia="zh-CN" w:bidi="ar"/>
        </w:rPr>
        <w:t xml:space="preserve"> </w:t>
      </w:r>
    </w:p>
    <w:p>
      <w:pPr>
        <w:keepNext w:val="0"/>
        <w:keepLines w:val="0"/>
        <w:widowControl/>
        <w:suppressLineNumbers w:val="0"/>
        <w:spacing w:before="0" w:beforeAutospacing="1" w:after="0" w:afterAutospacing="1"/>
        <w:ind w:left="0" w:right="0" w:firstLine="0" w:firstLineChars="0"/>
        <w:jc w:val="center"/>
      </w:pPr>
      <w:r>
        <w:rPr>
          <w:rFonts w:hint="eastAsia" w:ascii="黑体" w:hAnsi="宋体" w:eastAsia="黑体" w:cs="黑体"/>
          <w:b/>
          <w:bCs/>
          <w:color w:val="020202"/>
          <w:kern w:val="2"/>
          <w:sz w:val="32"/>
          <w:szCs w:val="32"/>
          <w:lang w:val="en-US" w:eastAsia="zh-CN" w:bidi="ar"/>
        </w:rPr>
        <w:t>收入决算表</w:t>
      </w:r>
    </w:p>
    <w:p>
      <w:pPr>
        <w:keepNext w:val="0"/>
        <w:keepLines w:val="0"/>
        <w:widowControl/>
        <w:suppressLineNumbers w:val="0"/>
        <w:spacing w:before="0" w:beforeAutospacing="1" w:after="0" w:afterAutospacing="1"/>
        <w:ind w:left="0" w:right="97" w:firstLine="0" w:firstLineChars="0"/>
        <w:jc w:val="right"/>
      </w:pPr>
      <w:r>
        <w:rPr>
          <w:rFonts w:hint="eastAsia" w:ascii="宋体" w:hAnsi="宋体" w:eastAsia="宋体" w:cs="宋体"/>
          <w:color w:val="020202"/>
          <w:kern w:val="0"/>
          <w:sz w:val="20"/>
          <w:szCs w:val="20"/>
          <w:lang w:val="en-US" w:eastAsia="zh-CN" w:bidi="ar"/>
        </w:rPr>
        <w:t>公开02表</w:t>
      </w:r>
    </w:p>
    <w:p>
      <w:pPr>
        <w:keepNext w:val="0"/>
        <w:keepLines w:val="0"/>
        <w:widowControl/>
        <w:suppressLineNumbers w:val="0"/>
        <w:spacing w:before="0" w:beforeAutospacing="1" w:after="0" w:afterAutospacing="1"/>
        <w:ind w:left="0" w:right="448"/>
        <w:jc w:val="left"/>
      </w:pPr>
      <w:r>
        <w:rPr>
          <w:rFonts w:hint="eastAsia" w:ascii="宋体" w:hAnsi="宋体" w:eastAsia="宋体" w:cs="宋体"/>
          <w:color w:val="020202"/>
          <w:kern w:val="0"/>
          <w:sz w:val="20"/>
          <w:szCs w:val="20"/>
          <w:lang w:val="en-US" w:eastAsia="zh-CN" w:bidi="ar"/>
        </w:rPr>
        <w:t>部门：</w:t>
      </w:r>
      <w:r>
        <w:rPr>
          <w:rFonts w:hint="eastAsia" w:ascii="宋体" w:hAnsi="宋体" w:eastAsia="宋体" w:cs="宋体"/>
          <w:color w:val="000000"/>
          <w:kern w:val="0"/>
          <w:sz w:val="20"/>
          <w:szCs w:val="20"/>
          <w:lang w:val="en-US" w:eastAsia="zh-CN" w:bidi="ar"/>
        </w:rPr>
        <w:t xml:space="preserve">                                                                金额单位：万元</w:t>
      </w:r>
    </w:p>
    <w:tbl>
      <w:tblPr>
        <w:tblStyle w:val="3"/>
        <w:tblW w:w="106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08" w:type="dxa"/>
          <w:bottom w:w="15" w:type="dxa"/>
          <w:right w:w="108" w:type="dxa"/>
        </w:tblCellMar>
      </w:tblPr>
      <w:tblGrid>
        <w:gridCol w:w="441"/>
        <w:gridCol w:w="441"/>
        <w:gridCol w:w="443"/>
        <w:gridCol w:w="1309"/>
        <w:gridCol w:w="1092"/>
        <w:gridCol w:w="1186"/>
        <w:gridCol w:w="667"/>
        <w:gridCol w:w="982"/>
        <w:gridCol w:w="1308"/>
        <w:gridCol w:w="655"/>
        <w:gridCol w:w="982"/>
        <w:gridCol w:w="11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08" w:type="dxa"/>
            <w:bottom w:w="15" w:type="dxa"/>
            <w:right w:w="108" w:type="dxa"/>
          </w:tblCellMar>
        </w:tblPrEx>
        <w:trPr>
          <w:trHeight w:val="581" w:hRule="atLeast"/>
          <w:jc w:val="center"/>
        </w:trPr>
        <w:tc>
          <w:tcPr>
            <w:tcW w:w="263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项目</w:t>
            </w:r>
          </w:p>
        </w:tc>
        <w:tc>
          <w:tcPr>
            <w:tcW w:w="1092"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本年收入合计</w:t>
            </w:r>
          </w:p>
        </w:tc>
        <w:tc>
          <w:tcPr>
            <w:tcW w:w="1186"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财政拨款收入</w:t>
            </w:r>
          </w:p>
        </w:tc>
        <w:tc>
          <w:tcPr>
            <w:tcW w:w="667"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上级补助收入</w:t>
            </w:r>
          </w:p>
        </w:tc>
        <w:tc>
          <w:tcPr>
            <w:tcW w:w="2290" w:type="dxa"/>
            <w:gridSpan w:val="2"/>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事业收入</w:t>
            </w:r>
          </w:p>
        </w:tc>
        <w:tc>
          <w:tcPr>
            <w:tcW w:w="655"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经营</w:t>
            </w:r>
          </w:p>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收入</w:t>
            </w:r>
          </w:p>
        </w:tc>
        <w:tc>
          <w:tcPr>
            <w:tcW w:w="982"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附属单位上缴收入</w:t>
            </w:r>
          </w:p>
        </w:tc>
        <w:tc>
          <w:tcPr>
            <w:tcW w:w="1121"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其他</w:t>
            </w:r>
          </w:p>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68" w:hRule="atLeast"/>
          <w:jc w:val="center"/>
        </w:trPr>
        <w:tc>
          <w:tcPr>
            <w:tcW w:w="1325" w:type="dxa"/>
            <w:gridSpan w:val="3"/>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kern w:val="0"/>
                <w:sz w:val="22"/>
                <w:szCs w:val="22"/>
                <w:lang w:val="en-US" w:eastAsia="zh-CN" w:bidi="ar"/>
              </w:rPr>
              <w:t>功能分类科目编</w:t>
            </w:r>
            <w:r>
              <w:rPr>
                <w:rFonts w:hint="eastAsia" w:ascii="宋体" w:hAnsi="宋体" w:eastAsia="宋体" w:cs="宋体"/>
                <w:color w:val="000000"/>
                <w:kern w:val="0"/>
                <w:sz w:val="22"/>
                <w:szCs w:val="22"/>
                <w:lang w:val="en-US" w:eastAsia="zh-CN" w:bidi="ar"/>
              </w:rPr>
              <w:t>码</w:t>
            </w:r>
          </w:p>
        </w:tc>
        <w:tc>
          <w:tcPr>
            <w:tcW w:w="1309" w:type="dxa"/>
            <w:vMerge w:val="restart"/>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科目名称</w:t>
            </w:r>
          </w:p>
        </w:tc>
        <w:tc>
          <w:tcPr>
            <w:tcW w:w="1092"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1186"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667"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2290" w:type="dxa"/>
            <w:gridSpan w:val="2"/>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655"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982"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1121"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806" w:hRule="atLeast"/>
          <w:jc w:val="center"/>
        </w:trPr>
        <w:tc>
          <w:tcPr>
            <w:tcW w:w="1325" w:type="dxa"/>
            <w:gridSpan w:val="3"/>
            <w:vMerge w:val="continue"/>
            <w:tcBorders>
              <w:top w:val="nil"/>
              <w:left w:val="single" w:color="auto" w:sz="4" w:space="0"/>
              <w:bottom w:val="single" w:color="auto" w:sz="4" w:space="0"/>
              <w:right w:val="single" w:color="auto" w:sz="4" w:space="0"/>
            </w:tcBorders>
            <w:shd w:val="clear" w:color="auto" w:fill="auto"/>
            <w:vAlign w:val="center"/>
          </w:tcPr>
          <w:p>
            <w:pPr>
              <w:rPr>
                <w:rFonts w:hint="eastAsia" w:ascii="宋体"/>
                <w:sz w:val="24"/>
                <w:szCs w:val="24"/>
              </w:rPr>
            </w:pPr>
          </w:p>
        </w:tc>
        <w:tc>
          <w:tcPr>
            <w:tcW w:w="1309" w:type="dxa"/>
            <w:vMerge w:val="continue"/>
            <w:tcBorders>
              <w:top w:val="nil"/>
              <w:left w:val="nil"/>
              <w:bottom w:val="single" w:color="auto" w:sz="4" w:space="0"/>
              <w:right w:val="single" w:color="auto" w:sz="4" w:space="0"/>
            </w:tcBorders>
            <w:shd w:val="clear" w:color="auto" w:fill="auto"/>
            <w:vAlign w:val="center"/>
          </w:tcPr>
          <w:p>
            <w:pPr>
              <w:rPr>
                <w:rFonts w:hint="eastAsia" w:ascii="宋体"/>
                <w:sz w:val="24"/>
                <w:szCs w:val="24"/>
              </w:rPr>
            </w:pPr>
          </w:p>
        </w:tc>
        <w:tc>
          <w:tcPr>
            <w:tcW w:w="1092"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1186"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667"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小计</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其中：教育</w:t>
            </w:r>
          </w:p>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收费</w:t>
            </w:r>
          </w:p>
        </w:tc>
        <w:tc>
          <w:tcPr>
            <w:tcW w:w="655"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982"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1121"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81" w:hRule="atLeast"/>
          <w:jc w:val="center"/>
        </w:trPr>
        <w:tc>
          <w:tcPr>
            <w:tcW w:w="4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类</w:t>
            </w:r>
          </w:p>
        </w:tc>
        <w:tc>
          <w:tcPr>
            <w:tcW w:w="44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款</w:t>
            </w:r>
          </w:p>
        </w:tc>
        <w:tc>
          <w:tcPr>
            <w:tcW w:w="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项</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合计</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6211.70</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4021.04</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2190.66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08" w:type="dxa"/>
            <w:bottom w:w="15" w:type="dxa"/>
            <w:right w:w="108" w:type="dxa"/>
          </w:tblCellMar>
        </w:tblPrEx>
        <w:trPr>
          <w:trHeight w:val="581" w:hRule="atLeast"/>
          <w:jc w:val="center"/>
        </w:trPr>
        <w:tc>
          <w:tcPr>
            <w:tcW w:w="13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社会保障和就业支出</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236.95</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236.95</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81" w:hRule="atLeast"/>
          <w:jc w:val="center"/>
        </w:trPr>
        <w:tc>
          <w:tcPr>
            <w:tcW w:w="13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20801</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人力资源和社会保障管理事务</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197.01</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197.01</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3" w:hRule="atLeast"/>
          <w:jc w:val="center"/>
        </w:trPr>
        <w:tc>
          <w:tcPr>
            <w:tcW w:w="13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2080101</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行政运行</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197.01</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197.01</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3" w:hRule="atLeast"/>
          <w:jc w:val="center"/>
        </w:trPr>
        <w:tc>
          <w:tcPr>
            <w:tcW w:w="13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20805</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行政事业单位养老支出</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39.95</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39.95</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08" w:type="dxa"/>
            <w:bottom w:w="15" w:type="dxa"/>
            <w:right w:w="108" w:type="dxa"/>
          </w:tblCellMar>
        </w:tblPrEx>
        <w:trPr>
          <w:trHeight w:val="593" w:hRule="atLeast"/>
          <w:jc w:val="center"/>
        </w:trPr>
        <w:tc>
          <w:tcPr>
            <w:tcW w:w="13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2080501</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行政单位离退休</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26.47</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26.47</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3" w:hRule="atLeast"/>
          <w:jc w:val="center"/>
        </w:trPr>
        <w:tc>
          <w:tcPr>
            <w:tcW w:w="13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2080599</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其他行政事业单位养老支出</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13.48</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13.48</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3" w:hRule="atLeast"/>
          <w:jc w:val="center"/>
        </w:trPr>
        <w:tc>
          <w:tcPr>
            <w:tcW w:w="13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212</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城乡社区支出</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5773.57</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3582.92</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2190.66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3" w:hRule="atLeast"/>
          <w:jc w:val="center"/>
        </w:trPr>
        <w:tc>
          <w:tcPr>
            <w:tcW w:w="13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21201</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城乡社区管理事务</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5773.57</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3582.92</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2190.66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3" w:hRule="atLeast"/>
          <w:jc w:val="center"/>
        </w:trPr>
        <w:tc>
          <w:tcPr>
            <w:tcW w:w="13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2120101</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行政运行</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5773.57</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3582.92</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2190.66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3" w:hRule="atLeast"/>
          <w:jc w:val="center"/>
        </w:trPr>
        <w:tc>
          <w:tcPr>
            <w:tcW w:w="13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住房保障支出</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201.17</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201.17</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3" w:hRule="atLeast"/>
          <w:jc w:val="center"/>
        </w:trPr>
        <w:tc>
          <w:tcPr>
            <w:tcW w:w="13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22102</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住房改革支出</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201.17</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201.17</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3" w:hRule="atLeast"/>
          <w:jc w:val="center"/>
        </w:trPr>
        <w:tc>
          <w:tcPr>
            <w:tcW w:w="13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2210201</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住房公积金</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149.36</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149.36</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3" w:hRule="atLeast"/>
          <w:jc w:val="center"/>
        </w:trPr>
        <w:tc>
          <w:tcPr>
            <w:tcW w:w="13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2210202</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提租补贴</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23.96</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23.96</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3" w:hRule="atLeast"/>
          <w:jc w:val="center"/>
        </w:trPr>
        <w:tc>
          <w:tcPr>
            <w:tcW w:w="132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2210203</w:t>
            </w:r>
          </w:p>
        </w:tc>
        <w:tc>
          <w:tcPr>
            <w:tcW w:w="1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购房补贴</w:t>
            </w:r>
          </w:p>
        </w:tc>
        <w:tc>
          <w:tcPr>
            <w:tcW w:w="10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27.85</w:t>
            </w:r>
          </w:p>
        </w:tc>
        <w:tc>
          <w:tcPr>
            <w:tcW w:w="118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27.85</w:t>
            </w:r>
          </w:p>
        </w:tc>
        <w:tc>
          <w:tcPr>
            <w:tcW w:w="6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30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bl>
    <w:p>
      <w:pPr>
        <w:keepNext w:val="0"/>
        <w:keepLines w:val="0"/>
        <w:widowControl/>
        <w:suppressLineNumbers w:val="0"/>
        <w:spacing w:before="0" w:beforeAutospacing="1" w:after="0" w:afterAutospacing="1"/>
        <w:ind w:left="0" w:right="0" w:firstLine="0" w:firstLineChars="0"/>
        <w:jc w:val="both"/>
      </w:pPr>
      <w:r>
        <w:rPr>
          <w:rFonts w:hint="default" w:ascii="楷体_GB2312" w:eastAsia="楷体_GB2312" w:cs="楷体_GB2312" w:hAnsiTheme="minorHAnsi"/>
          <w:b w:val="0"/>
          <w:bCs w:val="0"/>
          <w:color w:val="020202"/>
          <w:kern w:val="2"/>
          <w:sz w:val="24"/>
          <w:szCs w:val="24"/>
          <w:lang w:val="en-US" w:eastAsia="zh-CN" w:bidi="ar"/>
        </w:rPr>
        <w:t>注：本表金额转换成万元时，四舍五入可能存在尾差</w:t>
      </w:r>
    </w:p>
    <w:p>
      <w:pPr>
        <w:keepNext w:val="0"/>
        <w:keepLines w:val="0"/>
        <w:widowControl/>
        <w:suppressLineNumbers w:val="0"/>
        <w:spacing w:before="0" w:beforeAutospacing="1" w:after="0" w:afterAutospacing="1"/>
        <w:ind w:left="0" w:right="0" w:firstLine="640" w:firstLineChars="200"/>
        <w:jc w:val="left"/>
      </w:pPr>
      <w:r>
        <w:rPr>
          <w:rFonts w:hint="eastAsia" w:ascii="黑体" w:hAnsi="宋体" w:eastAsia="黑体"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0" w:firstLineChars="0"/>
        <w:jc w:val="center"/>
      </w:pPr>
      <w:r>
        <w:rPr>
          <w:rFonts w:hint="eastAsia" w:ascii="黑体" w:hAnsi="宋体" w:eastAsia="黑体" w:cs="黑体"/>
          <w:b/>
          <w:bCs/>
          <w:color w:val="020202"/>
          <w:kern w:val="2"/>
          <w:sz w:val="32"/>
          <w:szCs w:val="32"/>
          <w:lang w:val="en-US" w:eastAsia="zh-CN" w:bidi="ar"/>
        </w:rPr>
        <w:t>支出决算表</w:t>
      </w:r>
    </w:p>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0"/>
          <w:szCs w:val="20"/>
          <w:lang w:val="en-US" w:eastAsia="zh-CN" w:bidi="ar"/>
        </w:rPr>
        <w:t>公开03表</w:t>
      </w:r>
    </w:p>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0"/>
          <w:szCs w:val="20"/>
          <w:lang w:val="en-US" w:eastAsia="zh-CN" w:bidi="ar"/>
        </w:rPr>
        <w:t>部门：                                                                     金额单位：万元</w:t>
      </w:r>
    </w:p>
    <w:tbl>
      <w:tblPr>
        <w:tblStyle w:val="3"/>
        <w:tblW w:w="106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08" w:type="dxa"/>
          <w:bottom w:w="15" w:type="dxa"/>
          <w:right w:w="108" w:type="dxa"/>
        </w:tblCellMar>
      </w:tblPr>
      <w:tblGrid>
        <w:gridCol w:w="655"/>
        <w:gridCol w:w="531"/>
        <w:gridCol w:w="737"/>
        <w:gridCol w:w="2032"/>
        <w:gridCol w:w="1449"/>
        <w:gridCol w:w="1062"/>
        <w:gridCol w:w="1125"/>
        <w:gridCol w:w="933"/>
        <w:gridCol w:w="1076"/>
        <w:gridCol w:w="25"/>
        <w:gridCol w:w="1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42" w:hRule="atLeast"/>
          <w:jc w:val="center"/>
        </w:trPr>
        <w:tc>
          <w:tcPr>
            <w:tcW w:w="395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项目</w:t>
            </w:r>
          </w:p>
        </w:tc>
        <w:tc>
          <w:tcPr>
            <w:tcW w:w="144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本年支出合计</w:t>
            </w:r>
          </w:p>
        </w:tc>
        <w:tc>
          <w:tcPr>
            <w:tcW w:w="1062"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基本支出</w:t>
            </w:r>
          </w:p>
        </w:tc>
        <w:tc>
          <w:tcPr>
            <w:tcW w:w="1125"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项目支出</w:t>
            </w:r>
          </w:p>
        </w:tc>
        <w:tc>
          <w:tcPr>
            <w:tcW w:w="933"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上缴上级支出</w:t>
            </w:r>
          </w:p>
        </w:tc>
        <w:tc>
          <w:tcPr>
            <w:tcW w:w="1076"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经营支出</w:t>
            </w:r>
          </w:p>
        </w:tc>
        <w:tc>
          <w:tcPr>
            <w:tcW w:w="1080" w:type="dxa"/>
            <w:gridSpan w:val="2"/>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对附属单位补助支出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951"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kern w:val="0"/>
                <w:sz w:val="22"/>
                <w:szCs w:val="22"/>
                <w:lang w:val="en-US" w:eastAsia="zh-CN" w:bidi="ar"/>
              </w:rPr>
              <w:t>功能分类科目编码</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科目名称</w:t>
            </w:r>
          </w:p>
        </w:tc>
        <w:tc>
          <w:tcPr>
            <w:tcW w:w="1449"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1062"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1125"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933"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1076"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1080" w:type="dxa"/>
            <w:gridSpan w:val="2"/>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42"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类</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款</w:t>
            </w:r>
          </w:p>
        </w:tc>
        <w:tc>
          <w:tcPr>
            <w:tcW w:w="73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项</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合计</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6272.56</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4180.73</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2091.83</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01"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42"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社会保障和就业支出</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236.95</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236.95</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7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8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42"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20801</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人力资源和社会保障管理事务</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197.01</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197.01</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7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8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42"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2080101</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行政运行</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197.01</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197.01</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7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8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0"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20805</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行政事业单位养老支出</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39.95</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39.95</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7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8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0"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2080501</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行政单位离退休</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26.47</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26.47</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7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8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0"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2080599</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其他行政事业单位养老支出</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13.48</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13.48</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7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8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0"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212</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城乡社区支出</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5834.44</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3742.6</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2091.83</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7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8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0"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21201</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城乡社区管理事务</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5834.44</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3742.6</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2091.83</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7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8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0"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2120101</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行政运行</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5834.44</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3742.6</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2091.83</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7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8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0"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住房保障支出</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201.17</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201.17</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7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8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0"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22102</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住房改革支出</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201.17</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201.17</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7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8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0"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2210201</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住房公积金</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149.36</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149.36</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7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8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0"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2210202</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提租补贴</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23.96</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23.96</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7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8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90" w:hRule="atLeast"/>
          <w:jc w:val="center"/>
        </w:trPr>
        <w:tc>
          <w:tcPr>
            <w:tcW w:w="19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2210203</w:t>
            </w:r>
          </w:p>
        </w:tc>
        <w:tc>
          <w:tcPr>
            <w:tcW w:w="20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购房补贴</w:t>
            </w:r>
          </w:p>
        </w:tc>
        <w:tc>
          <w:tcPr>
            <w:tcW w:w="14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27.85</w:t>
            </w:r>
          </w:p>
        </w:tc>
        <w:tc>
          <w:tcPr>
            <w:tcW w:w="106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27.85</w:t>
            </w:r>
          </w:p>
        </w:tc>
        <w:tc>
          <w:tcPr>
            <w:tcW w:w="11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9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7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8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bl>
    <w:p>
      <w:pPr>
        <w:keepNext w:val="0"/>
        <w:keepLines w:val="0"/>
        <w:widowControl/>
        <w:suppressLineNumbers w:val="0"/>
        <w:spacing w:before="0" w:beforeAutospacing="1" w:after="0" w:afterAutospacing="1"/>
        <w:ind w:left="0" w:right="0" w:firstLine="0" w:firstLineChars="0"/>
        <w:jc w:val="both"/>
      </w:pPr>
      <w:r>
        <w:rPr>
          <w:rFonts w:hint="default" w:ascii="楷体_GB2312" w:eastAsia="楷体_GB2312" w:cs="楷体_GB2312" w:hAnsiTheme="minorHAnsi"/>
          <w:b w:val="0"/>
          <w:bCs w:val="0"/>
          <w:color w:val="020202"/>
          <w:kern w:val="2"/>
          <w:sz w:val="24"/>
          <w:szCs w:val="24"/>
          <w:lang w:val="en-US" w:eastAsia="zh-CN" w:bidi="ar"/>
        </w:rPr>
        <w:t>注：本表金额转换成万元时，四舍五入可能存在尾差</w:t>
      </w:r>
    </w:p>
    <w:p>
      <w:pPr>
        <w:keepNext w:val="0"/>
        <w:keepLines w:val="0"/>
        <w:widowControl/>
        <w:suppressLineNumbers w:val="0"/>
        <w:spacing w:before="0" w:beforeAutospacing="1" w:after="0" w:afterAutospacing="1"/>
        <w:ind w:left="0" w:right="0"/>
        <w:jc w:val="left"/>
      </w:pPr>
      <w:r>
        <w:rPr>
          <w:rFonts w:hint="eastAsia" w:ascii="黑体" w:hAnsi="宋体" w:eastAsia="黑体"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0" w:firstLineChars="0"/>
        <w:jc w:val="center"/>
      </w:pPr>
      <w:r>
        <w:rPr>
          <w:rFonts w:hint="eastAsia" w:ascii="黑体" w:hAnsi="宋体" w:eastAsia="黑体" w:cs="黑体"/>
          <w:b/>
          <w:bCs/>
          <w:color w:val="020202"/>
          <w:kern w:val="2"/>
          <w:sz w:val="32"/>
          <w:szCs w:val="32"/>
          <w:lang w:val="en-US" w:eastAsia="zh-CN" w:bidi="ar"/>
        </w:rPr>
        <w:t>财政拨款收入支出决算总表</w:t>
      </w:r>
    </w:p>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0"/>
          <w:szCs w:val="20"/>
          <w:lang w:val="en-US" w:eastAsia="zh-CN" w:bidi="ar"/>
        </w:rPr>
        <w:t>公开04表</w:t>
      </w:r>
    </w:p>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20202"/>
          <w:kern w:val="0"/>
          <w:sz w:val="20"/>
          <w:szCs w:val="20"/>
          <w:lang w:val="en-US" w:eastAsia="zh-CN" w:bidi="ar"/>
        </w:rPr>
        <w:t>部门：</w:t>
      </w:r>
      <w:r>
        <w:rPr>
          <w:rFonts w:hint="eastAsia" w:ascii="宋体" w:hAnsi="宋体" w:eastAsia="宋体" w:cs="宋体"/>
          <w:color w:val="000000"/>
          <w:kern w:val="0"/>
          <w:sz w:val="20"/>
          <w:szCs w:val="20"/>
          <w:lang w:val="en-US" w:eastAsia="zh-CN" w:bidi="ar"/>
        </w:rPr>
        <w:t xml:space="preserve">                                                                     金额单位：万元</w:t>
      </w:r>
    </w:p>
    <w:tbl>
      <w:tblPr>
        <w:tblStyle w:val="3"/>
        <w:tblW w:w="10520" w:type="dxa"/>
        <w:tblInd w:w="-77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08" w:type="dxa"/>
          <w:bottom w:w="15" w:type="dxa"/>
          <w:right w:w="108" w:type="dxa"/>
        </w:tblCellMar>
      </w:tblPr>
      <w:tblGrid>
        <w:gridCol w:w="3291"/>
        <w:gridCol w:w="995"/>
        <w:gridCol w:w="2309"/>
        <w:gridCol w:w="1005"/>
        <w:gridCol w:w="1036"/>
        <w:gridCol w:w="710"/>
        <w:gridCol w:w="11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428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收入</w:t>
            </w:r>
          </w:p>
        </w:tc>
        <w:tc>
          <w:tcPr>
            <w:tcW w:w="6234" w:type="dxa"/>
            <w:gridSpan w:val="5"/>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135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项    目</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金额</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项目</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小计</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一般公共预算财政拨款</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政府性基金预算财政拨款</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国有资本经营预算财政拨款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一、一般公共预算财政拨款</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4021.04</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一、一般公共服务支出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二、政府性基金预算财政拨款</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二、外交支出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kern w:val="0"/>
                <w:sz w:val="22"/>
                <w:szCs w:val="22"/>
                <w:lang w:val="en-US" w:eastAsia="zh-CN" w:bidi="ar"/>
              </w:rPr>
              <w:t>三、国有资本经营预算财政拨款</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三、国防支出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四、公共安全支出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五、教育支出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六、科学技术支出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73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七、文化旅游体育与传媒支出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八、社会保障和就业支出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236.95</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236.95</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九、卫生健康支出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十、节能环保支出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十一、城乡社区支出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3643.78</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3643.78</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十二、农林水支出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十三、交通运输支出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73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十四、资源勘探信息等支出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十五、商业服务业等支出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十六、金融支出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十七、援助其他地区支出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73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十八、自然资源海洋气象等支出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十九、住房保障支出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201.17</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201.17</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二十、粮油物资储备支出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73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二十一、国有资本经营预算支出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73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二十二、灾害防治及应急管理支出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二十三、其他支出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二十四、债务还本支出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b/>
                <w:bCs/>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二十五、债务付息支出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619"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b/>
                <w:bCs/>
                <w:color w:val="000000"/>
                <w:kern w:val="0"/>
                <w:sz w:val="22"/>
                <w:szCs w:val="22"/>
                <w:lang w:val="en-US" w:eastAsia="zh-CN" w:bidi="ar"/>
              </w:rPr>
              <w:t> </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二十六、抗疫特别国债安排的支出</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b/>
                <w:bCs/>
                <w:color w:val="000000"/>
                <w:kern w:val="0"/>
                <w:sz w:val="22"/>
                <w:szCs w:val="22"/>
                <w:lang w:val="en-US" w:eastAsia="zh-CN" w:bidi="ar"/>
              </w:rPr>
              <w:t>本年收入合计</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4021.04</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b/>
                <w:bCs/>
                <w:color w:val="000000"/>
                <w:kern w:val="0"/>
                <w:sz w:val="22"/>
                <w:szCs w:val="22"/>
                <w:lang w:val="en-US" w:eastAsia="zh-CN" w:bidi="ar"/>
              </w:rPr>
              <w:t>本年支出合计</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4081.91</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4081.91</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73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年初财政拨款结转和结余</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101.10</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年末财政拨款结转和结余</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40.24</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40.24</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xml:space="preserve">  一般公共预算财政拨款</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101.10</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 </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xml:space="preserve">  政府性基金预算财政拨款</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 </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08" w:type="dxa"/>
            <w:bottom w:w="15" w:type="dxa"/>
            <w:right w:w="108" w:type="dxa"/>
          </w:tblCellMar>
        </w:tblPrEx>
        <w:trPr>
          <w:trHeight w:val="420"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b/>
                <w:bCs/>
                <w:color w:val="000000"/>
                <w:kern w:val="0"/>
                <w:sz w:val="22"/>
                <w:szCs w:val="22"/>
                <w:lang w:val="en-US" w:eastAsia="zh-CN" w:bidi="ar"/>
              </w:rPr>
              <w:t> </w:t>
            </w:r>
            <w:r>
              <w:rPr>
                <w:rFonts w:hint="eastAsia" w:ascii="宋体" w:hAnsi="宋体" w:eastAsia="宋体" w:cs="宋体"/>
                <w:b/>
                <w:bCs/>
                <w:color w:val="0000FF"/>
                <w:kern w:val="0"/>
                <w:sz w:val="22"/>
                <w:szCs w:val="22"/>
                <w:lang w:val="en-US" w:eastAsia="zh-CN" w:bidi="ar"/>
              </w:rPr>
              <w:t> </w:t>
            </w:r>
            <w:r>
              <w:rPr>
                <w:rFonts w:hint="eastAsia" w:ascii="宋体" w:hAnsi="宋体" w:eastAsia="宋体" w:cs="宋体"/>
                <w:kern w:val="0"/>
                <w:sz w:val="22"/>
                <w:szCs w:val="22"/>
                <w:lang w:val="en-US" w:eastAsia="zh-CN" w:bidi="ar"/>
              </w:rPr>
              <w:t>国有资本经营预算财政拨款</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b/>
                <w:bCs/>
                <w:color w:val="000000"/>
                <w:kern w:val="0"/>
                <w:sz w:val="22"/>
                <w:szCs w:val="22"/>
                <w:lang w:val="en-US" w:eastAsia="zh-CN" w:bidi="ar"/>
              </w:rPr>
              <w:t> </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447" w:hRule="atLeast"/>
        </w:trPr>
        <w:tc>
          <w:tcPr>
            <w:tcW w:w="32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b/>
                <w:bCs/>
                <w:color w:val="000000"/>
                <w:kern w:val="0"/>
                <w:sz w:val="22"/>
                <w:szCs w:val="22"/>
                <w:lang w:val="en-US" w:eastAsia="zh-CN" w:bidi="ar"/>
              </w:rPr>
              <w:t>总计</w:t>
            </w:r>
          </w:p>
        </w:tc>
        <w:tc>
          <w:tcPr>
            <w:tcW w:w="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4122.14</w:t>
            </w:r>
          </w:p>
        </w:tc>
        <w:tc>
          <w:tcPr>
            <w:tcW w:w="23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b/>
                <w:bCs/>
                <w:color w:val="000000"/>
                <w:kern w:val="0"/>
                <w:sz w:val="22"/>
                <w:szCs w:val="22"/>
                <w:lang w:val="en-US" w:eastAsia="zh-CN" w:bidi="ar"/>
              </w:rPr>
              <w:t>总计</w:t>
            </w:r>
          </w:p>
        </w:tc>
        <w:tc>
          <w:tcPr>
            <w:tcW w:w="10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4122.14</w:t>
            </w:r>
          </w:p>
        </w:tc>
        <w:tc>
          <w:tcPr>
            <w:tcW w:w="103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4122.14</w:t>
            </w:r>
          </w:p>
        </w:tc>
        <w:tc>
          <w:tcPr>
            <w:tcW w:w="71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bl>
    <w:p>
      <w:pPr>
        <w:keepNext w:val="0"/>
        <w:keepLines w:val="0"/>
        <w:widowControl/>
        <w:suppressLineNumbers w:val="0"/>
        <w:spacing w:before="0" w:beforeAutospacing="1" w:after="0" w:afterAutospacing="1"/>
        <w:ind w:left="0" w:right="0"/>
        <w:jc w:val="both"/>
      </w:pPr>
      <w:r>
        <w:rPr>
          <w:rFonts w:hint="default" w:ascii="楷体_GB2312" w:eastAsia="楷体_GB2312" w:cs="楷体_GB2312" w:hAnsiTheme="minorHAnsi"/>
          <w:b w:val="0"/>
          <w:bCs w:val="0"/>
          <w:color w:val="020202"/>
          <w:kern w:val="2"/>
          <w:sz w:val="24"/>
          <w:szCs w:val="24"/>
          <w:lang w:val="en-US" w:eastAsia="zh-CN" w:bidi="ar"/>
        </w:rPr>
        <w:t>注：本表金额转换成万元时，四舍五入可能存在尾差</w:t>
      </w:r>
    </w:p>
    <w:p>
      <w:pPr>
        <w:keepNext w:val="0"/>
        <w:keepLines w:val="0"/>
        <w:widowControl/>
        <w:suppressLineNumbers w:val="0"/>
        <w:spacing w:before="0" w:beforeAutospacing="1" w:after="0" w:afterAutospacing="1"/>
        <w:ind w:left="0" w:right="0" w:firstLine="0" w:firstLineChars="0"/>
        <w:jc w:val="center"/>
      </w:pPr>
      <w:r>
        <w:rPr>
          <w:rFonts w:hint="eastAsia" w:ascii="黑体" w:hAnsi="宋体" w:eastAsia="黑体" w:cs="黑体"/>
          <w:b/>
          <w:bCs/>
          <w:color w:val="020202"/>
          <w:kern w:val="2"/>
          <w:sz w:val="32"/>
          <w:szCs w:val="32"/>
          <w:lang w:val="en-US" w:eastAsia="zh-CN" w:bidi="ar"/>
        </w:rPr>
        <w:t>一般公共预算财政拨款支出决算表</w:t>
      </w:r>
    </w:p>
    <w:p>
      <w:pPr>
        <w:keepNext w:val="0"/>
        <w:keepLines w:val="0"/>
        <w:widowControl/>
        <w:suppressLineNumbers w:val="0"/>
        <w:spacing w:before="0" w:beforeAutospacing="1" w:after="0" w:afterAutospacing="1"/>
        <w:ind w:left="0" w:right="0" w:firstLine="7276" w:firstLineChars="3638"/>
        <w:jc w:val="right"/>
      </w:pPr>
      <w:r>
        <w:rPr>
          <w:rFonts w:hint="eastAsia" w:ascii="宋体" w:hAnsi="宋体" w:eastAsia="宋体" w:cs="宋体"/>
          <w:color w:val="000000"/>
          <w:kern w:val="0"/>
          <w:sz w:val="20"/>
          <w:szCs w:val="20"/>
          <w:lang w:val="en-US" w:eastAsia="zh-CN" w:bidi="ar"/>
        </w:rPr>
        <w:t>公开05表</w:t>
      </w:r>
    </w:p>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20202"/>
          <w:kern w:val="0"/>
          <w:sz w:val="20"/>
          <w:szCs w:val="20"/>
          <w:lang w:val="en-US" w:eastAsia="zh-CN" w:bidi="ar"/>
        </w:rPr>
        <w:t xml:space="preserve">部门：                                                                     </w:t>
      </w:r>
      <w:r>
        <w:rPr>
          <w:rFonts w:hint="eastAsia" w:ascii="宋体" w:hAnsi="宋体" w:eastAsia="宋体" w:cs="宋体"/>
          <w:color w:val="000000"/>
          <w:kern w:val="0"/>
          <w:sz w:val="20"/>
          <w:szCs w:val="20"/>
          <w:lang w:val="en-US" w:eastAsia="zh-CN" w:bidi="ar"/>
        </w:rPr>
        <w:t>金额单位：万元</w:t>
      </w:r>
    </w:p>
    <w:tbl>
      <w:tblPr>
        <w:tblStyle w:val="3"/>
        <w:tblW w:w="99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08" w:type="dxa"/>
          <w:bottom w:w="15" w:type="dxa"/>
          <w:right w:w="108" w:type="dxa"/>
        </w:tblCellMar>
      </w:tblPr>
      <w:tblGrid>
        <w:gridCol w:w="647"/>
        <w:gridCol w:w="645"/>
        <w:gridCol w:w="649"/>
        <w:gridCol w:w="1606"/>
        <w:gridCol w:w="1411"/>
        <w:gridCol w:w="2471"/>
        <w:gridCol w:w="24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30" w:hRule="atLeast"/>
          <w:jc w:val="center"/>
        </w:trPr>
        <w:tc>
          <w:tcPr>
            <w:tcW w:w="1941"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kern w:val="0"/>
                <w:sz w:val="22"/>
                <w:szCs w:val="22"/>
                <w:lang w:val="en-US" w:eastAsia="zh-CN" w:bidi="ar"/>
              </w:rPr>
              <w:t>功能分类</w:t>
            </w:r>
          </w:p>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科目编码</w:t>
            </w:r>
          </w:p>
        </w:tc>
        <w:tc>
          <w:tcPr>
            <w:tcW w:w="1606"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科目名称</w:t>
            </w:r>
          </w:p>
        </w:tc>
        <w:tc>
          <w:tcPr>
            <w:tcW w:w="6353"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本年支出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30" w:hRule="atLeast"/>
          <w:jc w:val="center"/>
        </w:trPr>
        <w:tc>
          <w:tcPr>
            <w:tcW w:w="1941" w:type="dxa"/>
            <w:gridSpan w:val="3"/>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sz w:val="24"/>
                <w:szCs w:val="24"/>
              </w:rPr>
            </w:pPr>
          </w:p>
        </w:tc>
        <w:tc>
          <w:tcPr>
            <w:tcW w:w="1606"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1411" w:type="dxa"/>
            <w:vMerge w:val="restart"/>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合计</w:t>
            </w:r>
          </w:p>
        </w:tc>
        <w:tc>
          <w:tcPr>
            <w:tcW w:w="2471"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基本支出</w:t>
            </w:r>
          </w:p>
        </w:tc>
        <w:tc>
          <w:tcPr>
            <w:tcW w:w="2471"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30" w:hRule="atLeast"/>
          <w:jc w:val="center"/>
        </w:trPr>
        <w:tc>
          <w:tcPr>
            <w:tcW w:w="1941" w:type="dxa"/>
            <w:gridSpan w:val="3"/>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sz w:val="24"/>
                <w:szCs w:val="24"/>
              </w:rPr>
            </w:pPr>
          </w:p>
        </w:tc>
        <w:tc>
          <w:tcPr>
            <w:tcW w:w="1606"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1411" w:type="dxa"/>
            <w:vMerge w:val="continue"/>
            <w:tcBorders>
              <w:top w:val="nil"/>
              <w:left w:val="nil"/>
              <w:bottom w:val="single" w:color="auto" w:sz="4" w:space="0"/>
              <w:right w:val="single" w:color="auto" w:sz="4" w:space="0"/>
            </w:tcBorders>
            <w:shd w:val="clear" w:color="auto" w:fill="auto"/>
            <w:vAlign w:val="center"/>
          </w:tcPr>
          <w:p>
            <w:pPr>
              <w:rPr>
                <w:rFonts w:hint="eastAsia" w:ascii="宋体"/>
                <w:sz w:val="24"/>
                <w:szCs w:val="24"/>
              </w:rPr>
            </w:pPr>
          </w:p>
        </w:tc>
        <w:tc>
          <w:tcPr>
            <w:tcW w:w="2471"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2471"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12" w:hRule="atLeast"/>
          <w:jc w:val="center"/>
        </w:trPr>
        <w:tc>
          <w:tcPr>
            <w:tcW w:w="1941" w:type="dxa"/>
            <w:gridSpan w:val="3"/>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sz w:val="24"/>
                <w:szCs w:val="24"/>
              </w:rPr>
            </w:pPr>
          </w:p>
        </w:tc>
        <w:tc>
          <w:tcPr>
            <w:tcW w:w="1606"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1411" w:type="dxa"/>
            <w:vMerge w:val="continue"/>
            <w:tcBorders>
              <w:top w:val="nil"/>
              <w:left w:val="nil"/>
              <w:bottom w:val="single" w:color="auto" w:sz="4" w:space="0"/>
              <w:right w:val="single" w:color="auto" w:sz="4" w:space="0"/>
            </w:tcBorders>
            <w:shd w:val="clear" w:color="auto" w:fill="auto"/>
            <w:vAlign w:val="center"/>
          </w:tcPr>
          <w:p>
            <w:pPr>
              <w:rPr>
                <w:rFonts w:hint="eastAsia" w:ascii="宋体"/>
                <w:sz w:val="24"/>
                <w:szCs w:val="24"/>
              </w:rPr>
            </w:pPr>
          </w:p>
        </w:tc>
        <w:tc>
          <w:tcPr>
            <w:tcW w:w="2471"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2471"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30" w:hRule="atLeast"/>
          <w:jc w:val="center"/>
        </w:trPr>
        <w:tc>
          <w:tcPr>
            <w:tcW w:w="6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类</w:t>
            </w:r>
          </w:p>
        </w:tc>
        <w:tc>
          <w:tcPr>
            <w:tcW w:w="64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款</w:t>
            </w:r>
          </w:p>
        </w:tc>
        <w:tc>
          <w:tcPr>
            <w:tcW w:w="64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项</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宋体"/>
                <w:color w:val="000000"/>
                <w:kern w:val="0"/>
                <w:sz w:val="22"/>
                <w:szCs w:val="22"/>
                <w:lang w:val="en-US" w:eastAsia="zh-CN" w:bidi="ar"/>
              </w:rPr>
              <w:t>合计</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b/>
                <w:bCs/>
                <w:color w:val="000000"/>
                <w:kern w:val="0"/>
                <w:sz w:val="22"/>
                <w:szCs w:val="22"/>
                <w:lang w:val="en-US" w:eastAsia="zh-CN" w:bidi="ar"/>
              </w:rPr>
              <w:t>4081.91</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b/>
                <w:bCs/>
                <w:color w:val="000000"/>
                <w:kern w:val="0"/>
                <w:sz w:val="22"/>
                <w:szCs w:val="22"/>
                <w:lang w:val="en-US" w:eastAsia="zh-CN" w:bidi="ar"/>
              </w:rPr>
              <w:t>1990.07</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b/>
                <w:bCs/>
                <w:color w:val="000000"/>
                <w:kern w:val="0"/>
                <w:sz w:val="22"/>
                <w:szCs w:val="22"/>
                <w:lang w:val="en-US" w:eastAsia="zh-CN" w:bidi="ar"/>
              </w:rPr>
              <w:t>2091.83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30" w:hRule="atLeast"/>
          <w:jc w:val="center"/>
        </w:trPr>
        <w:tc>
          <w:tcPr>
            <w:tcW w:w="19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社会保障和就业支出</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236.95</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236.95</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30" w:hRule="atLeast"/>
          <w:jc w:val="center"/>
        </w:trPr>
        <w:tc>
          <w:tcPr>
            <w:tcW w:w="19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20801</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人力资源和社会保障管理事务</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197.01</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197.01</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30" w:hRule="atLeast"/>
          <w:jc w:val="center"/>
        </w:trPr>
        <w:tc>
          <w:tcPr>
            <w:tcW w:w="19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2080101</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行政运行</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197.01</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197.01</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30" w:hRule="atLeast"/>
          <w:jc w:val="center"/>
        </w:trPr>
        <w:tc>
          <w:tcPr>
            <w:tcW w:w="19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20805</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行政事业单位养老支出</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39.95</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39.95</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30" w:hRule="atLeast"/>
          <w:jc w:val="center"/>
        </w:trPr>
        <w:tc>
          <w:tcPr>
            <w:tcW w:w="19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2080501</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行政单位离退休</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26.47</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26.47</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46" w:hRule="atLeast"/>
          <w:jc w:val="center"/>
        </w:trPr>
        <w:tc>
          <w:tcPr>
            <w:tcW w:w="19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2080599</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其他行政事业单位养老支出</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13.48</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13.48</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46" w:hRule="atLeast"/>
          <w:jc w:val="center"/>
        </w:trPr>
        <w:tc>
          <w:tcPr>
            <w:tcW w:w="19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212</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城乡社区支出</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3643.78</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1551.95</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2091.83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46" w:hRule="atLeast"/>
          <w:jc w:val="center"/>
        </w:trPr>
        <w:tc>
          <w:tcPr>
            <w:tcW w:w="19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21201</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城乡社区管理事务</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3643.78</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1551.95</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2091.83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46" w:hRule="atLeast"/>
          <w:jc w:val="center"/>
        </w:trPr>
        <w:tc>
          <w:tcPr>
            <w:tcW w:w="19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2120101</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行政运行</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3643.78</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1551.95</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2091.83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46" w:hRule="atLeast"/>
          <w:jc w:val="center"/>
        </w:trPr>
        <w:tc>
          <w:tcPr>
            <w:tcW w:w="19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住房保障支出</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201.17</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201.17</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46" w:hRule="atLeast"/>
          <w:jc w:val="center"/>
        </w:trPr>
        <w:tc>
          <w:tcPr>
            <w:tcW w:w="19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22102</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住房改革支出</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201.17</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201.17</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46" w:hRule="atLeast"/>
          <w:jc w:val="center"/>
        </w:trPr>
        <w:tc>
          <w:tcPr>
            <w:tcW w:w="19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2210201</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住房公积金</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149.36</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149.36</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46" w:hRule="atLeast"/>
          <w:jc w:val="center"/>
        </w:trPr>
        <w:tc>
          <w:tcPr>
            <w:tcW w:w="19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2210202</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提租补贴</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23.96</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23.96</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46" w:hRule="atLeast"/>
          <w:jc w:val="center"/>
        </w:trPr>
        <w:tc>
          <w:tcPr>
            <w:tcW w:w="19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2210203</w:t>
            </w:r>
          </w:p>
        </w:tc>
        <w:tc>
          <w:tcPr>
            <w:tcW w:w="1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left"/>
            </w:pPr>
            <w:r>
              <w:rPr>
                <w:rFonts w:hint="eastAsia" w:ascii="宋体" w:hAnsi="宋体" w:eastAsia="宋体" w:cs="宋体"/>
                <w:color w:val="000000"/>
                <w:kern w:val="0"/>
                <w:sz w:val="22"/>
                <w:szCs w:val="22"/>
                <w:lang w:val="en-US" w:eastAsia="zh-CN" w:bidi="ar"/>
              </w:rPr>
              <w:t>购房补贴</w:t>
            </w:r>
          </w:p>
        </w:tc>
        <w:tc>
          <w:tcPr>
            <w:tcW w:w="141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27.85</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27.85</w:t>
            </w:r>
          </w:p>
        </w:tc>
        <w:tc>
          <w:tcPr>
            <w:tcW w:w="2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right"/>
            </w:pPr>
            <w:r>
              <w:rPr>
                <w:rFonts w:hint="eastAsia" w:ascii="宋体" w:hAnsi="宋体" w:eastAsia="宋体" w:cs="宋体"/>
                <w:color w:val="000000"/>
                <w:kern w:val="0"/>
                <w:sz w:val="22"/>
                <w:szCs w:val="22"/>
                <w:lang w:val="en-US" w:eastAsia="zh-CN" w:bidi="ar"/>
              </w:rPr>
              <w:t> </w:t>
            </w:r>
          </w:p>
        </w:tc>
      </w:tr>
    </w:tbl>
    <w:p>
      <w:pPr>
        <w:keepNext w:val="0"/>
        <w:keepLines w:val="0"/>
        <w:widowControl/>
        <w:suppressLineNumbers w:val="0"/>
        <w:spacing w:before="0" w:beforeAutospacing="1" w:after="0" w:afterAutospacing="1"/>
        <w:ind w:left="0" w:right="0" w:firstLine="0" w:firstLineChars="0"/>
        <w:jc w:val="both"/>
      </w:pPr>
      <w:r>
        <w:rPr>
          <w:rFonts w:hint="default" w:ascii="楷体_GB2312" w:eastAsia="楷体_GB2312" w:cs="楷体_GB2312" w:hAnsiTheme="minorHAnsi"/>
          <w:b w:val="0"/>
          <w:bCs w:val="0"/>
          <w:color w:val="020202"/>
          <w:kern w:val="2"/>
          <w:sz w:val="24"/>
          <w:szCs w:val="24"/>
          <w:lang w:val="en-US" w:eastAsia="zh-CN" w:bidi="ar"/>
        </w:rPr>
        <w:t>注：本表金额转换成万元时，四舍五入可能存在尾差</w:t>
      </w:r>
    </w:p>
    <w:p>
      <w:pPr>
        <w:keepNext w:val="0"/>
        <w:keepLines w:val="0"/>
        <w:widowControl/>
        <w:suppressLineNumbers w:val="0"/>
        <w:spacing w:before="0" w:beforeAutospacing="1" w:after="0" w:afterAutospacing="1"/>
        <w:ind w:left="0" w:right="0" w:firstLine="0" w:firstLineChars="0"/>
        <w:jc w:val="center"/>
      </w:pPr>
      <w:r>
        <w:rPr>
          <w:rFonts w:hint="eastAsia" w:ascii="黑体" w:hAnsi="宋体" w:eastAsia="黑体" w:cs="Times New Roman"/>
          <w:b/>
          <w:bCs/>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0" w:firstLineChars="0"/>
        <w:jc w:val="both"/>
      </w:pPr>
      <w:r>
        <w:rPr>
          <w:rFonts w:hint="eastAsia" w:ascii="黑体" w:hAnsi="宋体" w:eastAsia="黑体" w:cs="Times New Roman"/>
          <w:b/>
          <w:bCs/>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firstLine="0" w:firstLineChars="0"/>
        <w:jc w:val="both"/>
      </w:pPr>
      <w:r>
        <w:rPr>
          <w:rFonts w:hint="eastAsia" w:ascii="黑体" w:hAnsi="宋体" w:eastAsia="黑体" w:cs="Times New Roman"/>
          <w:b/>
          <w:bCs/>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jc w:val="center"/>
      </w:pPr>
      <w:r>
        <w:rPr>
          <w:rFonts w:hint="eastAsia" w:ascii="黑体" w:hAnsi="宋体" w:eastAsia="黑体" w:cs="黑体"/>
          <w:b/>
          <w:bCs/>
          <w:color w:val="020202"/>
          <w:kern w:val="2"/>
          <w:sz w:val="32"/>
          <w:szCs w:val="32"/>
          <w:lang w:val="en-US" w:eastAsia="zh-CN" w:bidi="ar"/>
        </w:rPr>
        <w:t>一般公共预算财政拨款基本支出决算表</w:t>
      </w:r>
    </w:p>
    <w:p>
      <w:pPr>
        <w:keepNext w:val="0"/>
        <w:keepLines w:val="0"/>
        <w:widowControl/>
        <w:suppressLineNumbers w:val="0"/>
        <w:spacing w:before="0" w:beforeAutospacing="1" w:after="0" w:afterAutospacing="1"/>
        <w:ind w:left="0" w:right="97"/>
        <w:jc w:val="right"/>
      </w:pPr>
      <w:r>
        <w:rPr>
          <w:rFonts w:hint="eastAsia" w:ascii="宋体" w:hAnsi="宋体" w:eastAsia="宋体" w:cs="宋体"/>
          <w:color w:val="000000"/>
          <w:kern w:val="0"/>
          <w:sz w:val="20"/>
          <w:szCs w:val="20"/>
          <w:lang w:val="en-US" w:eastAsia="zh-CN" w:bidi="ar"/>
        </w:rPr>
        <w:t>公开06表</w:t>
      </w:r>
    </w:p>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0"/>
          <w:szCs w:val="20"/>
          <w:lang w:val="en-US" w:eastAsia="zh-CN" w:bidi="ar"/>
        </w:rPr>
        <w:t>部门：                                                                     金额单位：万元</w:t>
      </w:r>
    </w:p>
    <w:tbl>
      <w:tblPr>
        <w:tblStyle w:val="3"/>
        <w:tblW w:w="10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51"/>
        <w:gridCol w:w="2277"/>
        <w:gridCol w:w="859"/>
        <w:gridCol w:w="696"/>
        <w:gridCol w:w="1322"/>
        <w:gridCol w:w="832"/>
        <w:gridCol w:w="750"/>
        <w:gridCol w:w="2209"/>
        <w:gridCol w:w="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8"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center"/>
            </w:pPr>
            <w:r>
              <w:rPr>
                <w:rFonts w:hint="eastAsia" w:ascii="宋体" w:hAnsi="宋体" w:eastAsia="宋体" w:cs="宋体"/>
                <w:kern w:val="0"/>
                <w:sz w:val="18"/>
                <w:szCs w:val="18"/>
                <w:lang w:val="en-US" w:eastAsia="zh-CN" w:bidi="ar"/>
              </w:rPr>
              <w:t>经济分类科目编码</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center"/>
            </w:pPr>
            <w:r>
              <w:rPr>
                <w:rFonts w:hint="eastAsia" w:ascii="宋体" w:hAnsi="宋体" w:eastAsia="宋体" w:cs="宋体"/>
                <w:color w:val="000000"/>
                <w:kern w:val="0"/>
                <w:sz w:val="18"/>
                <w:szCs w:val="18"/>
                <w:lang w:val="en-US" w:eastAsia="zh-CN" w:bidi="ar"/>
              </w:rPr>
              <w:t>科目名称</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center"/>
            </w:pPr>
            <w:r>
              <w:rPr>
                <w:rFonts w:hint="eastAsia" w:ascii="宋体" w:hAnsi="宋体" w:eastAsia="宋体" w:cs="宋体"/>
                <w:color w:val="000000"/>
                <w:kern w:val="0"/>
                <w:sz w:val="18"/>
                <w:szCs w:val="18"/>
                <w:lang w:val="en-US" w:eastAsia="zh-CN" w:bidi="ar"/>
              </w:rPr>
              <w:t>决算数</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center"/>
            </w:pPr>
            <w:r>
              <w:rPr>
                <w:rFonts w:hint="eastAsia" w:ascii="宋体" w:hAnsi="宋体" w:eastAsia="宋体" w:cs="宋体"/>
                <w:kern w:val="0"/>
                <w:sz w:val="18"/>
                <w:szCs w:val="18"/>
                <w:lang w:val="en-US" w:eastAsia="zh-CN" w:bidi="ar"/>
              </w:rPr>
              <w:t>经济分类科目编码</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center"/>
            </w:pPr>
            <w:r>
              <w:rPr>
                <w:rFonts w:hint="eastAsia" w:ascii="宋体" w:hAnsi="宋体" w:eastAsia="宋体" w:cs="宋体"/>
                <w:color w:val="000000"/>
                <w:kern w:val="0"/>
                <w:sz w:val="18"/>
                <w:szCs w:val="18"/>
                <w:lang w:val="en-US" w:eastAsia="zh-CN" w:bidi="ar"/>
              </w:rPr>
              <w:t>科目名称</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center"/>
            </w:pPr>
            <w:r>
              <w:rPr>
                <w:rFonts w:hint="eastAsia" w:ascii="宋体" w:hAnsi="宋体" w:eastAsia="宋体" w:cs="宋体"/>
                <w:color w:val="000000"/>
                <w:kern w:val="0"/>
                <w:sz w:val="18"/>
                <w:szCs w:val="18"/>
                <w:lang w:val="en-US" w:eastAsia="zh-CN" w:bidi="ar"/>
              </w:rPr>
              <w:t>决算数</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center"/>
            </w:pPr>
            <w:r>
              <w:rPr>
                <w:rFonts w:hint="eastAsia" w:ascii="宋体" w:hAnsi="宋体" w:eastAsia="宋体" w:cs="宋体"/>
                <w:kern w:val="0"/>
                <w:sz w:val="18"/>
                <w:szCs w:val="18"/>
                <w:lang w:val="en-US" w:eastAsia="zh-CN" w:bidi="ar"/>
              </w:rPr>
              <w:t>经济分类科目编码</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center"/>
            </w:pPr>
            <w:r>
              <w:rPr>
                <w:rFonts w:hint="eastAsia" w:ascii="宋体" w:hAnsi="宋体" w:eastAsia="宋体" w:cs="宋体"/>
                <w:color w:val="000000"/>
                <w:kern w:val="0"/>
                <w:sz w:val="18"/>
                <w:szCs w:val="18"/>
                <w:lang w:val="en-US" w:eastAsia="zh-CN" w:bidi="ar"/>
              </w:rPr>
              <w:t>科目名称</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center"/>
            </w:pPr>
            <w:r>
              <w:rPr>
                <w:rFonts w:hint="eastAsia" w:ascii="宋体" w:hAnsi="宋体" w:eastAsia="宋体" w:cs="宋体"/>
                <w:color w:val="000000"/>
                <w:kern w:val="0"/>
                <w:sz w:val="18"/>
                <w:szCs w:val="18"/>
                <w:lang w:val="en-US" w:eastAsia="zh-CN" w:bidi="ar"/>
              </w:rPr>
              <w:t>决算数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301</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工资福利支出</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1700.19</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商品和服务支出</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218.73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307</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债务利息及费用支出</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30101</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基本工资</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220.09</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30201</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办公费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6.65</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30701</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国内债务付息</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30102</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津贴补贴</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165.14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30202</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印刷费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5.03</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30702</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国外债务付息</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30103</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奖金</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68.09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30203</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咨询费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0.08</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30703</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国内债务发行费用</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30106</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伙食补助费</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30204</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手续费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30704</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国外债务发行费用</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30107</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绩效工资</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30205</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水费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37.74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资本性支出</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7.12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0"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30108</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机关事业单位基本养老保险费</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30206</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电费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33.23</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31001</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房屋建筑物购建</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30109</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职业年金缴费</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30207</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邮电费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center"/>
            </w:pPr>
            <w:r>
              <w:rPr>
                <w:rFonts w:hint="eastAsia" w:ascii="宋体" w:hAnsi="宋体" w:eastAsia="宋体" w:cs="宋体"/>
                <w:color w:val="000000"/>
                <w:kern w:val="0"/>
                <w:sz w:val="18"/>
                <w:szCs w:val="18"/>
                <w:lang w:val="en-US" w:eastAsia="zh-CN" w:bidi="ar"/>
              </w:rPr>
              <w:t>10.50</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31002</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办公设备购置</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0.94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30110</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职工基本医疗保险缴费</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3.48</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30208</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取暖费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31003</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专用设备购置</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6.18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30111</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公务员医疗补助缴费</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30209</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物业管理费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31005</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基础设施建设</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30112</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其他社会保障缴费</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494.02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30211</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差旅费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5.98</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31006</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大型修缮</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30113</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住房公积金</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149.36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30212</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因公出国（境）费用</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31007</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信息网络及软件购置更新</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30114</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医疗费</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30213</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维修（护）费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31008</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物资储备</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30199</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其他工资福利支出</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600.00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30214</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租赁费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13.07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31009</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土地补偿</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303</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对个人和家庭的补助</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64.03</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30215</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会议费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31010</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安置补助</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30301</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离休费</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30216</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培训费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1.34</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31011</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地上附着物和青苗补偿</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30302</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退休费</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30217</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公务接待费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1.76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31012</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拆迁补偿</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30303</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退职（役）费</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30218</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专用材料费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31013</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公务用车购置</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30304</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抚恤金</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30224</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被装购置费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31019</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其他交通工具购置</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30305</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生活补助</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36.89</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30225</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专用燃料费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31021</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文物和陈列品购置</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30306</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救济费</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30226</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劳务费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31022</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无形资产购置</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30307</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医疗费补助</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0.78</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30227</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委托业务费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31099</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其他资本性支出</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30308</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助学金</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30228</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工会经费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78.11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312</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对企业补助</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30309</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奖励金</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26.36</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30229</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福利费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31201</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资本金注入</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0"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30310</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个人农业生产补贴</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30231</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公务用车运行维护费</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24.42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31203</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政府投资基金股权投资</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30311</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代缴社会保险费</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30239</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其他交通费用</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0.82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31204</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费用补贴</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0"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30399</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对其他个人和家庭的补助支出</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30240</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税金及附加费用</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31205</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利息补贴</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0"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30299</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其他商品和服务支出</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31299</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其他对企业补助</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399</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其他支出</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39906</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赠与</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39907</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国家赔偿费用支出</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0" w:hRule="atLeast"/>
          <w:jc w:val="center"/>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2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39908</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对民间非营利组织和群众性自治组织补贴</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 w:hRule="atLeast"/>
          <w:jc w:val="center"/>
        </w:trPr>
        <w:tc>
          <w:tcPr>
            <w:tcW w:w="30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center"/>
            </w:pPr>
            <w:r>
              <w:rPr>
                <w:rFonts w:hint="eastAsia" w:ascii="宋体" w:hAnsi="宋体" w:eastAsia="宋体" w:cs="宋体"/>
                <w:color w:val="000000"/>
                <w:kern w:val="0"/>
                <w:sz w:val="18"/>
                <w:szCs w:val="18"/>
                <w:lang w:val="en-US" w:eastAsia="zh-CN" w:bidi="ar"/>
              </w:rPr>
              <w:t>　</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6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132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8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c>
          <w:tcPr>
            <w:tcW w:w="7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39999</w:t>
            </w:r>
          </w:p>
        </w:tc>
        <w:tc>
          <w:tcPr>
            <w:tcW w:w="2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xml:space="preserve">  其他支出</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5" w:hRule="atLeast"/>
          <w:jc w:val="center"/>
        </w:trPr>
        <w:tc>
          <w:tcPr>
            <w:tcW w:w="30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center"/>
            </w:pPr>
            <w:r>
              <w:rPr>
                <w:rFonts w:hint="eastAsia" w:ascii="宋体" w:hAnsi="宋体" w:eastAsia="宋体" w:cs="宋体"/>
                <w:color w:val="000000"/>
                <w:kern w:val="0"/>
                <w:sz w:val="18"/>
                <w:szCs w:val="18"/>
                <w:lang w:val="en-US" w:eastAsia="zh-CN" w:bidi="ar"/>
              </w:rPr>
              <w:t>人员经费合计</w:t>
            </w:r>
          </w:p>
        </w:tc>
        <w:tc>
          <w:tcPr>
            <w:tcW w:w="8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1764.22　</w:t>
            </w:r>
          </w:p>
        </w:tc>
        <w:tc>
          <w:tcPr>
            <w:tcW w:w="5809" w:type="dxa"/>
            <w:gridSpan w:val="5"/>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center"/>
            </w:pPr>
            <w:r>
              <w:rPr>
                <w:rFonts w:hint="eastAsia" w:ascii="宋体" w:hAnsi="宋体" w:eastAsia="宋体" w:cs="宋体"/>
                <w:color w:val="000000"/>
                <w:kern w:val="0"/>
                <w:sz w:val="18"/>
                <w:szCs w:val="18"/>
                <w:lang w:val="en-US" w:eastAsia="zh-CN" w:bidi="ar"/>
              </w:rPr>
              <w:t>公用经费合计</w:t>
            </w:r>
          </w:p>
        </w:tc>
        <w:tc>
          <w:tcPr>
            <w:tcW w:w="7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280" w:lineRule="exact"/>
              <w:ind w:left="0" w:right="0"/>
              <w:jc w:val="left"/>
            </w:pPr>
            <w:r>
              <w:rPr>
                <w:rFonts w:hint="eastAsia" w:ascii="宋体" w:hAnsi="宋体" w:eastAsia="宋体" w:cs="宋体"/>
                <w:color w:val="000000"/>
                <w:kern w:val="0"/>
                <w:sz w:val="18"/>
                <w:szCs w:val="18"/>
                <w:lang w:val="en-US" w:eastAsia="zh-CN" w:bidi="ar"/>
              </w:rPr>
              <w:t>225.85　</w:t>
            </w:r>
          </w:p>
        </w:tc>
      </w:tr>
    </w:tbl>
    <w:p>
      <w:pPr>
        <w:keepNext w:val="0"/>
        <w:keepLines w:val="0"/>
        <w:widowControl/>
        <w:suppressLineNumbers w:val="0"/>
        <w:spacing w:before="0" w:beforeAutospacing="1" w:after="0" w:afterAutospacing="1"/>
        <w:ind w:left="0" w:right="0" w:firstLine="0" w:firstLineChars="0"/>
        <w:jc w:val="both"/>
      </w:pPr>
      <w:r>
        <w:rPr>
          <w:rFonts w:hint="default" w:ascii="楷体_GB2312" w:eastAsia="楷体_GB2312" w:cs="楷体_GB2312" w:hAnsiTheme="minorHAnsi"/>
          <w:b w:val="0"/>
          <w:bCs w:val="0"/>
          <w:color w:val="020202"/>
          <w:kern w:val="2"/>
          <w:sz w:val="24"/>
          <w:szCs w:val="24"/>
          <w:lang w:val="en-US" w:eastAsia="zh-CN" w:bidi="ar"/>
        </w:rPr>
        <w:t>注：本表金额转换成万元时，四舍五入可能存在尾差</w:t>
      </w:r>
    </w:p>
    <w:p>
      <w:pPr>
        <w:keepNext w:val="0"/>
        <w:keepLines w:val="0"/>
        <w:widowControl/>
        <w:suppressLineNumbers w:val="0"/>
        <w:spacing w:before="0" w:beforeAutospacing="1" w:after="0" w:afterAutospacing="1"/>
        <w:ind w:left="0" w:right="0"/>
        <w:jc w:val="center"/>
      </w:pPr>
      <w:r>
        <w:rPr>
          <w:rFonts w:hint="eastAsia" w:ascii="黑体" w:hAnsi="宋体" w:eastAsia="黑体" w:cs="Times New Roman"/>
          <w:b/>
          <w:bCs/>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jc w:val="center"/>
      </w:pPr>
      <w:r>
        <w:rPr>
          <w:rFonts w:hint="eastAsia" w:ascii="黑体" w:hAnsi="宋体" w:eastAsia="黑体" w:cs="黑体"/>
          <w:b/>
          <w:bCs/>
          <w:color w:val="020202"/>
          <w:kern w:val="2"/>
          <w:sz w:val="32"/>
          <w:szCs w:val="32"/>
          <w:lang w:val="en-US" w:eastAsia="zh-CN" w:bidi="ar"/>
        </w:rPr>
        <w:t>政府性基金预算财政拨款收入支出决算表</w:t>
      </w:r>
    </w:p>
    <w:p>
      <w:pPr>
        <w:keepNext w:val="0"/>
        <w:keepLines w:val="0"/>
        <w:widowControl/>
        <w:suppressLineNumbers w:val="0"/>
        <w:spacing w:before="0" w:beforeAutospacing="1" w:after="0" w:afterAutospacing="1"/>
        <w:ind w:left="0" w:right="0"/>
        <w:jc w:val="right"/>
      </w:pPr>
      <w:r>
        <w:rPr>
          <w:rFonts w:hint="eastAsia" w:ascii="黑体" w:hAnsi="宋体" w:eastAsia="黑体" w:cs="Times New Roman"/>
          <w:color w:val="020202"/>
          <w:kern w:val="2"/>
          <w:sz w:val="20"/>
          <w:szCs w:val="20"/>
          <w:lang w:val="en-US" w:eastAsia="zh-CN" w:bidi="ar"/>
        </w:rPr>
        <w:t xml:space="preserve">                                                                          </w:t>
      </w:r>
      <w:r>
        <w:rPr>
          <w:rFonts w:hint="eastAsia" w:ascii="宋体" w:hAnsi="宋体" w:eastAsia="宋体" w:cs="宋体"/>
          <w:color w:val="000000"/>
          <w:kern w:val="0"/>
          <w:sz w:val="20"/>
          <w:szCs w:val="20"/>
          <w:lang w:val="en-US" w:eastAsia="zh-CN" w:bidi="ar"/>
        </w:rPr>
        <w:t>公开07表</w:t>
      </w:r>
    </w:p>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0"/>
          <w:szCs w:val="20"/>
          <w:lang w:val="en-US" w:eastAsia="zh-CN" w:bidi="ar"/>
        </w:rPr>
        <w:t>部门：</w:t>
      </w:r>
      <w:r>
        <w:rPr>
          <w:rFonts w:hint="eastAsia" w:ascii="宋体" w:hAnsi="宋体" w:eastAsia="宋体" w:cs="Arial"/>
          <w:color w:val="000000"/>
          <w:kern w:val="0"/>
          <w:sz w:val="20"/>
          <w:szCs w:val="20"/>
          <w:lang w:val="en-US" w:eastAsia="zh-CN" w:bidi="ar"/>
        </w:rPr>
        <w:t xml:space="preserve">                                                                         </w:t>
      </w:r>
      <w:r>
        <w:rPr>
          <w:rFonts w:hint="eastAsia" w:ascii="宋体" w:hAnsi="宋体" w:eastAsia="宋体" w:cs="宋体"/>
          <w:color w:val="000000"/>
          <w:kern w:val="0"/>
          <w:sz w:val="20"/>
          <w:szCs w:val="20"/>
          <w:lang w:val="en-US" w:eastAsia="zh-CN" w:bidi="ar"/>
        </w:rPr>
        <w:t>单位：万元</w:t>
      </w:r>
    </w:p>
    <w:tbl>
      <w:tblPr>
        <w:tblStyle w:val="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430"/>
        <w:gridCol w:w="430"/>
        <w:gridCol w:w="430"/>
        <w:gridCol w:w="540"/>
        <w:gridCol w:w="460"/>
        <w:gridCol w:w="580"/>
        <w:gridCol w:w="640"/>
        <w:gridCol w:w="480"/>
        <w:gridCol w:w="430"/>
        <w:gridCol w:w="430"/>
        <w:gridCol w:w="430"/>
        <w:gridCol w:w="430"/>
        <w:gridCol w:w="430"/>
        <w:gridCol w:w="460"/>
        <w:gridCol w:w="820"/>
        <w:gridCol w:w="880"/>
        <w:gridCol w:w="8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5" w:hRule="atLeast"/>
          <w:jc w:val="center"/>
        </w:trPr>
        <w:tc>
          <w:tcPr>
            <w:tcW w:w="129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kern w:val="0"/>
                <w:sz w:val="22"/>
                <w:szCs w:val="22"/>
                <w:lang w:val="en-US" w:eastAsia="zh-CN" w:bidi="ar"/>
              </w:rPr>
              <w:t>功能分类</w:t>
            </w:r>
          </w:p>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科目编码</w:t>
            </w:r>
          </w:p>
        </w:tc>
        <w:tc>
          <w:tcPr>
            <w:tcW w:w="54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科目名称</w:t>
            </w:r>
          </w:p>
        </w:tc>
        <w:tc>
          <w:tcPr>
            <w:tcW w:w="1680"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年初结转和结余</w:t>
            </w:r>
          </w:p>
        </w:tc>
        <w:tc>
          <w:tcPr>
            <w:tcW w:w="1340"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本年收入</w:t>
            </w:r>
          </w:p>
        </w:tc>
        <w:tc>
          <w:tcPr>
            <w:tcW w:w="1290"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本年支出</w:t>
            </w:r>
          </w:p>
        </w:tc>
        <w:tc>
          <w:tcPr>
            <w:tcW w:w="3040" w:type="dxa"/>
            <w:gridSpan w:val="4"/>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年末结转和结余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15" w:hRule="atLeast"/>
          <w:jc w:val="center"/>
        </w:trPr>
        <w:tc>
          <w:tcPr>
            <w:tcW w:w="12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sz w:val="24"/>
                <w:szCs w:val="24"/>
              </w:rPr>
            </w:pPr>
          </w:p>
        </w:tc>
        <w:tc>
          <w:tcPr>
            <w:tcW w:w="54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6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合计</w:t>
            </w:r>
          </w:p>
        </w:tc>
        <w:tc>
          <w:tcPr>
            <w:tcW w:w="58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基本支出结转</w:t>
            </w:r>
          </w:p>
        </w:tc>
        <w:tc>
          <w:tcPr>
            <w:tcW w:w="64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项目支出结转和结余</w:t>
            </w:r>
          </w:p>
        </w:tc>
        <w:tc>
          <w:tcPr>
            <w:tcW w:w="48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合计</w:t>
            </w:r>
          </w:p>
        </w:tc>
        <w:tc>
          <w:tcPr>
            <w:tcW w:w="43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基本支出</w:t>
            </w:r>
          </w:p>
        </w:tc>
        <w:tc>
          <w:tcPr>
            <w:tcW w:w="43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项目支出</w:t>
            </w:r>
          </w:p>
        </w:tc>
        <w:tc>
          <w:tcPr>
            <w:tcW w:w="43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合计</w:t>
            </w:r>
          </w:p>
        </w:tc>
        <w:tc>
          <w:tcPr>
            <w:tcW w:w="43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基本支出</w:t>
            </w:r>
          </w:p>
        </w:tc>
        <w:tc>
          <w:tcPr>
            <w:tcW w:w="43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项目支出</w:t>
            </w:r>
          </w:p>
        </w:tc>
        <w:tc>
          <w:tcPr>
            <w:tcW w:w="46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合计</w:t>
            </w:r>
          </w:p>
        </w:tc>
        <w:tc>
          <w:tcPr>
            <w:tcW w:w="82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基本支出结转</w:t>
            </w:r>
          </w:p>
        </w:tc>
        <w:tc>
          <w:tcPr>
            <w:tcW w:w="1760"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项目支出结转和结余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08" w:hRule="atLeast"/>
          <w:jc w:val="center"/>
        </w:trPr>
        <w:tc>
          <w:tcPr>
            <w:tcW w:w="12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sz w:val="24"/>
                <w:szCs w:val="24"/>
              </w:rPr>
            </w:pPr>
          </w:p>
        </w:tc>
        <w:tc>
          <w:tcPr>
            <w:tcW w:w="54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60" w:type="dxa"/>
            <w:vMerge w:val="continue"/>
            <w:tcBorders>
              <w:top w:val="nil"/>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580" w:type="dxa"/>
            <w:vMerge w:val="continue"/>
            <w:tcBorders>
              <w:top w:val="nil"/>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640" w:type="dxa"/>
            <w:vMerge w:val="continue"/>
            <w:tcBorders>
              <w:top w:val="nil"/>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80" w:type="dxa"/>
            <w:vMerge w:val="continue"/>
            <w:tcBorders>
              <w:top w:val="nil"/>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3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3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3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3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3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6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82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88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项目支出结转</w:t>
            </w:r>
          </w:p>
        </w:tc>
        <w:tc>
          <w:tcPr>
            <w:tcW w:w="88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项目支出结余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15" w:hRule="atLeast"/>
          <w:jc w:val="center"/>
        </w:trPr>
        <w:tc>
          <w:tcPr>
            <w:tcW w:w="129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sz w:val="24"/>
                <w:szCs w:val="24"/>
              </w:rPr>
            </w:pPr>
          </w:p>
        </w:tc>
        <w:tc>
          <w:tcPr>
            <w:tcW w:w="54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60" w:type="dxa"/>
            <w:vMerge w:val="continue"/>
            <w:tcBorders>
              <w:top w:val="nil"/>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580" w:type="dxa"/>
            <w:vMerge w:val="continue"/>
            <w:tcBorders>
              <w:top w:val="nil"/>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640" w:type="dxa"/>
            <w:vMerge w:val="continue"/>
            <w:tcBorders>
              <w:top w:val="nil"/>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80" w:type="dxa"/>
            <w:vMerge w:val="continue"/>
            <w:tcBorders>
              <w:top w:val="nil"/>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3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3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3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3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3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46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82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880" w:type="dxa"/>
            <w:vMerge w:val="continue"/>
            <w:tcBorders>
              <w:top w:val="nil"/>
              <w:left w:val="nil"/>
              <w:bottom w:val="single" w:color="000000" w:sz="4" w:space="0"/>
              <w:right w:val="single" w:color="000000" w:sz="4" w:space="0"/>
            </w:tcBorders>
            <w:shd w:val="clear" w:color="auto" w:fill="auto"/>
            <w:vAlign w:val="center"/>
          </w:tcPr>
          <w:p>
            <w:pPr>
              <w:rPr>
                <w:rFonts w:hint="eastAsia" w:ascii="宋体"/>
                <w:sz w:val="24"/>
                <w:szCs w:val="24"/>
              </w:rPr>
            </w:pPr>
          </w:p>
        </w:tc>
        <w:tc>
          <w:tcPr>
            <w:tcW w:w="880" w:type="dxa"/>
            <w:vMerge w:val="continue"/>
            <w:tcBorders>
              <w:top w:val="single" w:color="000000" w:sz="4" w:space="0"/>
              <w:left w:val="nil"/>
              <w:bottom w:val="single" w:color="000000" w:sz="4" w:space="0"/>
              <w:right w:val="single" w:color="000000" w:sz="4" w:space="0"/>
            </w:tcBorders>
            <w:shd w:val="clear" w:color="auto" w:fill="auto"/>
            <w:vAlign w:val="center"/>
          </w:tcPr>
          <w:p>
            <w:pPr>
              <w:rPr>
                <w:rFonts w:hint="eastAsia" w:asci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08" w:hRule="atLeast"/>
          <w:jc w:val="center"/>
        </w:trPr>
        <w:tc>
          <w:tcPr>
            <w:tcW w:w="4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0"/>
                <w:sz w:val="22"/>
                <w:szCs w:val="22"/>
                <w:lang w:val="en-US" w:eastAsia="zh-CN" w:bidi="ar"/>
              </w:rPr>
              <w:t>类</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0"/>
                <w:sz w:val="22"/>
                <w:szCs w:val="22"/>
                <w:lang w:val="en-US" w:eastAsia="zh-CN" w:bidi="ar"/>
              </w:rPr>
              <w:t>款</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0"/>
                <w:sz w:val="22"/>
                <w:szCs w:val="22"/>
                <w:lang w:val="en-US" w:eastAsia="zh-CN" w:bidi="ar"/>
              </w:rPr>
              <w:t>项</w:t>
            </w:r>
          </w:p>
        </w:tc>
        <w:tc>
          <w:tcPr>
            <w:tcW w:w="5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Arial"/>
                <w:color w:val="000000"/>
                <w:kern w:val="0"/>
                <w:sz w:val="22"/>
                <w:szCs w:val="22"/>
                <w:lang w:val="en-US" w:eastAsia="zh-CN" w:bidi="ar"/>
              </w:rPr>
              <w:t>合计</w:t>
            </w:r>
          </w:p>
        </w:tc>
        <w:tc>
          <w:tcPr>
            <w:tcW w:w="46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b/>
                <w:bCs/>
                <w:color w:val="000000"/>
                <w:kern w:val="0"/>
                <w:sz w:val="22"/>
                <w:szCs w:val="22"/>
                <w:lang w:val="en-US" w:eastAsia="zh-CN" w:bidi="ar"/>
              </w:rPr>
              <w:t>　</w:t>
            </w:r>
          </w:p>
        </w:tc>
        <w:tc>
          <w:tcPr>
            <w:tcW w:w="5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b/>
                <w:bCs/>
                <w:color w:val="000000"/>
                <w:kern w:val="0"/>
                <w:sz w:val="22"/>
                <w:szCs w:val="22"/>
                <w:lang w:val="en-US" w:eastAsia="zh-CN" w:bidi="ar"/>
              </w:rPr>
              <w:t>　</w:t>
            </w:r>
          </w:p>
        </w:tc>
        <w:tc>
          <w:tcPr>
            <w:tcW w:w="6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b/>
                <w:bCs/>
                <w:color w:val="000000"/>
                <w:kern w:val="0"/>
                <w:sz w:val="22"/>
                <w:szCs w:val="22"/>
                <w:lang w:val="en-US" w:eastAsia="zh-CN" w:bidi="ar"/>
              </w:rPr>
              <w:t>　</w:t>
            </w:r>
          </w:p>
        </w:tc>
        <w:tc>
          <w:tcPr>
            <w:tcW w:w="4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b/>
                <w:bCs/>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b/>
                <w:bCs/>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b/>
                <w:bCs/>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b/>
                <w:bCs/>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b/>
                <w:bCs/>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b/>
                <w:bCs/>
                <w:color w:val="000000"/>
                <w:kern w:val="0"/>
                <w:sz w:val="22"/>
                <w:szCs w:val="22"/>
                <w:lang w:val="en-US" w:eastAsia="zh-CN" w:bidi="ar"/>
              </w:rPr>
              <w:t>　</w:t>
            </w:r>
          </w:p>
        </w:tc>
        <w:tc>
          <w:tcPr>
            <w:tcW w:w="46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b/>
                <w:bCs/>
                <w:color w:val="000000"/>
                <w:kern w:val="0"/>
                <w:sz w:val="22"/>
                <w:szCs w:val="22"/>
                <w:lang w:val="en-US" w:eastAsia="zh-CN" w:bidi="ar"/>
              </w:rPr>
              <w:t>　</w:t>
            </w:r>
          </w:p>
        </w:tc>
        <w:tc>
          <w:tcPr>
            <w:tcW w:w="8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b/>
                <w:bCs/>
                <w:color w:val="000000"/>
                <w:kern w:val="0"/>
                <w:sz w:val="22"/>
                <w:szCs w:val="22"/>
                <w:lang w:val="en-US" w:eastAsia="zh-CN" w:bidi="ar"/>
              </w:rPr>
              <w:t>　</w:t>
            </w:r>
          </w:p>
        </w:tc>
        <w:tc>
          <w:tcPr>
            <w:tcW w:w="8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b/>
                <w:bCs/>
                <w:color w:val="000000"/>
                <w:kern w:val="0"/>
                <w:sz w:val="22"/>
                <w:szCs w:val="22"/>
                <w:lang w:val="en-US" w:eastAsia="zh-CN" w:bidi="ar"/>
              </w:rPr>
              <w:t>　</w:t>
            </w:r>
          </w:p>
        </w:tc>
        <w:tc>
          <w:tcPr>
            <w:tcW w:w="8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b/>
                <w:bCs/>
                <w:color w:val="000000"/>
                <w:kern w:val="0"/>
                <w:sz w:val="22"/>
                <w:szCs w:val="22"/>
                <w:lang w:val="en-US" w:eastAsia="zh-CN" w:bidi="ar"/>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0" w:hRule="atLeast"/>
          <w:jc w:val="center"/>
        </w:trPr>
        <w:tc>
          <w:tcPr>
            <w:tcW w:w="12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0"/>
                <w:sz w:val="22"/>
                <w:szCs w:val="22"/>
                <w:lang w:val="en-US" w:eastAsia="zh-CN" w:bidi="ar"/>
              </w:rPr>
              <w:t>　</w:t>
            </w:r>
          </w:p>
        </w:tc>
        <w:tc>
          <w:tcPr>
            <w:tcW w:w="5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0"/>
                <w:sz w:val="22"/>
                <w:szCs w:val="22"/>
                <w:lang w:val="en-US" w:eastAsia="zh-CN" w:bidi="ar"/>
              </w:rPr>
              <w:t>　</w:t>
            </w:r>
          </w:p>
        </w:tc>
        <w:tc>
          <w:tcPr>
            <w:tcW w:w="46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5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6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6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8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8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8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0" w:hRule="atLeast"/>
          <w:jc w:val="center"/>
        </w:trPr>
        <w:tc>
          <w:tcPr>
            <w:tcW w:w="12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0"/>
                <w:sz w:val="22"/>
                <w:szCs w:val="22"/>
                <w:lang w:val="en-US" w:eastAsia="zh-CN" w:bidi="ar"/>
              </w:rPr>
              <w:t>　</w:t>
            </w:r>
          </w:p>
        </w:tc>
        <w:tc>
          <w:tcPr>
            <w:tcW w:w="5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0"/>
                <w:sz w:val="22"/>
                <w:szCs w:val="22"/>
                <w:lang w:val="en-US" w:eastAsia="zh-CN" w:bidi="ar"/>
              </w:rPr>
              <w:t>　</w:t>
            </w:r>
          </w:p>
        </w:tc>
        <w:tc>
          <w:tcPr>
            <w:tcW w:w="46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5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6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6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8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8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8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9" w:hRule="atLeast"/>
          <w:jc w:val="center"/>
        </w:trPr>
        <w:tc>
          <w:tcPr>
            <w:tcW w:w="12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0"/>
                <w:sz w:val="22"/>
                <w:szCs w:val="22"/>
                <w:lang w:val="en-US" w:eastAsia="zh-CN" w:bidi="ar"/>
              </w:rPr>
              <w:t>　</w:t>
            </w:r>
          </w:p>
        </w:tc>
        <w:tc>
          <w:tcPr>
            <w:tcW w:w="5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Arial"/>
                <w:color w:val="000000"/>
                <w:kern w:val="0"/>
                <w:sz w:val="22"/>
                <w:szCs w:val="22"/>
                <w:lang w:val="en-US" w:eastAsia="zh-CN" w:bidi="ar"/>
              </w:rPr>
              <w:t>　</w:t>
            </w:r>
          </w:p>
        </w:tc>
        <w:tc>
          <w:tcPr>
            <w:tcW w:w="46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5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6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46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8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8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c>
          <w:tcPr>
            <w:tcW w:w="88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1" w:after="0" w:afterAutospacing="1"/>
              <w:ind w:left="0" w:right="0"/>
              <w:jc w:val="right"/>
            </w:pPr>
            <w:r>
              <w:rPr>
                <w:rFonts w:hint="eastAsia" w:ascii="宋体" w:hAnsi="宋体" w:eastAsia="宋体" w:cs="Arial"/>
                <w:color w:val="000000"/>
                <w:kern w:val="0"/>
                <w:sz w:val="22"/>
                <w:szCs w:val="22"/>
                <w:lang w:val="en-US" w:eastAsia="zh-CN" w:bidi="ar"/>
              </w:rPr>
              <w:t>　</w:t>
            </w:r>
          </w:p>
        </w:tc>
      </w:tr>
    </w:tbl>
    <w:p>
      <w:pPr>
        <w:keepNext w:val="0"/>
        <w:keepLines w:val="0"/>
        <w:widowControl/>
        <w:suppressLineNumbers w:val="0"/>
        <w:spacing w:before="0" w:beforeAutospacing="1" w:after="0" w:afterAutospacing="1"/>
        <w:ind w:left="0" w:right="0" w:firstLine="0" w:firstLineChars="0"/>
        <w:jc w:val="both"/>
      </w:pPr>
      <w:r>
        <w:rPr>
          <w:rFonts w:hint="default" w:ascii="楷体_GB2312" w:eastAsia="楷体_GB2312" w:cs="楷体_GB2312" w:hAnsiTheme="minorHAnsi"/>
          <w:b w:val="0"/>
          <w:bCs w:val="0"/>
          <w:color w:val="020202"/>
          <w:kern w:val="2"/>
          <w:sz w:val="24"/>
          <w:szCs w:val="24"/>
          <w:lang w:val="en-US" w:eastAsia="zh-CN" w:bidi="ar"/>
        </w:rPr>
        <w:t>注：本表金额转换成万元时，四舍五入可能存在尾差</w:t>
      </w:r>
    </w:p>
    <w:p>
      <w:pPr>
        <w:keepNext w:val="0"/>
        <w:keepLines w:val="0"/>
        <w:widowControl/>
        <w:suppressLineNumbers w:val="0"/>
        <w:spacing w:before="0" w:beforeAutospacing="1" w:after="0" w:afterAutospacing="1"/>
        <w:ind w:left="0" w:right="0" w:firstLine="600" w:firstLineChars="200"/>
        <w:jc w:val="left"/>
      </w:pPr>
      <w:r>
        <w:rPr>
          <w:rFonts w:hint="eastAsia" w:ascii="黑体" w:hAnsi="宋体" w:eastAsia="黑体" w:cs="黑体"/>
          <w:color w:val="020202"/>
          <w:kern w:val="2"/>
          <w:sz w:val="30"/>
          <w:szCs w:val="30"/>
          <w:lang w:val="en-US" w:eastAsia="zh-CN" w:bidi="ar"/>
        </w:rPr>
        <w:t>我单位2020年度无政府性基金收入，也无政府性基金支出，固本表无数据。</w:t>
      </w:r>
    </w:p>
    <w:p>
      <w:pPr>
        <w:keepNext w:val="0"/>
        <w:keepLines w:val="0"/>
        <w:widowControl/>
        <w:suppressLineNumbers w:val="0"/>
        <w:spacing w:before="0" w:beforeAutospacing="1" w:after="0" w:afterAutospacing="1"/>
        <w:ind w:left="0" w:right="0"/>
        <w:jc w:val="center"/>
      </w:pPr>
      <w:r>
        <w:rPr>
          <w:rFonts w:hint="eastAsia" w:ascii="黑体" w:hAnsi="宋体" w:eastAsia="黑体"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0" w:right="0"/>
        <w:jc w:val="center"/>
      </w:pPr>
      <w:r>
        <w:rPr>
          <w:rFonts w:hint="eastAsia" w:ascii="黑体" w:hAnsi="宋体" w:eastAsia="黑体" w:cs="黑体"/>
          <w:color w:val="020202"/>
          <w:kern w:val="2"/>
          <w:sz w:val="32"/>
          <w:szCs w:val="32"/>
          <w:lang w:val="en-US" w:eastAsia="zh-CN" w:bidi="ar"/>
        </w:rPr>
        <w:t>国有资本经营预算财政拨款支出决算表</w:t>
      </w:r>
    </w:p>
    <w:p>
      <w:pPr>
        <w:keepNext w:val="0"/>
        <w:keepLines w:val="0"/>
        <w:widowControl/>
        <w:suppressLineNumbers w:val="0"/>
        <w:spacing w:before="0" w:beforeAutospacing="1" w:after="0" w:afterAutospacing="1"/>
        <w:ind w:left="0" w:right="0"/>
        <w:jc w:val="right"/>
      </w:pPr>
      <w:r>
        <w:rPr>
          <w:rFonts w:hint="eastAsia" w:ascii="宋体" w:hAnsi="宋体" w:eastAsia="宋体" w:cs="宋体"/>
          <w:color w:val="000000"/>
          <w:kern w:val="0"/>
          <w:sz w:val="22"/>
          <w:szCs w:val="22"/>
          <w:lang w:val="en-US" w:eastAsia="zh-CN" w:bidi="ar"/>
        </w:rPr>
        <w:t>公开08表</w:t>
      </w:r>
    </w:p>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00000"/>
          <w:kern w:val="0"/>
          <w:sz w:val="22"/>
          <w:szCs w:val="22"/>
          <w:lang w:val="en-US" w:eastAsia="zh-CN" w:bidi="ar"/>
        </w:rPr>
        <w:t>部门：</w:t>
      </w:r>
      <w:r>
        <w:rPr>
          <w:rFonts w:hint="eastAsia" w:ascii="宋体" w:hAnsi="宋体" w:eastAsia="宋体" w:cs="Arial"/>
          <w:color w:val="000000"/>
          <w:kern w:val="0"/>
          <w:sz w:val="22"/>
          <w:szCs w:val="22"/>
          <w:lang w:val="en-US" w:eastAsia="zh-CN" w:bidi="ar"/>
        </w:rPr>
        <w:t xml:space="preserve">                                                             </w:t>
      </w:r>
      <w:r>
        <w:rPr>
          <w:rFonts w:hint="eastAsia" w:ascii="宋体" w:hAnsi="宋体" w:eastAsia="宋体" w:cs="宋体"/>
          <w:color w:val="000000"/>
          <w:kern w:val="0"/>
          <w:sz w:val="22"/>
          <w:szCs w:val="22"/>
          <w:lang w:val="en-US" w:eastAsia="zh-CN" w:bidi="ar"/>
        </w:rPr>
        <w:t>金额单位：万元</w:t>
      </w:r>
    </w:p>
    <w:tbl>
      <w:tblPr>
        <w:tblStyle w:val="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08" w:type="dxa"/>
          <w:bottom w:w="15" w:type="dxa"/>
          <w:right w:w="108" w:type="dxa"/>
        </w:tblCellMar>
      </w:tblPr>
      <w:tblGrid>
        <w:gridCol w:w="627"/>
        <w:gridCol w:w="626"/>
        <w:gridCol w:w="628"/>
        <w:gridCol w:w="1558"/>
        <w:gridCol w:w="1369"/>
        <w:gridCol w:w="2396"/>
        <w:gridCol w:w="23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649" w:hRule="atLeast"/>
          <w:jc w:val="center"/>
        </w:trPr>
        <w:tc>
          <w:tcPr>
            <w:tcW w:w="1881"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功能分类</w:t>
            </w:r>
          </w:p>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科目编码</w:t>
            </w:r>
          </w:p>
        </w:tc>
        <w:tc>
          <w:tcPr>
            <w:tcW w:w="1558"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科目名称</w:t>
            </w:r>
          </w:p>
        </w:tc>
        <w:tc>
          <w:tcPr>
            <w:tcW w:w="6161"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本年支出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12" w:hRule="atLeast"/>
          <w:jc w:val="center"/>
        </w:trPr>
        <w:tc>
          <w:tcPr>
            <w:tcW w:w="1881" w:type="dxa"/>
            <w:gridSpan w:val="3"/>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sz w:val="24"/>
                <w:szCs w:val="24"/>
              </w:rPr>
            </w:pPr>
          </w:p>
        </w:tc>
        <w:tc>
          <w:tcPr>
            <w:tcW w:w="1558"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1369" w:type="dxa"/>
            <w:vMerge w:val="restart"/>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合计</w:t>
            </w:r>
          </w:p>
        </w:tc>
        <w:tc>
          <w:tcPr>
            <w:tcW w:w="2396"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基本支出</w:t>
            </w:r>
          </w:p>
        </w:tc>
        <w:tc>
          <w:tcPr>
            <w:tcW w:w="2396"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12" w:hRule="atLeast"/>
          <w:jc w:val="center"/>
        </w:trPr>
        <w:tc>
          <w:tcPr>
            <w:tcW w:w="1881" w:type="dxa"/>
            <w:gridSpan w:val="3"/>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sz w:val="24"/>
                <w:szCs w:val="24"/>
              </w:rPr>
            </w:pPr>
          </w:p>
        </w:tc>
        <w:tc>
          <w:tcPr>
            <w:tcW w:w="1558"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1369" w:type="dxa"/>
            <w:vMerge w:val="continue"/>
            <w:tcBorders>
              <w:top w:val="nil"/>
              <w:left w:val="nil"/>
              <w:bottom w:val="single" w:color="auto" w:sz="4" w:space="0"/>
              <w:right w:val="single" w:color="auto" w:sz="4" w:space="0"/>
            </w:tcBorders>
            <w:shd w:val="clear" w:color="auto" w:fill="auto"/>
            <w:vAlign w:val="center"/>
          </w:tcPr>
          <w:p>
            <w:pPr>
              <w:rPr>
                <w:rFonts w:hint="eastAsia" w:ascii="宋体"/>
                <w:sz w:val="24"/>
                <w:szCs w:val="24"/>
              </w:rPr>
            </w:pPr>
          </w:p>
        </w:tc>
        <w:tc>
          <w:tcPr>
            <w:tcW w:w="2396"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2396"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391" w:hRule="atLeast"/>
          <w:jc w:val="center"/>
        </w:trPr>
        <w:tc>
          <w:tcPr>
            <w:tcW w:w="1881" w:type="dxa"/>
            <w:gridSpan w:val="3"/>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sz w:val="24"/>
                <w:szCs w:val="24"/>
              </w:rPr>
            </w:pPr>
          </w:p>
        </w:tc>
        <w:tc>
          <w:tcPr>
            <w:tcW w:w="1558"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1369" w:type="dxa"/>
            <w:vMerge w:val="continue"/>
            <w:tcBorders>
              <w:top w:val="nil"/>
              <w:left w:val="nil"/>
              <w:bottom w:val="single" w:color="auto" w:sz="4" w:space="0"/>
              <w:right w:val="single" w:color="auto" w:sz="4" w:space="0"/>
            </w:tcBorders>
            <w:shd w:val="clear" w:color="auto" w:fill="auto"/>
            <w:vAlign w:val="center"/>
          </w:tcPr>
          <w:p>
            <w:pPr>
              <w:rPr>
                <w:rFonts w:hint="eastAsia" w:ascii="宋体"/>
                <w:sz w:val="24"/>
                <w:szCs w:val="24"/>
              </w:rPr>
            </w:pPr>
          </w:p>
        </w:tc>
        <w:tc>
          <w:tcPr>
            <w:tcW w:w="2396"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c>
          <w:tcPr>
            <w:tcW w:w="2396" w:type="dxa"/>
            <w:vMerge w:val="continue"/>
            <w:tcBorders>
              <w:top w:val="single" w:color="auto" w:sz="4" w:space="0"/>
              <w:left w:val="nil"/>
              <w:bottom w:val="single" w:color="auto" w:sz="4" w:space="0"/>
              <w:right w:val="single" w:color="auto" w:sz="4" w:space="0"/>
            </w:tcBorders>
            <w:shd w:val="clear" w:color="auto" w:fill="auto"/>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64" w:hRule="atLeast"/>
          <w:jc w:val="center"/>
        </w:trPr>
        <w:tc>
          <w:tcPr>
            <w:tcW w:w="6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类</w:t>
            </w:r>
          </w:p>
        </w:tc>
        <w:tc>
          <w:tcPr>
            <w:tcW w:w="62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款</w:t>
            </w:r>
          </w:p>
        </w:tc>
        <w:tc>
          <w:tcPr>
            <w:tcW w:w="62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项</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合计</w:t>
            </w:r>
          </w:p>
        </w:tc>
        <w:tc>
          <w:tcPr>
            <w:tcW w:w="136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 </w:t>
            </w:r>
          </w:p>
        </w:tc>
        <w:tc>
          <w:tcPr>
            <w:tcW w:w="23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 </w:t>
            </w:r>
          </w:p>
        </w:tc>
        <w:tc>
          <w:tcPr>
            <w:tcW w:w="23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533" w:hRule="atLeast"/>
          <w:jc w:val="center"/>
        </w:trPr>
        <w:tc>
          <w:tcPr>
            <w:tcW w:w="188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 </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 </w:t>
            </w:r>
          </w:p>
        </w:tc>
        <w:tc>
          <w:tcPr>
            <w:tcW w:w="136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 </w:t>
            </w:r>
          </w:p>
        </w:tc>
        <w:tc>
          <w:tcPr>
            <w:tcW w:w="23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 </w:t>
            </w:r>
          </w:p>
        </w:tc>
        <w:tc>
          <w:tcPr>
            <w:tcW w:w="23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08" w:type="dxa"/>
            <w:bottom w:w="15" w:type="dxa"/>
            <w:right w:w="108" w:type="dxa"/>
          </w:tblCellMar>
        </w:tblPrEx>
        <w:trPr>
          <w:trHeight w:val="671" w:hRule="atLeast"/>
          <w:jc w:val="center"/>
        </w:trPr>
        <w:tc>
          <w:tcPr>
            <w:tcW w:w="188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 </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 </w:t>
            </w:r>
          </w:p>
        </w:tc>
        <w:tc>
          <w:tcPr>
            <w:tcW w:w="136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 </w:t>
            </w:r>
          </w:p>
        </w:tc>
        <w:tc>
          <w:tcPr>
            <w:tcW w:w="23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 </w:t>
            </w:r>
          </w:p>
        </w:tc>
        <w:tc>
          <w:tcPr>
            <w:tcW w:w="239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line="320" w:lineRule="exact"/>
              <w:ind w:left="0" w:right="0"/>
              <w:jc w:val="center"/>
            </w:pPr>
            <w:r>
              <w:rPr>
                <w:rFonts w:hint="eastAsia" w:ascii="宋体" w:hAnsi="宋体" w:eastAsia="宋体" w:cs="Arial"/>
                <w:color w:val="000000"/>
                <w:kern w:val="0"/>
                <w:sz w:val="22"/>
                <w:szCs w:val="22"/>
                <w:lang w:val="en-US" w:eastAsia="zh-CN" w:bidi="ar"/>
              </w:rPr>
              <w:t> </w:t>
            </w:r>
          </w:p>
        </w:tc>
      </w:tr>
    </w:tbl>
    <w:p>
      <w:pPr>
        <w:keepNext w:val="0"/>
        <w:keepLines w:val="0"/>
        <w:widowControl/>
        <w:suppressLineNumbers w:val="0"/>
        <w:spacing w:before="0" w:beforeAutospacing="1" w:after="0" w:afterAutospacing="1"/>
        <w:ind w:left="0" w:right="0" w:firstLine="0" w:firstLineChars="0"/>
        <w:jc w:val="both"/>
      </w:pPr>
      <w:r>
        <w:rPr>
          <w:rFonts w:hint="default" w:ascii="楷体_GB2312" w:eastAsia="楷体_GB2312" w:cs="楷体_GB2312" w:hAnsiTheme="minorHAnsi"/>
          <w:b w:val="0"/>
          <w:bCs w:val="0"/>
          <w:color w:val="020202"/>
          <w:kern w:val="2"/>
          <w:sz w:val="24"/>
          <w:szCs w:val="24"/>
          <w:lang w:val="en-US" w:eastAsia="zh-CN" w:bidi="ar"/>
        </w:rPr>
        <w:t>注：本表金额转换成万元时，四舍五入可能存在尾差</w:t>
      </w:r>
    </w:p>
    <w:p>
      <w:pPr>
        <w:keepNext w:val="0"/>
        <w:keepLines w:val="0"/>
        <w:widowControl/>
        <w:suppressLineNumbers w:val="0"/>
        <w:spacing w:before="0" w:beforeAutospacing="1" w:after="0" w:afterAutospacing="1" w:line="600" w:lineRule="exact"/>
        <w:ind w:left="0" w:right="0"/>
        <w:jc w:val="both"/>
      </w:pPr>
      <w:r>
        <w:rPr>
          <w:rFonts w:hint="eastAsia" w:ascii="黑体" w:hAnsi="宋体" w:eastAsia="黑体" w:cs="黑体"/>
          <w:color w:val="020202"/>
          <w:kern w:val="2"/>
          <w:sz w:val="30"/>
          <w:szCs w:val="30"/>
          <w:lang w:val="en-US" w:eastAsia="zh-CN" w:bidi="ar"/>
        </w:rPr>
        <w:t>我单位2020年度无国有资本经营预算财政拨款支出，固本表无数据。</w:t>
      </w:r>
    </w:p>
    <w:p>
      <w:pPr>
        <w:keepNext w:val="0"/>
        <w:keepLines w:val="0"/>
        <w:widowControl/>
        <w:suppressLineNumbers w:val="0"/>
        <w:spacing w:before="0" w:beforeAutospacing="1" w:after="0" w:afterAutospacing="1" w:line="600" w:lineRule="exact"/>
        <w:ind w:left="0" w:right="0" w:firstLine="640" w:firstLineChars="200"/>
        <w:jc w:val="left"/>
      </w:pPr>
      <w:r>
        <w:rPr>
          <w:rFonts w:hint="eastAsia" w:ascii="黑体" w:hAnsi="宋体" w:eastAsia="黑体" w:cs="黑体"/>
          <w:color w:val="020202"/>
          <w:kern w:val="2"/>
          <w:sz w:val="32"/>
          <w:szCs w:val="32"/>
          <w:lang w:val="en-US" w:eastAsia="zh-CN" w:bidi="ar"/>
        </w:rPr>
        <w:t xml:space="preserve"> </w:t>
      </w:r>
    </w:p>
    <w:p>
      <w:pPr>
        <w:keepNext w:val="0"/>
        <w:keepLines w:val="0"/>
        <w:widowControl/>
        <w:suppressLineNumbers w:val="0"/>
        <w:spacing w:before="0" w:beforeAutospacing="1" w:after="0" w:afterAutospacing="1" w:line="600" w:lineRule="exact"/>
        <w:ind w:left="0" w:right="0" w:firstLine="640" w:firstLineChars="200"/>
        <w:jc w:val="left"/>
      </w:pPr>
      <w:r>
        <w:rPr>
          <w:rFonts w:hint="eastAsia" w:ascii="黑体" w:hAnsi="宋体" w:eastAsia="黑体" w:cs="黑体"/>
          <w:color w:val="020202"/>
          <w:kern w:val="2"/>
          <w:sz w:val="32"/>
          <w:szCs w:val="32"/>
          <w:lang w:val="en-US" w:eastAsia="zh-CN" w:bidi="ar"/>
        </w:rPr>
        <w:t xml:space="preserve"> </w:t>
      </w:r>
    </w:p>
    <w:p>
      <w:pPr>
        <w:keepNext w:val="0"/>
        <w:keepLines w:val="0"/>
        <w:widowControl/>
        <w:suppressLineNumbers w:val="0"/>
        <w:spacing w:before="0" w:beforeAutospacing="1" w:after="0" w:afterAutospacing="1" w:line="600" w:lineRule="exact"/>
        <w:ind w:left="0" w:right="0" w:firstLine="640" w:firstLineChars="200"/>
        <w:jc w:val="left"/>
      </w:pPr>
      <w:r>
        <w:rPr>
          <w:rFonts w:hint="eastAsia" w:ascii="黑体" w:hAnsi="宋体" w:eastAsia="黑体" w:cs="黑体"/>
          <w:color w:val="020202"/>
          <w:kern w:val="2"/>
          <w:sz w:val="32"/>
          <w:szCs w:val="32"/>
          <w:lang w:val="en-US" w:eastAsia="zh-CN" w:bidi="ar"/>
        </w:rPr>
        <w:t>第三部分  铜官区西湖镇2020年度部门决算情况说明</w:t>
      </w:r>
    </w:p>
    <w:p>
      <w:pPr>
        <w:keepNext w:val="0"/>
        <w:keepLines w:val="0"/>
        <w:widowControl/>
        <w:suppressLineNumbers w:val="0"/>
        <w:spacing w:before="0" w:beforeAutospacing="1" w:after="0" w:afterAutospacing="1" w:line="600" w:lineRule="exact"/>
        <w:ind w:left="0" w:right="0" w:firstLine="640" w:firstLineChars="200"/>
        <w:jc w:val="left"/>
      </w:pPr>
      <w:r>
        <w:rPr>
          <w:rFonts w:hint="eastAsia" w:ascii="黑体" w:hAnsi="宋体" w:eastAsia="黑体" w:cs="黑体"/>
          <w:color w:val="020202"/>
          <w:kern w:val="2"/>
          <w:sz w:val="32"/>
          <w:szCs w:val="32"/>
          <w:lang w:val="en-US" w:eastAsia="zh-CN" w:bidi="ar"/>
        </w:rPr>
        <w:t>一、收入支出决算总体情况说明（依据决算公开表01表）</w:t>
      </w:r>
    </w:p>
    <w:p>
      <w:pPr>
        <w:keepNext w:val="0"/>
        <w:keepLines w:val="0"/>
        <w:widowControl/>
        <w:suppressLineNumbers w:val="0"/>
        <w:spacing w:before="0" w:beforeAutospacing="1" w:after="0" w:afterAutospacing="1" w:line="600" w:lineRule="exact"/>
        <w:ind w:left="0" w:right="0" w:firstLine="640" w:firstLineChars="200"/>
        <w:jc w:val="left"/>
      </w:pPr>
      <w:r>
        <w:rPr>
          <w:rFonts w:hint="default" w:ascii="仿宋_GB2312" w:eastAsia="仿宋_GB2312" w:cs="仿宋_GB2312" w:hAnsiTheme="minorHAnsi"/>
          <w:color w:val="020202"/>
          <w:kern w:val="2"/>
          <w:sz w:val="32"/>
          <w:szCs w:val="32"/>
          <w:lang w:val="en-US" w:eastAsia="zh-CN" w:bidi="ar"/>
        </w:rPr>
        <w:t>2020年度收入总计6312.8万元（含使用非财政拨款结转结余和年初结转结余）、支出总计6312.8万元（含结余分配和年末结转结余）。与2019年相比，收、支总计各增加1571.91万元，增长33.2%，主要原因：一是招商引资力度加大，创收企业入驻；二是经济发展增快，税收增加。</w:t>
      </w:r>
    </w:p>
    <w:p>
      <w:pPr>
        <w:keepNext w:val="0"/>
        <w:keepLines w:val="0"/>
        <w:widowControl/>
        <w:suppressLineNumbers w:val="0"/>
        <w:spacing w:before="0" w:beforeAutospacing="1" w:after="0" w:afterAutospacing="1" w:line="600" w:lineRule="exact"/>
        <w:ind w:left="0" w:right="0" w:firstLine="640" w:firstLineChars="200"/>
        <w:jc w:val="left"/>
      </w:pPr>
      <w:r>
        <w:rPr>
          <w:rFonts w:hint="eastAsia" w:ascii="黑体" w:hAnsi="宋体" w:eastAsia="黑体" w:cs="黑体"/>
          <w:color w:val="020202"/>
          <w:kern w:val="2"/>
          <w:sz w:val="32"/>
          <w:szCs w:val="32"/>
          <w:lang w:val="en-US" w:eastAsia="zh-CN" w:bidi="ar"/>
        </w:rPr>
        <w:t>二、收入决算情况说明（依据决算公开表02表）</w:t>
      </w:r>
    </w:p>
    <w:p>
      <w:pPr>
        <w:keepNext w:val="0"/>
        <w:keepLines w:val="0"/>
        <w:widowControl/>
        <w:suppressLineNumbers w:val="0"/>
        <w:spacing w:before="0" w:beforeAutospacing="1" w:after="0" w:afterAutospacing="1" w:line="600" w:lineRule="exact"/>
        <w:ind w:left="0" w:right="0" w:firstLine="640" w:firstLineChars="200"/>
        <w:jc w:val="left"/>
      </w:pPr>
      <w:r>
        <w:rPr>
          <w:rFonts w:hint="default" w:ascii="仿宋_GB2312" w:eastAsia="仿宋_GB2312" w:cs="仿宋_GB2312" w:hAnsiTheme="minorHAnsi"/>
          <w:color w:val="020202"/>
          <w:kern w:val="2"/>
          <w:sz w:val="32"/>
          <w:szCs w:val="32"/>
          <w:lang w:val="en-US" w:eastAsia="zh-CN" w:bidi="ar"/>
        </w:rPr>
        <w:t>2020年度收入合计6211.7万元，其中：财政拨款收入4021.04万元，占64.7%；事业收入0万元，占0%；经营收入0万元，占0%；其他收入2190.66万元，占35.3%。</w:t>
      </w:r>
    </w:p>
    <w:p>
      <w:pPr>
        <w:keepNext w:val="0"/>
        <w:keepLines w:val="0"/>
        <w:widowControl/>
        <w:suppressLineNumbers w:val="0"/>
        <w:spacing w:before="0" w:beforeAutospacing="1" w:after="0" w:afterAutospacing="1" w:line="600" w:lineRule="exact"/>
        <w:ind w:left="0" w:right="0" w:firstLine="640" w:firstLineChars="200"/>
        <w:jc w:val="left"/>
      </w:pPr>
      <w:r>
        <w:rPr>
          <w:rFonts w:hint="eastAsia" w:ascii="黑体" w:hAnsi="宋体" w:eastAsia="黑体" w:cs="黑体"/>
          <w:color w:val="020202"/>
          <w:kern w:val="2"/>
          <w:sz w:val="32"/>
          <w:szCs w:val="32"/>
          <w:lang w:val="en-US" w:eastAsia="zh-CN" w:bidi="ar"/>
        </w:rPr>
        <w:t>三、支出决算情况说明（依据决算公开表03表）</w:t>
      </w:r>
    </w:p>
    <w:p>
      <w:pPr>
        <w:keepNext w:val="0"/>
        <w:keepLines w:val="0"/>
        <w:widowControl/>
        <w:suppressLineNumbers w:val="0"/>
        <w:spacing w:before="0" w:beforeAutospacing="1" w:after="0" w:afterAutospacing="1" w:line="600" w:lineRule="exact"/>
        <w:ind w:left="0" w:right="0" w:firstLine="640" w:firstLineChars="200"/>
        <w:jc w:val="left"/>
      </w:pPr>
      <w:r>
        <w:rPr>
          <w:rFonts w:hint="default" w:ascii="仿宋_GB2312" w:eastAsia="仿宋_GB2312" w:cs="仿宋_GB2312" w:hAnsiTheme="minorHAnsi"/>
          <w:color w:val="020202"/>
          <w:kern w:val="2"/>
          <w:sz w:val="32"/>
          <w:szCs w:val="32"/>
          <w:lang w:val="en-US" w:eastAsia="zh-CN" w:bidi="ar"/>
        </w:rPr>
        <w:t>2020年度支出合计6272.56万元，其中：基本支出4180.73万元，占66.7%；项目支出2091.83万元，占33.3%；经营支出0万元，占0%。</w:t>
      </w:r>
    </w:p>
    <w:p>
      <w:pPr>
        <w:keepNext w:val="0"/>
        <w:keepLines w:val="0"/>
        <w:widowControl/>
        <w:suppressLineNumbers w:val="0"/>
        <w:spacing w:before="0" w:beforeAutospacing="1" w:after="0" w:afterAutospacing="1" w:line="600" w:lineRule="exact"/>
        <w:ind w:left="0" w:right="0" w:firstLine="640" w:firstLineChars="200"/>
        <w:jc w:val="left"/>
      </w:pPr>
      <w:r>
        <w:rPr>
          <w:rFonts w:hint="eastAsia" w:ascii="黑体" w:hAnsi="宋体" w:eastAsia="黑体" w:cs="黑体"/>
          <w:color w:val="020202"/>
          <w:kern w:val="2"/>
          <w:sz w:val="32"/>
          <w:szCs w:val="32"/>
          <w:lang w:val="en-US" w:eastAsia="zh-CN" w:bidi="ar"/>
        </w:rPr>
        <w:t>四、财政拨款收入支出决算总体情况说明（依据决算公开表04表）</w:t>
      </w:r>
    </w:p>
    <w:p>
      <w:pPr>
        <w:keepNext w:val="0"/>
        <w:keepLines w:val="0"/>
        <w:widowControl/>
        <w:suppressLineNumbers w:val="0"/>
        <w:spacing w:before="0" w:beforeAutospacing="1" w:after="0" w:afterAutospacing="1" w:line="600" w:lineRule="exact"/>
        <w:ind w:left="0" w:right="0" w:firstLine="640" w:firstLineChars="200"/>
        <w:jc w:val="left"/>
      </w:pPr>
      <w:r>
        <w:rPr>
          <w:rFonts w:hint="default" w:ascii="仿宋_GB2312" w:eastAsia="仿宋_GB2312" w:cs="仿宋_GB2312" w:hAnsiTheme="minorHAnsi"/>
          <w:color w:val="020202"/>
          <w:kern w:val="2"/>
          <w:sz w:val="32"/>
          <w:szCs w:val="32"/>
          <w:lang w:val="en-US" w:eastAsia="zh-CN" w:bidi="ar"/>
        </w:rPr>
        <w:t>2020年度财政拨款收入总计4122.14万元（含年初财政拨款结转结余），支出总计4122.14万元（含年末财政拨款结转和结余）。与2019年相比，财政拨款收、支总计各减少371.23万元，下降8.3%，</w:t>
      </w:r>
      <w:r>
        <w:rPr>
          <w:rFonts w:hint="default" w:ascii="仿宋_GB2312" w:hAnsi="仿宋" w:eastAsia="仿宋_GB2312" w:cs="仿宋_GB2312"/>
          <w:color w:val="020202"/>
          <w:kern w:val="2"/>
          <w:sz w:val="32"/>
          <w:szCs w:val="32"/>
          <w:lang w:val="en-US" w:eastAsia="zh-CN" w:bidi="ar"/>
        </w:rPr>
        <w:t>主要原因：厉行节俭，压缩不必要支出</w:t>
      </w:r>
      <w:r>
        <w:rPr>
          <w:rFonts w:hint="default" w:ascii="仿宋_GB2312" w:eastAsia="仿宋_GB2312" w:cs="仿宋_GB2312" w:hAnsiTheme="minorHAnsi"/>
          <w:color w:val="000000"/>
          <w:kern w:val="2"/>
          <w:sz w:val="32"/>
          <w:szCs w:val="32"/>
          <w:lang w:val="en-US" w:eastAsia="zh-CN" w:bidi="ar"/>
        </w:rPr>
        <w:t>。</w:t>
      </w:r>
    </w:p>
    <w:p>
      <w:pPr>
        <w:keepNext w:val="0"/>
        <w:keepLines w:val="0"/>
        <w:widowControl/>
        <w:suppressLineNumbers w:val="0"/>
        <w:spacing w:before="0" w:beforeAutospacing="1" w:after="0" w:afterAutospacing="1"/>
        <w:ind w:left="0" w:right="0" w:firstLine="640" w:firstLineChars="200"/>
        <w:jc w:val="left"/>
      </w:pPr>
      <w:r>
        <w:rPr>
          <w:rFonts w:hint="eastAsia" w:ascii="黑体" w:hAnsi="宋体" w:eastAsia="黑体" w:cs="黑体"/>
          <w:color w:val="020202"/>
          <w:kern w:val="2"/>
          <w:sz w:val="32"/>
          <w:szCs w:val="32"/>
          <w:lang w:val="en-US" w:eastAsia="zh-CN" w:bidi="ar"/>
        </w:rPr>
        <w:t>五、一般公共预算财政拨款支出决算情况说明（依据决算公开表05表）</w:t>
      </w:r>
    </w:p>
    <w:p>
      <w:pPr>
        <w:keepNext w:val="0"/>
        <w:keepLines w:val="0"/>
        <w:widowControl/>
        <w:suppressLineNumbers w:val="0"/>
        <w:spacing w:before="0" w:beforeAutospacing="1" w:after="0" w:afterAutospacing="1" w:line="600" w:lineRule="exact"/>
        <w:ind w:left="0" w:right="0" w:firstLine="643" w:firstLineChars="200"/>
        <w:jc w:val="left"/>
      </w:pPr>
      <w:r>
        <w:rPr>
          <w:rFonts w:hint="default" w:ascii="楷体_GB2312" w:eastAsia="楷体_GB2312" w:cs="楷体_GB2312" w:hAnsiTheme="minorHAnsi"/>
          <w:b/>
          <w:bCs/>
          <w:color w:val="020202"/>
          <w:kern w:val="2"/>
          <w:sz w:val="32"/>
          <w:szCs w:val="32"/>
          <w:lang w:val="en-US" w:eastAsia="zh-CN" w:bidi="ar"/>
        </w:rPr>
        <w:t>（一）一般公共预算财政拨款支出决算总体情况。</w:t>
      </w:r>
    </w:p>
    <w:p>
      <w:pPr>
        <w:keepNext w:val="0"/>
        <w:keepLines w:val="0"/>
        <w:widowControl/>
        <w:suppressLineNumbers w:val="0"/>
        <w:spacing w:before="0" w:beforeAutospacing="1" w:after="0" w:afterAutospacing="1" w:line="600" w:lineRule="exact"/>
        <w:ind w:left="0" w:right="0" w:firstLine="640" w:firstLineChars="200"/>
        <w:jc w:val="left"/>
      </w:pPr>
      <w:r>
        <w:rPr>
          <w:rFonts w:hint="default" w:ascii="仿宋_GB2312" w:eastAsia="仿宋_GB2312" w:cs="仿宋_GB2312" w:hAnsiTheme="minorHAnsi"/>
          <w:color w:val="020202"/>
          <w:kern w:val="2"/>
          <w:sz w:val="32"/>
          <w:szCs w:val="32"/>
          <w:lang w:val="en-US" w:eastAsia="zh-CN" w:bidi="ar"/>
        </w:rPr>
        <w:t>2020年度一般公共预算财政拨款支出4081.91万元，占本年支出的99.0%。与2019年相比，一般公共预算财政拨款支出减少310.36万元，下降7.1%。主要原因：</w:t>
      </w:r>
      <w:r>
        <w:rPr>
          <w:rFonts w:hint="default" w:ascii="仿宋_GB2312" w:hAnsi="仿宋" w:eastAsia="仿宋_GB2312" w:cs="仿宋_GB2312"/>
          <w:color w:val="020202"/>
          <w:kern w:val="2"/>
          <w:sz w:val="32"/>
          <w:szCs w:val="32"/>
          <w:lang w:val="en-US" w:eastAsia="zh-CN" w:bidi="ar"/>
        </w:rPr>
        <w:t>厉行节俭，压缩不必要支出</w:t>
      </w:r>
      <w:r>
        <w:rPr>
          <w:rFonts w:hint="default" w:ascii="仿宋_GB2312" w:eastAsia="仿宋_GB2312" w:cs="仿宋_GB2312" w:hAnsiTheme="minorHAnsi"/>
          <w:color w:val="020202"/>
          <w:kern w:val="2"/>
          <w:sz w:val="32"/>
          <w:szCs w:val="32"/>
          <w:lang w:val="en-US" w:eastAsia="zh-CN" w:bidi="ar"/>
        </w:rPr>
        <w:t>。</w:t>
      </w:r>
    </w:p>
    <w:p>
      <w:pPr>
        <w:keepNext w:val="0"/>
        <w:keepLines w:val="0"/>
        <w:widowControl/>
        <w:suppressLineNumbers w:val="0"/>
        <w:spacing w:before="0" w:beforeAutospacing="1" w:after="0" w:afterAutospacing="1" w:line="600" w:lineRule="exact"/>
        <w:ind w:left="0" w:right="0" w:firstLine="643" w:firstLineChars="200"/>
        <w:jc w:val="left"/>
      </w:pPr>
      <w:r>
        <w:rPr>
          <w:rFonts w:hint="default" w:ascii="楷体_GB2312" w:eastAsia="楷体_GB2312" w:cs="楷体_GB2312" w:hAnsiTheme="minorHAnsi"/>
          <w:b/>
          <w:bCs/>
          <w:color w:val="020202"/>
          <w:kern w:val="2"/>
          <w:sz w:val="32"/>
          <w:szCs w:val="32"/>
          <w:lang w:val="en-US" w:eastAsia="zh-CN" w:bidi="ar"/>
        </w:rPr>
        <w:t>（二）一般公共预算财政拨款支出决算结构情况。</w:t>
      </w:r>
    </w:p>
    <w:p>
      <w:pPr>
        <w:keepNext w:val="0"/>
        <w:keepLines w:val="0"/>
        <w:widowControl/>
        <w:suppressLineNumbers w:val="0"/>
        <w:spacing w:before="0" w:beforeAutospacing="1" w:after="0" w:afterAutospacing="1" w:line="600" w:lineRule="exact"/>
        <w:ind w:left="0" w:right="0" w:firstLine="640" w:firstLineChars="200"/>
        <w:jc w:val="left"/>
      </w:pPr>
      <w:r>
        <w:rPr>
          <w:rFonts w:hint="default" w:ascii="仿宋_GB2312" w:eastAsia="仿宋_GB2312" w:cs="仿宋_GB2312" w:hAnsiTheme="minorHAnsi"/>
          <w:color w:val="020202"/>
          <w:kern w:val="2"/>
          <w:sz w:val="32"/>
          <w:szCs w:val="32"/>
          <w:lang w:val="en-US" w:eastAsia="zh-CN" w:bidi="ar"/>
        </w:rPr>
        <w:t>2020年度一般公共预算财政拨款支出4081.91万元，主要用于以下方面：</w:t>
      </w:r>
      <w:r>
        <w:rPr>
          <w:rFonts w:hint="default" w:ascii="仿宋_GB2312" w:eastAsia="仿宋_GB2312" w:cs="仿宋_GB2312" w:hAnsiTheme="minorHAnsi"/>
          <w:b/>
          <w:bCs w:val="0"/>
          <w:color w:val="020202"/>
          <w:kern w:val="2"/>
          <w:sz w:val="32"/>
          <w:szCs w:val="32"/>
          <w:lang w:val="en-US" w:eastAsia="zh-CN" w:bidi="ar"/>
        </w:rPr>
        <w:t>社会保障和就业（类）</w:t>
      </w:r>
      <w:r>
        <w:rPr>
          <w:rFonts w:hint="default" w:ascii="仿宋_GB2312" w:eastAsia="仿宋_GB2312" w:cs="仿宋_GB2312" w:hAnsiTheme="minorHAnsi"/>
          <w:color w:val="020202"/>
          <w:kern w:val="2"/>
          <w:sz w:val="32"/>
          <w:szCs w:val="32"/>
          <w:lang w:val="en-US" w:eastAsia="zh-CN" w:bidi="ar"/>
        </w:rPr>
        <w:t>支出236.95万元，占5.8%；</w:t>
      </w:r>
      <w:r>
        <w:rPr>
          <w:rFonts w:hint="default" w:ascii="仿宋_GB2312" w:eastAsia="仿宋_GB2312" w:cs="仿宋_GB2312" w:hAnsiTheme="minorHAnsi"/>
          <w:b/>
          <w:bCs/>
          <w:color w:val="020202"/>
          <w:kern w:val="2"/>
          <w:sz w:val="32"/>
          <w:szCs w:val="32"/>
          <w:lang w:val="en-US" w:eastAsia="zh-CN" w:bidi="ar"/>
        </w:rPr>
        <w:t>城乡社区（类）</w:t>
      </w:r>
      <w:r>
        <w:rPr>
          <w:rFonts w:hint="default" w:ascii="仿宋_GB2312" w:eastAsia="仿宋_GB2312" w:cs="仿宋_GB2312" w:hAnsiTheme="minorHAnsi"/>
          <w:color w:val="020202"/>
          <w:kern w:val="2"/>
          <w:sz w:val="32"/>
          <w:szCs w:val="32"/>
          <w:lang w:val="en-US" w:eastAsia="zh-CN" w:bidi="ar"/>
        </w:rPr>
        <w:t>支出3643.78万元，占89.3%；</w:t>
      </w:r>
      <w:r>
        <w:rPr>
          <w:rFonts w:hint="default" w:ascii="仿宋_GB2312" w:eastAsia="仿宋_GB2312" w:cs="仿宋_GB2312" w:hAnsiTheme="minorHAnsi"/>
          <w:b/>
          <w:bCs w:val="0"/>
          <w:color w:val="020202"/>
          <w:kern w:val="2"/>
          <w:sz w:val="32"/>
          <w:szCs w:val="32"/>
          <w:lang w:val="en-US" w:eastAsia="zh-CN" w:bidi="ar"/>
        </w:rPr>
        <w:t>住房保障（类）</w:t>
      </w:r>
      <w:r>
        <w:rPr>
          <w:rFonts w:hint="default" w:ascii="仿宋_GB2312" w:eastAsia="仿宋_GB2312" w:cs="仿宋_GB2312" w:hAnsiTheme="minorHAnsi"/>
          <w:color w:val="020202"/>
          <w:kern w:val="2"/>
          <w:sz w:val="32"/>
          <w:szCs w:val="32"/>
          <w:lang w:val="en-US" w:eastAsia="zh-CN" w:bidi="ar"/>
        </w:rPr>
        <w:t>支出201.17万元，占4.9%。</w:t>
      </w:r>
    </w:p>
    <w:p>
      <w:pPr>
        <w:keepNext w:val="0"/>
        <w:keepLines w:val="0"/>
        <w:widowControl/>
        <w:suppressLineNumbers w:val="0"/>
        <w:spacing w:before="0" w:beforeAutospacing="1" w:after="0" w:afterAutospacing="1" w:line="600" w:lineRule="exact"/>
        <w:ind w:left="0" w:right="0" w:firstLine="643" w:firstLineChars="200"/>
        <w:jc w:val="left"/>
      </w:pPr>
      <w:r>
        <w:rPr>
          <w:rFonts w:hint="default" w:ascii="楷体_GB2312" w:eastAsia="楷体_GB2312" w:cs="楷体_GB2312" w:hAnsiTheme="minorHAnsi"/>
          <w:b/>
          <w:bCs/>
          <w:color w:val="020202"/>
          <w:kern w:val="2"/>
          <w:sz w:val="32"/>
          <w:szCs w:val="32"/>
          <w:lang w:val="en-US" w:eastAsia="zh-CN" w:bidi="ar"/>
        </w:rPr>
        <w:t>（三）一般公共预算财政拨款支出决算具体情况。</w:t>
      </w:r>
    </w:p>
    <w:p>
      <w:pPr>
        <w:keepNext w:val="0"/>
        <w:keepLines w:val="0"/>
        <w:widowControl/>
        <w:suppressLineNumbers w:val="0"/>
        <w:spacing w:before="0" w:beforeAutospacing="1" w:after="0" w:afterAutospacing="1" w:line="600" w:lineRule="exact"/>
        <w:ind w:left="0" w:right="0" w:firstLine="640" w:firstLineChars="200"/>
        <w:jc w:val="left"/>
      </w:pPr>
      <w:r>
        <w:rPr>
          <w:rFonts w:hint="default" w:ascii="仿宋_GB2312" w:eastAsia="仿宋_GB2312" w:cs="仿宋_GB2312" w:hAnsiTheme="minorHAnsi"/>
          <w:color w:val="020202"/>
          <w:kern w:val="2"/>
          <w:sz w:val="32"/>
          <w:szCs w:val="32"/>
          <w:lang w:val="en-US" w:eastAsia="zh-CN" w:bidi="ar"/>
        </w:rPr>
        <w:t>2020年度一般公共预算财政拨款支出年初预算为1838.19万元，支出决算为4081.91万元，完成年初预算的222.1%。决算数大于预算数的主要原因:</w:t>
      </w:r>
      <w:r>
        <w:rPr>
          <w:rFonts w:hint="default" w:ascii="仿宋_GB2312" w:hAnsi="仿宋" w:eastAsia="仿宋_GB2312" w:cs="仿宋_GB2312"/>
          <w:color w:val="020202"/>
          <w:kern w:val="2"/>
          <w:sz w:val="32"/>
          <w:szCs w:val="32"/>
          <w:lang w:val="en-US" w:eastAsia="zh-CN" w:bidi="ar"/>
        </w:rPr>
        <w:t>一是人员的增加；二是各部门事务的增加</w:t>
      </w:r>
      <w:r>
        <w:rPr>
          <w:rFonts w:hint="default" w:ascii="仿宋_GB2312" w:eastAsia="仿宋_GB2312" w:cs="仿宋_GB2312" w:hAnsiTheme="minorHAnsi"/>
          <w:color w:val="020202"/>
          <w:kern w:val="2"/>
          <w:sz w:val="32"/>
          <w:szCs w:val="32"/>
          <w:lang w:val="en-US" w:eastAsia="zh-CN" w:bidi="ar"/>
        </w:rPr>
        <w:t>。其中:基本支出1990.07万元，占48.8%；项目支出2091.83万元，占51.2%。具体情况如下：</w:t>
      </w:r>
    </w:p>
    <w:p>
      <w:pPr>
        <w:keepNext w:val="0"/>
        <w:keepLines w:val="0"/>
        <w:widowControl/>
        <w:numPr>
          <w:ilvl w:val="0"/>
          <w:numId w:val="0"/>
        </w:numPr>
        <w:suppressLineNumbers w:val="0"/>
        <w:spacing w:before="0" w:beforeAutospacing="1" w:after="0" w:afterAutospacing="1"/>
        <w:ind w:left="0" w:right="0" w:firstLine="643" w:firstLineChars="200"/>
        <w:jc w:val="left"/>
      </w:pPr>
      <w:r>
        <w:rPr>
          <w:rFonts w:hint="default" w:ascii="仿宋_GB2312" w:hAnsi="仿宋" w:eastAsia="仿宋_GB2312" w:cs="Times New Roman"/>
          <w:b/>
          <w:color w:val="020202"/>
          <w:kern w:val="2"/>
          <w:sz w:val="32"/>
          <w:szCs w:val="32"/>
          <w:lang w:val="en-US" w:eastAsia="zh-CN" w:bidi="ar"/>
        </w:rPr>
        <w:t>1. </w:t>
      </w:r>
      <w:r>
        <w:rPr>
          <w:rFonts w:hint="default" w:ascii="仿宋_GB2312" w:hAnsi="仿宋" w:eastAsia="仿宋_GB2312" w:cs="仿宋_GB2312"/>
          <w:b/>
          <w:bCs w:val="0"/>
          <w:color w:val="020202"/>
          <w:kern w:val="2"/>
          <w:sz w:val="32"/>
          <w:szCs w:val="32"/>
          <w:lang w:val="en-US" w:eastAsia="zh-CN" w:bidi="ar"/>
        </w:rPr>
        <w:t>社会保障和就业（类）人力资源和社会保障管理事务（款）行政运行（项）</w:t>
      </w:r>
      <w:r>
        <w:rPr>
          <w:rFonts w:hint="default" w:ascii="仿宋_GB2312" w:hAnsi="仿宋" w:eastAsia="仿宋_GB2312" w:cs="仿宋_GB2312"/>
          <w:color w:val="020202"/>
          <w:kern w:val="2"/>
          <w:sz w:val="32"/>
          <w:szCs w:val="32"/>
          <w:lang w:val="en-US" w:eastAsia="zh-CN" w:bidi="ar"/>
        </w:rPr>
        <w:t>。年初预算为0万元，支出决算为197.01万元，完成年初预算的-%，决算数大于预算数的主要原因是预算科目的调整。</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仿宋" w:eastAsia="仿宋_GB2312" w:cs="仿宋_GB2312"/>
          <w:b w:val="0"/>
          <w:bCs/>
          <w:color w:val="020202"/>
          <w:kern w:val="2"/>
          <w:sz w:val="32"/>
          <w:szCs w:val="32"/>
          <w:lang w:val="en-US" w:eastAsia="zh-CN" w:bidi="ar"/>
        </w:rPr>
        <w:t>2.</w:t>
      </w:r>
      <w:r>
        <w:rPr>
          <w:rFonts w:hint="default" w:ascii="仿宋_GB2312" w:hAnsi="仿宋" w:eastAsia="仿宋_GB2312" w:cs="仿宋_GB2312"/>
          <w:b/>
          <w:bCs w:val="0"/>
          <w:color w:val="020202"/>
          <w:kern w:val="2"/>
          <w:sz w:val="32"/>
          <w:szCs w:val="32"/>
          <w:lang w:val="en-US" w:eastAsia="zh-CN" w:bidi="ar"/>
        </w:rPr>
        <w:t>社会保障和就业（类）行政事业单位养老（款）</w:t>
      </w:r>
      <w:r>
        <w:rPr>
          <w:rFonts w:hint="default" w:ascii="仿宋_GB2312" w:hAnsi="仿宋" w:eastAsia="仿宋_GB2312" w:cs="Times New Roman"/>
          <w:b/>
          <w:bCs w:val="0"/>
          <w:color w:val="020202"/>
          <w:kern w:val="2"/>
          <w:sz w:val="32"/>
          <w:szCs w:val="32"/>
          <w:lang w:val="en-US" w:eastAsia="zh-CN" w:bidi="ar"/>
        </w:rPr>
        <w:t xml:space="preserve"> </w:t>
      </w:r>
      <w:r>
        <w:rPr>
          <w:rFonts w:hint="default" w:ascii="仿宋_GB2312" w:hAnsi="仿宋" w:eastAsia="仿宋_GB2312" w:cs="仿宋_GB2312"/>
          <w:b/>
          <w:bCs w:val="0"/>
          <w:color w:val="020202"/>
          <w:kern w:val="2"/>
          <w:sz w:val="32"/>
          <w:szCs w:val="32"/>
          <w:lang w:val="en-US" w:eastAsia="zh-CN" w:bidi="ar"/>
        </w:rPr>
        <w:t>行政单位离退休（项）</w:t>
      </w:r>
      <w:r>
        <w:rPr>
          <w:rFonts w:hint="default" w:ascii="仿宋_GB2312" w:hAnsi="仿宋" w:eastAsia="仿宋_GB2312" w:cs="仿宋_GB2312"/>
          <w:b w:val="0"/>
          <w:bCs/>
          <w:color w:val="020202"/>
          <w:kern w:val="2"/>
          <w:sz w:val="32"/>
          <w:szCs w:val="32"/>
          <w:lang w:val="en-US" w:eastAsia="zh-CN" w:bidi="ar"/>
        </w:rPr>
        <w:t>。</w:t>
      </w:r>
      <w:r>
        <w:rPr>
          <w:rFonts w:hint="default" w:ascii="仿宋_GB2312" w:hAnsi="仿宋" w:eastAsia="仿宋_GB2312" w:cs="仿宋_GB2312"/>
          <w:color w:val="020202"/>
          <w:kern w:val="2"/>
          <w:sz w:val="32"/>
          <w:szCs w:val="32"/>
          <w:lang w:val="en-US" w:eastAsia="zh-CN" w:bidi="ar"/>
        </w:rPr>
        <w:t>年初预算为106.49万元，支出决算为26.47万元，完成年初预算的24.9%，决算数小于预算数的主要原因减少开支。</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仿宋" w:eastAsia="仿宋_GB2312" w:cs="仿宋_GB2312"/>
          <w:color w:val="020202"/>
          <w:kern w:val="2"/>
          <w:sz w:val="32"/>
          <w:szCs w:val="32"/>
          <w:lang w:val="en-US" w:eastAsia="zh-CN" w:bidi="ar"/>
        </w:rPr>
        <w:t>3.</w:t>
      </w:r>
      <w:r>
        <w:rPr>
          <w:rFonts w:hint="default" w:ascii="仿宋_GB2312" w:hAnsi="仿宋" w:eastAsia="仿宋_GB2312" w:cs="仿宋_GB2312"/>
          <w:b/>
          <w:bCs w:val="0"/>
          <w:color w:val="020202"/>
          <w:kern w:val="2"/>
          <w:sz w:val="32"/>
          <w:szCs w:val="32"/>
          <w:lang w:val="en-US" w:eastAsia="zh-CN" w:bidi="ar"/>
        </w:rPr>
        <w:t>社会保障和就业（类）行政事业单位养老（款）</w:t>
      </w:r>
      <w:r>
        <w:rPr>
          <w:rFonts w:hint="default" w:ascii="仿宋_GB2312" w:hAnsi="仿宋" w:eastAsia="仿宋_GB2312" w:cs="Times New Roman"/>
          <w:b/>
          <w:bCs w:val="0"/>
          <w:color w:val="020202"/>
          <w:kern w:val="2"/>
          <w:sz w:val="32"/>
          <w:szCs w:val="32"/>
          <w:lang w:val="en-US" w:eastAsia="zh-CN" w:bidi="ar"/>
        </w:rPr>
        <w:t xml:space="preserve"> </w:t>
      </w:r>
      <w:r>
        <w:rPr>
          <w:rFonts w:hint="default" w:ascii="仿宋_GB2312" w:hAnsi="仿宋" w:eastAsia="仿宋_GB2312" w:cs="仿宋_GB2312"/>
          <w:b/>
          <w:bCs w:val="0"/>
          <w:color w:val="020202"/>
          <w:kern w:val="2"/>
          <w:sz w:val="32"/>
          <w:szCs w:val="32"/>
          <w:lang w:val="en-US" w:eastAsia="zh-CN" w:bidi="ar"/>
        </w:rPr>
        <w:t>其他行政事业单位养老（项）</w:t>
      </w:r>
      <w:r>
        <w:rPr>
          <w:rFonts w:hint="default" w:ascii="仿宋_GB2312" w:hAnsi="仿宋" w:eastAsia="仿宋_GB2312" w:cs="仿宋_GB2312"/>
          <w:color w:val="020202"/>
          <w:kern w:val="2"/>
          <w:sz w:val="32"/>
          <w:szCs w:val="32"/>
          <w:lang w:val="en-US" w:eastAsia="zh-CN" w:bidi="ar"/>
        </w:rPr>
        <w:t>。年初预算为11.13万元，支出决算为13.48万元，完成年初预算的121.1</w:t>
      </w:r>
      <w:r>
        <w:rPr>
          <w:rFonts w:hint="eastAsia" w:ascii="宋体" w:hAnsi="宋体" w:eastAsia="宋体" w:cs="宋体"/>
          <w:color w:val="020202"/>
          <w:kern w:val="2"/>
          <w:sz w:val="24"/>
          <w:szCs w:val="24"/>
          <w:lang w:val="en-US" w:eastAsia="zh-CN" w:bidi="ar"/>
        </w:rPr>
        <w:t>%，</w:t>
      </w:r>
      <w:r>
        <w:rPr>
          <w:rFonts w:hint="default" w:ascii="仿宋_GB2312" w:hAnsi="仿宋" w:eastAsia="仿宋_GB2312" w:cs="仿宋_GB2312"/>
          <w:color w:val="020202"/>
          <w:kern w:val="2"/>
          <w:sz w:val="32"/>
          <w:szCs w:val="32"/>
          <w:lang w:val="en-US" w:eastAsia="zh-CN" w:bidi="ar"/>
        </w:rPr>
        <w:t>决算数大于预算数的主要原因是退休人员增加。</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仿宋" w:eastAsia="仿宋_GB2312" w:cs="仿宋_GB2312"/>
          <w:color w:val="020202"/>
          <w:kern w:val="2"/>
          <w:sz w:val="32"/>
          <w:szCs w:val="32"/>
          <w:lang w:val="en-US" w:eastAsia="zh-CN" w:bidi="ar"/>
        </w:rPr>
        <w:t>4.</w:t>
      </w:r>
      <w:r>
        <w:rPr>
          <w:rFonts w:hint="default" w:ascii="仿宋_GB2312" w:hAnsi="仿宋" w:eastAsia="仿宋_GB2312" w:cs="仿宋_GB2312"/>
          <w:b/>
          <w:bCs w:val="0"/>
          <w:color w:val="020202"/>
          <w:kern w:val="2"/>
          <w:sz w:val="32"/>
          <w:szCs w:val="32"/>
          <w:lang w:val="en-US" w:eastAsia="zh-CN" w:bidi="ar"/>
        </w:rPr>
        <w:t>城乡社区（类）城乡社区管理事务（款）行政运行（项）</w:t>
      </w:r>
      <w:r>
        <w:rPr>
          <w:rFonts w:hint="default" w:ascii="仿宋_GB2312" w:hAnsi="仿宋" w:eastAsia="仿宋_GB2312" w:cs="仿宋_GB2312"/>
          <w:color w:val="020202"/>
          <w:kern w:val="2"/>
          <w:sz w:val="32"/>
          <w:szCs w:val="32"/>
          <w:lang w:val="en-US" w:eastAsia="zh-CN" w:bidi="ar"/>
        </w:rPr>
        <w:t>，年初预算为640.39万元，支出</w:t>
      </w:r>
      <w:r>
        <w:rPr>
          <w:rFonts w:hint="eastAsia" w:ascii="仿宋" w:hAnsi="仿宋" w:eastAsia="仿宋" w:cs="仿宋"/>
          <w:color w:val="020202"/>
          <w:kern w:val="2"/>
          <w:sz w:val="32"/>
          <w:szCs w:val="32"/>
          <w:lang w:val="en-US" w:eastAsia="zh-CN" w:bidi="ar"/>
        </w:rPr>
        <w:t>决算为</w:t>
      </w:r>
      <w:r>
        <w:rPr>
          <w:rFonts w:hint="eastAsia" w:ascii="仿宋" w:hAnsi="仿宋" w:eastAsia="仿宋" w:cs="仿宋"/>
          <w:i w:val="0"/>
          <w:color w:val="000000"/>
          <w:kern w:val="0"/>
          <w:sz w:val="32"/>
          <w:szCs w:val="32"/>
          <w:lang w:val="en-US" w:eastAsia="zh-CN" w:bidi="ar"/>
        </w:rPr>
        <w:t>3643.78</w:t>
      </w:r>
      <w:r>
        <w:rPr>
          <w:rFonts w:hint="eastAsia" w:ascii="仿宋" w:hAnsi="仿宋" w:eastAsia="仿宋" w:cs="仿宋"/>
          <w:color w:val="020202"/>
          <w:kern w:val="2"/>
          <w:sz w:val="32"/>
          <w:szCs w:val="32"/>
          <w:lang w:val="en-US" w:eastAsia="zh-CN" w:bidi="ar"/>
        </w:rPr>
        <w:t>万元</w:t>
      </w:r>
      <w:r>
        <w:rPr>
          <w:rFonts w:hint="default" w:ascii="仿宋_GB2312" w:hAnsi="仿宋" w:eastAsia="仿宋_GB2312" w:cs="仿宋_GB2312"/>
          <w:color w:val="020202"/>
          <w:kern w:val="2"/>
          <w:sz w:val="32"/>
          <w:szCs w:val="32"/>
          <w:lang w:val="en-US" w:eastAsia="zh-CN" w:bidi="ar"/>
        </w:rPr>
        <w:t>，完成年初预算的569.0%，决算数大于预算数的主要原因一是人员的增加；二是各部门事务的增加。</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仿宋" w:eastAsia="仿宋_GB2312" w:cs="仿宋_GB2312"/>
          <w:color w:val="020202"/>
          <w:kern w:val="2"/>
          <w:sz w:val="32"/>
          <w:szCs w:val="32"/>
          <w:lang w:val="en-US" w:eastAsia="zh-CN" w:bidi="ar"/>
        </w:rPr>
        <w:t>5．</w:t>
      </w:r>
      <w:r>
        <w:rPr>
          <w:rFonts w:hint="default" w:ascii="仿宋_GB2312" w:hAnsi="仿宋" w:eastAsia="仿宋_GB2312" w:cs="仿宋_GB2312"/>
          <w:b/>
          <w:bCs w:val="0"/>
          <w:color w:val="020202"/>
          <w:kern w:val="2"/>
          <w:sz w:val="32"/>
          <w:szCs w:val="32"/>
          <w:lang w:val="en-US" w:eastAsia="zh-CN" w:bidi="ar"/>
        </w:rPr>
        <w:t>住房保障（类）住房改革（款）住房公积金（项）</w:t>
      </w:r>
      <w:r>
        <w:rPr>
          <w:rFonts w:hint="default" w:ascii="仿宋_GB2312" w:hAnsi="仿宋" w:eastAsia="仿宋_GB2312" w:cs="仿宋_GB2312"/>
          <w:color w:val="020202"/>
          <w:kern w:val="2"/>
          <w:sz w:val="32"/>
          <w:szCs w:val="32"/>
          <w:lang w:val="en-US" w:eastAsia="zh-CN" w:bidi="ar"/>
        </w:rPr>
        <w:t>，年初预</w:t>
      </w:r>
      <w:r>
        <w:rPr>
          <w:rFonts w:hint="eastAsia" w:ascii="仿宋" w:hAnsi="仿宋" w:eastAsia="仿宋" w:cs="仿宋"/>
          <w:color w:val="020202"/>
          <w:kern w:val="2"/>
          <w:sz w:val="32"/>
          <w:szCs w:val="32"/>
          <w:lang w:val="en-US" w:eastAsia="zh-CN" w:bidi="ar"/>
        </w:rPr>
        <w:t>算为133.82万</w:t>
      </w:r>
      <w:r>
        <w:rPr>
          <w:rFonts w:hint="default" w:ascii="仿宋_GB2312" w:hAnsi="仿宋" w:eastAsia="仿宋_GB2312" w:cs="仿宋_GB2312"/>
          <w:color w:val="020202"/>
          <w:kern w:val="2"/>
          <w:sz w:val="32"/>
          <w:szCs w:val="32"/>
          <w:lang w:val="en-US" w:eastAsia="zh-CN" w:bidi="ar"/>
        </w:rPr>
        <w:t>元，支出决算为149.36万元，完成年初预算的111.6%，决算数大于预算数的主要原因是人员调动、工资调整。</w:t>
      </w:r>
    </w:p>
    <w:p>
      <w:pPr>
        <w:keepNext w:val="0"/>
        <w:keepLines w:val="0"/>
        <w:widowControl/>
        <w:suppressLineNumbers w:val="0"/>
        <w:spacing w:before="0" w:beforeAutospacing="1" w:after="0" w:afterAutospacing="1"/>
        <w:ind w:left="0" w:right="0" w:firstLine="640" w:firstLineChars="200"/>
        <w:jc w:val="left"/>
      </w:pPr>
      <w:r>
        <w:rPr>
          <w:rFonts w:hint="default" w:ascii="仿宋_GB2312" w:hAnsi="仿宋" w:eastAsia="仿宋_GB2312" w:cs="仿宋_GB2312"/>
          <w:color w:val="020202"/>
          <w:kern w:val="2"/>
          <w:sz w:val="32"/>
          <w:szCs w:val="32"/>
          <w:lang w:val="en-US" w:eastAsia="zh-CN" w:bidi="ar"/>
        </w:rPr>
        <w:t>6．</w:t>
      </w:r>
      <w:r>
        <w:rPr>
          <w:rFonts w:hint="default" w:ascii="仿宋_GB2312" w:hAnsi="仿宋" w:eastAsia="仿宋_GB2312" w:cs="仿宋_GB2312"/>
          <w:b/>
          <w:bCs w:val="0"/>
          <w:color w:val="020202"/>
          <w:kern w:val="2"/>
          <w:sz w:val="32"/>
          <w:szCs w:val="32"/>
          <w:lang w:val="en-US" w:eastAsia="zh-CN" w:bidi="ar"/>
        </w:rPr>
        <w:t>住房保障（类）住房改革（款）提租补贴（项）</w:t>
      </w:r>
      <w:r>
        <w:rPr>
          <w:rFonts w:hint="default" w:ascii="仿宋_GB2312" w:hAnsi="仿宋" w:eastAsia="仿宋_GB2312" w:cs="仿宋_GB2312"/>
          <w:color w:val="020202"/>
          <w:kern w:val="2"/>
          <w:sz w:val="32"/>
          <w:szCs w:val="32"/>
          <w:lang w:val="en-US" w:eastAsia="zh-CN" w:bidi="ar"/>
        </w:rPr>
        <w:t>，年初预算</w:t>
      </w:r>
      <w:r>
        <w:rPr>
          <w:rFonts w:hint="eastAsia" w:ascii="仿宋" w:hAnsi="仿宋" w:eastAsia="仿宋" w:cs="仿宋"/>
          <w:color w:val="020202"/>
          <w:kern w:val="2"/>
          <w:sz w:val="32"/>
          <w:szCs w:val="32"/>
          <w:lang w:val="en-US" w:eastAsia="zh-CN" w:bidi="ar"/>
        </w:rPr>
        <w:t>为16.41万</w:t>
      </w:r>
      <w:r>
        <w:rPr>
          <w:rFonts w:hint="default" w:ascii="仿宋_GB2312" w:hAnsi="仿宋" w:eastAsia="仿宋_GB2312" w:cs="仿宋_GB2312"/>
          <w:color w:val="020202"/>
          <w:kern w:val="2"/>
          <w:sz w:val="32"/>
          <w:szCs w:val="32"/>
          <w:lang w:val="en-US" w:eastAsia="zh-CN" w:bidi="ar"/>
        </w:rPr>
        <w:t>元，支出决算为23.96万元，完成年初预算的146.0%，决算数大于预算数的主要原因是人员调动、工资调整。</w:t>
      </w:r>
    </w:p>
    <w:p>
      <w:pPr>
        <w:keepNext w:val="0"/>
        <w:keepLines w:val="0"/>
        <w:widowControl/>
        <w:suppressLineNumbers w:val="0"/>
        <w:spacing w:before="0" w:beforeAutospacing="1" w:after="0" w:afterAutospacing="1" w:line="600" w:lineRule="exact"/>
        <w:ind w:left="0" w:right="0" w:firstLine="640" w:firstLineChars="200"/>
        <w:jc w:val="left"/>
      </w:pPr>
      <w:r>
        <w:rPr>
          <w:rFonts w:hint="default" w:ascii="仿宋_GB2312" w:hAnsi="仿宋" w:eastAsia="仿宋_GB2312" w:cs="仿宋_GB2312"/>
          <w:color w:val="020202"/>
          <w:kern w:val="2"/>
          <w:sz w:val="32"/>
          <w:szCs w:val="32"/>
          <w:lang w:val="en-US" w:eastAsia="zh-CN" w:bidi="ar"/>
        </w:rPr>
        <w:t>7．</w:t>
      </w:r>
      <w:r>
        <w:rPr>
          <w:rFonts w:hint="default" w:ascii="仿宋_GB2312" w:hAnsi="仿宋" w:eastAsia="仿宋_GB2312" w:cs="仿宋_GB2312"/>
          <w:b/>
          <w:bCs w:val="0"/>
          <w:color w:val="020202"/>
          <w:kern w:val="2"/>
          <w:sz w:val="32"/>
          <w:szCs w:val="32"/>
          <w:lang w:val="en-US" w:eastAsia="zh-CN" w:bidi="ar"/>
        </w:rPr>
        <w:t>住房保障（类）住房改革（款）购房补贴（项）</w:t>
      </w:r>
      <w:r>
        <w:rPr>
          <w:rFonts w:hint="default" w:ascii="仿宋_GB2312" w:hAnsi="仿宋" w:eastAsia="仿宋_GB2312" w:cs="仿宋_GB2312"/>
          <w:color w:val="020202"/>
          <w:kern w:val="2"/>
          <w:sz w:val="32"/>
          <w:szCs w:val="32"/>
          <w:lang w:val="en-US" w:eastAsia="zh-CN" w:bidi="ar"/>
        </w:rPr>
        <w:t>，年初预</w:t>
      </w:r>
      <w:r>
        <w:rPr>
          <w:rFonts w:hint="eastAsia" w:ascii="仿宋" w:hAnsi="仿宋" w:eastAsia="仿宋" w:cs="仿宋"/>
          <w:color w:val="020202"/>
          <w:kern w:val="2"/>
          <w:sz w:val="32"/>
          <w:szCs w:val="32"/>
          <w:lang w:val="en-US" w:eastAsia="zh-CN" w:bidi="ar"/>
        </w:rPr>
        <w:t>算为20.73万元</w:t>
      </w:r>
      <w:r>
        <w:rPr>
          <w:rFonts w:hint="default" w:ascii="仿宋_GB2312" w:hAnsi="仿宋" w:eastAsia="仿宋_GB2312" w:cs="仿宋_GB2312"/>
          <w:color w:val="020202"/>
          <w:kern w:val="2"/>
          <w:sz w:val="32"/>
          <w:szCs w:val="32"/>
          <w:lang w:val="en-US" w:eastAsia="zh-CN" w:bidi="ar"/>
        </w:rPr>
        <w:t>，支出决算为27.85万元，完成年初预算的134.4%，决算数大于预算数的主要原因是人员调动、工资调整。</w:t>
      </w:r>
      <w:r>
        <w:rPr>
          <w:rFonts w:hint="eastAsia" w:ascii="黑体" w:hAnsi="宋体" w:eastAsia="黑体" w:cs="黑体"/>
          <w:color w:val="020202"/>
          <w:kern w:val="2"/>
          <w:sz w:val="32"/>
          <w:szCs w:val="32"/>
          <w:lang w:val="en-US" w:eastAsia="zh-CN" w:bidi="ar"/>
        </w:rPr>
        <w:t>六、一般公共预算财政拨款基本支出决算情况说明</w:t>
      </w:r>
    </w:p>
    <w:p>
      <w:pPr>
        <w:keepNext w:val="0"/>
        <w:keepLines w:val="0"/>
        <w:widowControl/>
        <w:suppressLineNumbers w:val="0"/>
        <w:spacing w:before="0" w:beforeAutospacing="1" w:after="0" w:afterAutospacing="1" w:line="620" w:lineRule="exact"/>
        <w:ind w:left="0" w:right="0" w:firstLine="640" w:firstLineChars="200"/>
        <w:jc w:val="left"/>
      </w:pPr>
      <w:r>
        <w:rPr>
          <w:rFonts w:hint="default" w:ascii="仿宋_GB2312" w:hAnsi="仿宋" w:eastAsia="仿宋_GB2312" w:cs="仿宋_GB2312"/>
          <w:color w:val="020202"/>
          <w:kern w:val="2"/>
          <w:sz w:val="32"/>
          <w:szCs w:val="32"/>
          <w:lang w:val="en-US" w:eastAsia="zh-CN" w:bidi="ar"/>
        </w:rPr>
        <w:t>2020年度财政拨款基本支出1990.07万元，其中人员经费1764.22万元，主要包括:</w:t>
      </w:r>
      <w:r>
        <w:rPr>
          <w:rFonts w:hint="default" w:ascii="仿宋_GB2312" w:hAnsi="Times New Roman" w:eastAsia="仿宋_GB2312" w:cs="仿宋_GB2312"/>
          <w:color w:val="020202"/>
          <w:kern w:val="2"/>
          <w:sz w:val="32"/>
          <w:szCs w:val="32"/>
          <w:lang w:val="en-US" w:eastAsia="zh-CN" w:bidi="ar"/>
        </w:rPr>
        <w:t>工资福利支出和对个人和家庭补助支出等；</w:t>
      </w:r>
      <w:r>
        <w:rPr>
          <w:rFonts w:hint="default" w:ascii="仿宋_GB2312" w:hAnsi="仿宋" w:eastAsia="仿宋_GB2312" w:cs="仿宋_GB2312"/>
          <w:color w:val="020202"/>
          <w:kern w:val="2"/>
          <w:sz w:val="32"/>
          <w:szCs w:val="32"/>
          <w:lang w:val="en-US" w:eastAsia="zh-CN" w:bidi="ar"/>
        </w:rPr>
        <w:t>公用经费225.85万元，主要包括：</w:t>
      </w:r>
      <w:r>
        <w:rPr>
          <w:rFonts w:hint="default" w:ascii="仿宋_GB2312" w:hAnsi="Times New Roman" w:eastAsia="仿宋_GB2312" w:cs="仿宋_GB2312"/>
          <w:color w:val="020202"/>
          <w:kern w:val="2"/>
          <w:sz w:val="32"/>
          <w:szCs w:val="32"/>
          <w:lang w:val="en-US" w:eastAsia="zh-CN" w:bidi="ar"/>
        </w:rPr>
        <w:t>主要包括商品服务支出和资本性支出等。</w:t>
      </w:r>
    </w:p>
    <w:p>
      <w:pPr>
        <w:keepNext w:val="0"/>
        <w:keepLines w:val="0"/>
        <w:widowControl/>
        <w:suppressLineNumbers w:val="0"/>
        <w:spacing w:before="0" w:beforeAutospacing="1" w:after="0" w:afterAutospacing="1" w:line="600" w:lineRule="exact"/>
        <w:ind w:left="0" w:right="0"/>
        <w:jc w:val="left"/>
      </w:pPr>
      <w:r>
        <w:rPr>
          <w:rFonts w:hint="eastAsia" w:ascii="黑体" w:hAnsi="宋体" w:eastAsia="黑体" w:cs="黑体"/>
          <w:color w:val="020202"/>
          <w:kern w:val="2"/>
          <w:sz w:val="32"/>
          <w:szCs w:val="32"/>
          <w:lang w:val="en-US" w:eastAsia="zh-CN" w:bidi="ar"/>
        </w:rPr>
        <w:t>七、政府性基金财政拨款收入支出决算情况说明</w:t>
      </w:r>
    </w:p>
    <w:p>
      <w:pPr>
        <w:keepNext w:val="0"/>
        <w:keepLines w:val="0"/>
        <w:widowControl/>
        <w:suppressLineNumbers w:val="0"/>
        <w:spacing w:before="0" w:beforeAutospacing="1" w:after="0" w:afterAutospacing="1" w:line="600" w:lineRule="exact"/>
        <w:ind w:left="0" w:right="0" w:firstLine="640" w:firstLineChars="200"/>
        <w:jc w:val="left"/>
      </w:pPr>
      <w:r>
        <w:rPr>
          <w:rFonts w:hint="default" w:ascii="仿宋_GB2312" w:eastAsia="仿宋_GB2312" w:cs="仿宋_GB2312" w:hAnsiTheme="minorHAnsi"/>
          <w:color w:val="020202"/>
          <w:kern w:val="2"/>
          <w:sz w:val="32"/>
          <w:szCs w:val="32"/>
          <w:lang w:val="en-US" w:eastAsia="zh-CN" w:bidi="ar"/>
        </w:rPr>
        <w:t>西湖镇2020年没有政府性基金收入，也没有使用政府性基金安排的支出。</w:t>
      </w:r>
    </w:p>
    <w:p>
      <w:pPr>
        <w:keepNext w:val="0"/>
        <w:keepLines w:val="0"/>
        <w:widowControl/>
        <w:suppressLineNumbers w:val="0"/>
        <w:spacing w:before="0" w:beforeAutospacing="1" w:after="0" w:afterAutospacing="1" w:line="600" w:lineRule="exact"/>
        <w:ind w:left="0" w:right="0"/>
        <w:jc w:val="left"/>
      </w:pPr>
      <w:r>
        <w:rPr>
          <w:rFonts w:hint="eastAsia" w:ascii="黑体" w:hAnsi="宋体" w:eastAsia="黑体" w:cs="黑体"/>
          <w:color w:val="020202"/>
          <w:kern w:val="2"/>
          <w:sz w:val="32"/>
          <w:szCs w:val="32"/>
          <w:lang w:val="en-US" w:eastAsia="zh-CN" w:bidi="ar"/>
        </w:rPr>
        <w:t>八、国有资本经营预算财政拨款支出情况说明</w:t>
      </w:r>
    </w:p>
    <w:p>
      <w:pPr>
        <w:keepNext w:val="0"/>
        <w:keepLines w:val="0"/>
        <w:widowControl/>
        <w:suppressLineNumbers w:val="0"/>
        <w:adjustRightInd w:val="0"/>
        <w:snapToGrid w:val="0"/>
        <w:spacing w:before="0" w:beforeAutospacing="1" w:after="0" w:afterAutospacing="1" w:line="600" w:lineRule="exact"/>
        <w:ind w:left="0" w:right="0" w:firstLine="640" w:firstLineChars="200"/>
        <w:jc w:val="left"/>
      </w:pPr>
      <w:r>
        <w:rPr>
          <w:rFonts w:hint="default" w:ascii="仿宋_GB2312" w:eastAsia="仿宋_GB2312" w:cs="仿宋_GB2312" w:hAnsiTheme="minorHAnsi"/>
          <w:color w:val="020202"/>
          <w:kern w:val="2"/>
          <w:sz w:val="32"/>
          <w:szCs w:val="32"/>
          <w:lang w:val="en-US" w:eastAsia="zh-CN" w:bidi="ar"/>
        </w:rPr>
        <w:t>西湖镇2020年没有使用国有资本经营预算财政拨款安排的支出。</w:t>
      </w:r>
    </w:p>
    <w:p>
      <w:pPr>
        <w:keepNext w:val="0"/>
        <w:keepLines w:val="0"/>
        <w:widowControl/>
        <w:suppressLineNumbers w:val="0"/>
        <w:adjustRightInd w:val="0"/>
        <w:snapToGrid w:val="0"/>
        <w:spacing w:before="0" w:beforeAutospacing="1" w:after="0" w:afterAutospacing="1" w:line="600" w:lineRule="exact"/>
        <w:ind w:left="0" w:right="0"/>
        <w:jc w:val="left"/>
      </w:pPr>
      <w:r>
        <w:rPr>
          <w:rFonts w:hint="eastAsia" w:ascii="黑体" w:hAnsi="宋体" w:eastAsia="黑体" w:cs="黑体"/>
          <w:color w:val="020202"/>
          <w:kern w:val="2"/>
          <w:sz w:val="32"/>
          <w:szCs w:val="32"/>
          <w:lang w:val="en-US" w:eastAsia="zh-CN" w:bidi="ar"/>
        </w:rPr>
        <w:t>九、其他重要事项情况说明</w:t>
      </w:r>
    </w:p>
    <w:p>
      <w:pPr>
        <w:keepNext w:val="0"/>
        <w:keepLines w:val="0"/>
        <w:widowControl/>
        <w:suppressLineNumbers w:val="0"/>
        <w:adjustRightInd w:val="0"/>
        <w:snapToGrid w:val="0"/>
        <w:spacing w:before="0" w:beforeAutospacing="1" w:after="0" w:afterAutospacing="1" w:line="600" w:lineRule="exact"/>
        <w:ind w:left="0" w:right="0" w:firstLine="643" w:firstLineChars="200"/>
        <w:jc w:val="left"/>
      </w:pPr>
      <w:r>
        <w:rPr>
          <w:rFonts w:hint="default" w:ascii="楷体_GB2312" w:eastAsia="楷体_GB2312" w:cs="楷体_GB2312" w:hAnsiTheme="minorHAnsi"/>
          <w:b/>
          <w:bCs/>
          <w:color w:val="020202"/>
          <w:kern w:val="2"/>
          <w:sz w:val="32"/>
          <w:szCs w:val="32"/>
          <w:lang w:val="en-US" w:eastAsia="zh-CN" w:bidi="ar"/>
        </w:rPr>
        <w:t>（一）机关运行经费支出情况。</w:t>
      </w:r>
      <w:r>
        <w:rPr>
          <w:rFonts w:hint="default" w:ascii="仿宋_GB2312" w:hAnsi="Times New Roman" w:eastAsia="仿宋_GB2312" w:cs="仿宋_GB2312"/>
          <w:b/>
          <w:bCs/>
          <w:color w:val="000000"/>
          <w:kern w:val="2"/>
          <w:sz w:val="32"/>
          <w:szCs w:val="32"/>
          <w:lang w:val="en-US" w:eastAsia="zh-CN" w:bidi="ar"/>
        </w:rPr>
        <w:t>（此项内容为财决公开</w:t>
      </w:r>
      <w:r>
        <w:rPr>
          <w:rFonts w:hint="default" w:ascii="Times New Roman" w:hAnsi="Times New Roman" w:eastAsia="仿宋_GB2312" w:cs="Times New Roman"/>
          <w:b/>
          <w:bCs/>
          <w:color w:val="000000"/>
          <w:kern w:val="2"/>
          <w:sz w:val="32"/>
          <w:szCs w:val="32"/>
          <w:lang w:val="en-US" w:eastAsia="zh-CN" w:bidi="ar"/>
        </w:rPr>
        <w:t>06</w:t>
      </w:r>
      <w:r>
        <w:rPr>
          <w:rFonts w:hint="default" w:ascii="仿宋_GB2312" w:hAnsi="Times New Roman" w:eastAsia="仿宋_GB2312" w:cs="仿宋_GB2312"/>
          <w:b/>
          <w:bCs/>
          <w:color w:val="000000"/>
          <w:kern w:val="2"/>
          <w:sz w:val="32"/>
          <w:szCs w:val="32"/>
          <w:lang w:val="en-US" w:eastAsia="zh-CN" w:bidi="ar"/>
        </w:rPr>
        <w:t>表中的</w:t>
      </w:r>
      <w:r>
        <w:rPr>
          <w:rFonts w:hint="default" w:ascii="Times New Roman" w:hAnsi="Times New Roman" w:eastAsia="仿宋_GB2312" w:cs="Times New Roman"/>
          <w:b/>
          <w:bCs/>
          <w:color w:val="000000"/>
          <w:kern w:val="2"/>
          <w:sz w:val="32"/>
          <w:szCs w:val="32"/>
          <w:lang w:val="en-US" w:eastAsia="zh-CN" w:bidi="ar"/>
        </w:rPr>
        <w:t xml:space="preserve">“302 </w:t>
      </w:r>
      <w:r>
        <w:rPr>
          <w:rFonts w:hint="default" w:ascii="仿宋_GB2312" w:hAnsi="Times New Roman" w:eastAsia="仿宋_GB2312" w:cs="仿宋_GB2312"/>
          <w:b/>
          <w:bCs/>
          <w:color w:val="000000"/>
          <w:kern w:val="2"/>
          <w:sz w:val="32"/>
          <w:szCs w:val="32"/>
          <w:lang w:val="en-US" w:eastAsia="zh-CN" w:bidi="ar"/>
        </w:rPr>
        <w:t>商品和服务支出</w:t>
      </w:r>
      <w:r>
        <w:rPr>
          <w:rFonts w:hint="default" w:ascii="Times New Roman" w:hAnsi="Times New Roman" w:eastAsia="仿宋_GB2312" w:cs="Times New Roman"/>
          <w:b/>
          <w:bCs/>
          <w:color w:val="000000"/>
          <w:kern w:val="2"/>
          <w:sz w:val="32"/>
          <w:szCs w:val="32"/>
          <w:lang w:val="en-US" w:eastAsia="zh-CN" w:bidi="ar"/>
        </w:rPr>
        <w:t>”</w:t>
      </w:r>
      <w:r>
        <w:rPr>
          <w:rFonts w:hint="default" w:ascii="仿宋_GB2312" w:hAnsi="Times New Roman" w:eastAsia="仿宋_GB2312" w:cs="仿宋_GB2312"/>
          <w:b/>
          <w:bCs/>
          <w:color w:val="000000"/>
          <w:kern w:val="2"/>
          <w:sz w:val="32"/>
          <w:szCs w:val="32"/>
          <w:lang w:val="en-US" w:eastAsia="zh-CN" w:bidi="ar"/>
        </w:rPr>
        <w:t>金额）</w:t>
      </w:r>
    </w:p>
    <w:p>
      <w:pPr>
        <w:keepNext w:val="0"/>
        <w:keepLines w:val="0"/>
        <w:widowControl/>
        <w:suppressLineNumbers w:val="0"/>
        <w:adjustRightInd w:val="0"/>
        <w:snapToGrid w:val="0"/>
        <w:spacing w:before="0" w:beforeAutospacing="1" w:after="0" w:afterAutospacing="1" w:line="600" w:lineRule="exact"/>
        <w:ind w:left="0" w:right="0" w:firstLine="640" w:firstLineChars="200"/>
        <w:jc w:val="left"/>
      </w:pPr>
      <w:r>
        <w:rPr>
          <w:rFonts w:hint="default" w:ascii="仿宋_GB2312" w:eastAsia="仿宋_GB2312" w:cs="仿宋_GB2312" w:hAnsiTheme="minorHAnsi"/>
          <w:color w:val="020202"/>
          <w:kern w:val="2"/>
          <w:sz w:val="32"/>
          <w:szCs w:val="32"/>
          <w:lang w:val="en-US" w:eastAsia="zh-CN" w:bidi="ar"/>
        </w:rPr>
        <w:t>2020年度，铜官区西湖镇机关运行经费支出218.73万元，比2019年减少256.67万元，下降54.0%，主要原因是</w:t>
      </w:r>
      <w:r>
        <w:rPr>
          <w:rFonts w:hint="default" w:ascii="仿宋_GB2312" w:hAnsi="仿宋" w:eastAsia="仿宋_GB2312" w:cs="仿宋_GB2312"/>
          <w:color w:val="020202"/>
          <w:kern w:val="2"/>
          <w:sz w:val="32"/>
          <w:szCs w:val="32"/>
          <w:lang w:val="en-US" w:eastAsia="zh-CN" w:bidi="ar"/>
        </w:rPr>
        <w:t>一是</w:t>
      </w:r>
      <w:r>
        <w:rPr>
          <w:rFonts w:hint="default" w:ascii="仿宋_GB2312" w:eastAsia="仿宋_GB2312" w:cs="仿宋_GB2312" w:hAnsiTheme="minorHAnsi"/>
          <w:color w:val="020202"/>
          <w:kern w:val="2"/>
          <w:sz w:val="32"/>
          <w:szCs w:val="32"/>
          <w:lang w:val="en-US" w:eastAsia="zh-CN" w:bidi="ar"/>
        </w:rPr>
        <w:t>厉行节约，公用经费减少；二是</w:t>
      </w:r>
      <w:r>
        <w:rPr>
          <w:rFonts w:hint="default" w:ascii="仿宋_GB2312" w:hAnsi="仿宋" w:eastAsia="仿宋_GB2312" w:cs="仿宋_GB2312"/>
          <w:color w:val="020202"/>
          <w:kern w:val="2"/>
          <w:sz w:val="32"/>
          <w:szCs w:val="32"/>
          <w:lang w:val="en-US" w:eastAsia="zh-CN" w:bidi="ar"/>
        </w:rPr>
        <w:t>决算科目的调整。</w:t>
      </w:r>
    </w:p>
    <w:p>
      <w:pPr>
        <w:keepNext w:val="0"/>
        <w:keepLines w:val="0"/>
        <w:widowControl/>
        <w:numPr>
          <w:ilvl w:val="0"/>
          <w:numId w:val="0"/>
        </w:numPr>
        <w:suppressLineNumbers w:val="0"/>
        <w:adjustRightInd w:val="0"/>
        <w:snapToGrid w:val="0"/>
        <w:spacing w:before="0" w:beforeAutospacing="1" w:after="0" w:afterAutospacing="1" w:line="600" w:lineRule="exact"/>
        <w:ind w:left="0" w:right="0" w:firstLine="643" w:firstLineChars="200"/>
        <w:jc w:val="left"/>
      </w:pPr>
      <w:r>
        <w:rPr>
          <w:rFonts w:hint="default" w:ascii="楷体_GB2312" w:eastAsia="楷体_GB2312" w:cs="楷体_GB2312" w:hAnsiTheme="minorHAnsi"/>
          <w:b/>
          <w:bCs/>
          <w:color w:val="020202"/>
          <w:kern w:val="2"/>
          <w:sz w:val="32"/>
          <w:szCs w:val="32"/>
          <w:lang w:val="en-US" w:eastAsia="zh-CN" w:bidi="ar"/>
        </w:rPr>
        <w:t>（二）政府采购支出情况。</w:t>
      </w:r>
    </w:p>
    <w:p>
      <w:pPr>
        <w:keepNext w:val="0"/>
        <w:keepLines w:val="0"/>
        <w:widowControl/>
        <w:suppressLineNumbers w:val="0"/>
        <w:adjustRightInd w:val="0"/>
        <w:snapToGrid w:val="0"/>
        <w:spacing w:before="0" w:beforeAutospacing="1" w:after="0" w:afterAutospacing="1" w:line="600" w:lineRule="exact"/>
        <w:ind w:left="0" w:right="0"/>
        <w:jc w:val="left"/>
      </w:pPr>
      <w:r>
        <w:rPr>
          <w:rFonts w:hint="default" w:ascii="仿宋_GB2312" w:hAnsi="Times New Roman" w:eastAsia="仿宋_GB2312" w:cs="仿宋_GB2312"/>
          <w:b/>
          <w:bCs/>
          <w:color w:val="000000"/>
          <w:kern w:val="2"/>
          <w:sz w:val="32"/>
          <w:szCs w:val="32"/>
          <w:lang w:val="en-US" w:eastAsia="zh-CN" w:bidi="ar"/>
        </w:rPr>
        <w:t>我单位</w:t>
      </w:r>
      <w:r>
        <w:rPr>
          <w:rFonts w:hint="default" w:ascii="Times New Roman" w:hAnsi="Times New Roman" w:eastAsia="仿宋_GB2312" w:cs="Times New Roman"/>
          <w:b/>
          <w:bCs/>
          <w:color w:val="000000"/>
          <w:kern w:val="2"/>
          <w:sz w:val="32"/>
          <w:szCs w:val="32"/>
          <w:lang w:val="en-US" w:eastAsia="zh-CN" w:bidi="ar"/>
        </w:rPr>
        <w:t>2020</w:t>
      </w:r>
      <w:r>
        <w:rPr>
          <w:rFonts w:hint="default" w:ascii="仿宋_GB2312" w:hAnsi="Times New Roman" w:eastAsia="仿宋_GB2312" w:cs="仿宋_GB2312"/>
          <w:b/>
          <w:bCs/>
          <w:color w:val="000000"/>
          <w:kern w:val="2"/>
          <w:sz w:val="32"/>
          <w:szCs w:val="32"/>
          <w:lang w:val="en-US" w:eastAsia="zh-CN" w:bidi="ar"/>
        </w:rPr>
        <w:t>年度无政府采购支出。</w:t>
      </w:r>
    </w:p>
    <w:p>
      <w:pPr>
        <w:keepNext w:val="0"/>
        <w:keepLines w:val="0"/>
        <w:widowControl/>
        <w:suppressLineNumbers w:val="0"/>
        <w:adjustRightInd w:val="0"/>
        <w:snapToGrid w:val="0"/>
        <w:spacing w:before="0" w:beforeAutospacing="1" w:after="0" w:afterAutospacing="1" w:line="600" w:lineRule="exact"/>
        <w:ind w:left="0" w:right="0" w:firstLine="643" w:firstLineChars="200"/>
        <w:jc w:val="left"/>
      </w:pPr>
      <w:r>
        <w:rPr>
          <w:rFonts w:hint="default" w:ascii="楷体_GB2312" w:eastAsia="楷体_GB2312" w:cs="楷体_GB2312" w:hAnsiTheme="minorHAnsi"/>
          <w:b/>
          <w:bCs/>
          <w:color w:val="020202"/>
          <w:kern w:val="2"/>
          <w:sz w:val="32"/>
          <w:szCs w:val="32"/>
          <w:lang w:val="en-US" w:eastAsia="zh-CN" w:bidi="ar"/>
        </w:rPr>
        <w:t>（三）国有资产占有使用情况。</w:t>
      </w:r>
    </w:p>
    <w:p>
      <w:pPr>
        <w:keepNext w:val="0"/>
        <w:keepLines w:val="0"/>
        <w:widowControl/>
        <w:suppressLineNumbers w:val="0"/>
        <w:adjustRightInd w:val="0"/>
        <w:snapToGrid w:val="0"/>
        <w:spacing w:before="0" w:beforeAutospacing="1" w:after="0" w:afterAutospacing="1" w:line="600" w:lineRule="exact"/>
        <w:ind w:left="0" w:right="0" w:firstLine="640" w:firstLineChars="200"/>
        <w:jc w:val="left"/>
      </w:pPr>
      <w:r>
        <w:rPr>
          <w:rFonts w:hint="default" w:ascii="仿宋_GB2312" w:hAnsi="楷体" w:eastAsia="仿宋_GB2312" w:cs="仿宋_GB2312"/>
          <w:color w:val="020202"/>
          <w:kern w:val="2"/>
          <w:sz w:val="32"/>
          <w:szCs w:val="32"/>
          <w:lang w:val="en-US" w:eastAsia="zh-CN" w:bidi="ar"/>
        </w:rPr>
        <w:t>截至2020年12月31日，</w:t>
      </w:r>
      <w:r>
        <w:rPr>
          <w:rFonts w:hint="default" w:ascii="仿宋_GB2312" w:hAnsi="Times New Roman" w:eastAsia="仿宋_GB2312" w:cs="仿宋_GB2312"/>
          <w:color w:val="000000"/>
          <w:kern w:val="2"/>
          <w:sz w:val="32"/>
          <w:szCs w:val="32"/>
          <w:lang w:val="en-US" w:eastAsia="zh-CN" w:bidi="ar"/>
        </w:rPr>
        <w:t>铜官区西湖镇人民政府（单位）共有车辆</w:t>
      </w:r>
      <w:r>
        <w:rPr>
          <w:rFonts w:hint="default" w:ascii="Times New Roman" w:hAnsi="Times New Roman" w:eastAsia="仿宋_GB2312" w:cs="Times New Roman"/>
          <w:color w:val="000000"/>
          <w:kern w:val="2"/>
          <w:sz w:val="32"/>
          <w:szCs w:val="32"/>
          <w:lang w:val="en-US" w:eastAsia="zh-CN" w:bidi="ar"/>
        </w:rPr>
        <w:t>4</w:t>
      </w:r>
      <w:r>
        <w:rPr>
          <w:rFonts w:hint="default" w:ascii="仿宋_GB2312" w:hAnsi="Times New Roman" w:eastAsia="仿宋_GB2312" w:cs="仿宋_GB2312"/>
          <w:color w:val="000000"/>
          <w:kern w:val="2"/>
          <w:sz w:val="32"/>
          <w:szCs w:val="32"/>
          <w:lang w:val="en-US" w:eastAsia="zh-CN" w:bidi="ar"/>
        </w:rPr>
        <w:t>辆，其中一般公务用车</w:t>
      </w:r>
      <w:r>
        <w:rPr>
          <w:rFonts w:hint="default" w:ascii="Times New Roman" w:hAnsi="Times New Roman" w:eastAsia="仿宋_GB2312" w:cs="Times New Roman"/>
          <w:color w:val="000000"/>
          <w:kern w:val="2"/>
          <w:sz w:val="32"/>
          <w:szCs w:val="32"/>
          <w:lang w:val="en-US" w:eastAsia="zh-CN" w:bidi="ar"/>
        </w:rPr>
        <w:t>3</w:t>
      </w:r>
      <w:r>
        <w:rPr>
          <w:rFonts w:hint="default" w:ascii="仿宋_GB2312" w:hAnsi="Times New Roman" w:eastAsia="仿宋_GB2312" w:cs="仿宋_GB2312"/>
          <w:color w:val="000000"/>
          <w:kern w:val="2"/>
          <w:sz w:val="32"/>
          <w:szCs w:val="32"/>
          <w:lang w:val="en-US" w:eastAsia="zh-CN" w:bidi="ar"/>
        </w:rPr>
        <w:t>辆、一般执法执勤用车</w:t>
      </w:r>
      <w:r>
        <w:rPr>
          <w:rFonts w:hint="default" w:ascii="Times New Roman" w:hAnsi="Times New Roman" w:eastAsia="仿宋_GB2312" w:cs="Times New Roman"/>
          <w:color w:val="000000"/>
          <w:kern w:val="2"/>
          <w:sz w:val="32"/>
          <w:szCs w:val="32"/>
          <w:lang w:val="en-US" w:eastAsia="zh-CN" w:bidi="ar"/>
        </w:rPr>
        <w:t>1</w:t>
      </w:r>
      <w:r>
        <w:rPr>
          <w:rFonts w:hint="default" w:ascii="仿宋_GB2312" w:hAnsi="Times New Roman" w:eastAsia="仿宋_GB2312" w:cs="仿宋_GB2312"/>
          <w:color w:val="000000"/>
          <w:kern w:val="2"/>
          <w:sz w:val="32"/>
          <w:szCs w:val="32"/>
          <w:lang w:val="en-US" w:eastAsia="zh-CN" w:bidi="ar"/>
        </w:rPr>
        <w:t>辆、；单价</w:t>
      </w:r>
      <w:r>
        <w:rPr>
          <w:rFonts w:hint="default" w:ascii="Times New Roman" w:hAnsi="Times New Roman" w:eastAsia="仿宋_GB2312" w:cs="Times New Roman"/>
          <w:color w:val="000000"/>
          <w:kern w:val="2"/>
          <w:sz w:val="32"/>
          <w:szCs w:val="32"/>
          <w:lang w:val="en-US" w:eastAsia="zh-CN" w:bidi="ar"/>
        </w:rPr>
        <w:t>50</w:t>
      </w:r>
      <w:r>
        <w:rPr>
          <w:rFonts w:hint="default" w:ascii="仿宋_GB2312" w:hAnsi="Times New Roman" w:eastAsia="仿宋_GB2312" w:cs="仿宋_GB2312"/>
          <w:color w:val="000000"/>
          <w:kern w:val="2"/>
          <w:sz w:val="32"/>
          <w:szCs w:val="32"/>
          <w:lang w:val="en-US" w:eastAsia="zh-CN" w:bidi="ar"/>
        </w:rPr>
        <w:t>万元以上的通用设备</w:t>
      </w:r>
      <w:r>
        <w:rPr>
          <w:rFonts w:hint="default" w:ascii="Times New Roman" w:hAnsi="Times New Roman" w:eastAsia="仿宋_GB2312" w:cs="Times New Roman"/>
          <w:color w:val="000000"/>
          <w:kern w:val="2"/>
          <w:sz w:val="32"/>
          <w:szCs w:val="32"/>
          <w:lang w:val="en-US" w:eastAsia="zh-CN" w:bidi="ar"/>
        </w:rPr>
        <w:t>0</w:t>
      </w:r>
      <w:r>
        <w:rPr>
          <w:rFonts w:hint="default" w:ascii="仿宋_GB2312" w:hAnsi="Times New Roman" w:eastAsia="仿宋_GB2312" w:cs="仿宋_GB2312"/>
          <w:color w:val="000000"/>
          <w:kern w:val="2"/>
          <w:sz w:val="32"/>
          <w:szCs w:val="32"/>
          <w:lang w:val="en-US" w:eastAsia="zh-CN" w:bidi="ar"/>
        </w:rPr>
        <w:t>台（套），单价</w:t>
      </w:r>
      <w:r>
        <w:rPr>
          <w:rFonts w:hint="default" w:ascii="Times New Roman" w:hAnsi="Times New Roman" w:eastAsia="仿宋_GB2312" w:cs="Times New Roman"/>
          <w:color w:val="000000"/>
          <w:kern w:val="2"/>
          <w:sz w:val="32"/>
          <w:szCs w:val="32"/>
          <w:lang w:val="en-US" w:eastAsia="zh-CN" w:bidi="ar"/>
        </w:rPr>
        <w:t>100</w:t>
      </w:r>
      <w:r>
        <w:rPr>
          <w:rFonts w:hint="default" w:ascii="仿宋_GB2312" w:hAnsi="Times New Roman" w:eastAsia="仿宋_GB2312" w:cs="仿宋_GB2312"/>
          <w:color w:val="000000"/>
          <w:kern w:val="2"/>
          <w:sz w:val="32"/>
          <w:szCs w:val="32"/>
          <w:lang w:val="en-US" w:eastAsia="zh-CN" w:bidi="ar"/>
        </w:rPr>
        <w:t>万以上的大型设备</w:t>
      </w:r>
      <w:r>
        <w:rPr>
          <w:rFonts w:hint="default" w:ascii="Times New Roman" w:hAnsi="Times New Roman" w:eastAsia="仿宋_GB2312" w:cs="Times New Roman"/>
          <w:color w:val="000000"/>
          <w:kern w:val="2"/>
          <w:sz w:val="32"/>
          <w:szCs w:val="32"/>
          <w:lang w:val="en-US" w:eastAsia="zh-CN" w:bidi="ar"/>
        </w:rPr>
        <w:t>0</w:t>
      </w:r>
      <w:r>
        <w:rPr>
          <w:rFonts w:hint="default" w:ascii="仿宋_GB2312" w:hAnsi="Times New Roman" w:eastAsia="仿宋_GB2312" w:cs="仿宋_GB2312"/>
          <w:color w:val="000000"/>
          <w:kern w:val="2"/>
          <w:sz w:val="32"/>
          <w:szCs w:val="32"/>
          <w:lang w:val="en-US" w:eastAsia="zh-CN" w:bidi="ar"/>
        </w:rPr>
        <w:t>台（套）。</w:t>
      </w:r>
      <w:r>
        <w:rPr>
          <w:rFonts w:hint="default" w:ascii="仿宋_GB2312" w:hAnsi="仿宋" w:eastAsia="仿宋_GB2312" w:cs="Times New Roman"/>
          <w:kern w:val="2"/>
          <w:sz w:val="32"/>
          <w:szCs w:val="32"/>
          <w:lang w:val="en-US" w:eastAsia="zh-CN" w:bidi="ar"/>
        </w:rPr>
        <w:br w:type="textWrapping"/>
      </w:r>
      <w:r>
        <w:rPr>
          <w:rFonts w:hint="default" w:ascii="楷体_GB2312" w:eastAsia="楷体_GB2312" w:cs="楷体_GB2312" w:hAnsiTheme="minorHAnsi"/>
          <w:b/>
          <w:bCs/>
          <w:color w:val="020202"/>
          <w:kern w:val="2"/>
          <w:sz w:val="32"/>
          <w:szCs w:val="32"/>
          <w:lang w:val="en-US" w:eastAsia="zh-CN" w:bidi="ar"/>
        </w:rPr>
        <w:t>（四）关于2020年度预算绩效情况说明</w:t>
      </w:r>
    </w:p>
    <w:p>
      <w:pPr>
        <w:keepNext w:val="0"/>
        <w:keepLines w:val="0"/>
        <w:widowControl/>
        <w:suppressLineNumbers w:val="0"/>
        <w:spacing w:before="0" w:beforeAutospacing="1" w:after="0" w:afterAutospacing="1" w:line="600" w:lineRule="exact"/>
        <w:ind w:left="0" w:right="0" w:firstLine="643" w:firstLineChars="200"/>
        <w:jc w:val="left"/>
      </w:pPr>
      <w:r>
        <w:rPr>
          <w:rFonts w:hint="default" w:ascii="仿宋_GB2312" w:hAnsi="Times New Roman" w:eastAsia="仿宋_GB2312" w:cs="仿宋_GB2312"/>
          <w:b/>
          <w:bCs w:val="0"/>
          <w:kern w:val="2"/>
          <w:sz w:val="32"/>
          <w:szCs w:val="32"/>
          <w:lang w:val="en-US" w:eastAsia="zh-CN" w:bidi="ar"/>
        </w:rPr>
        <w:t>根</w:t>
      </w:r>
      <w:r>
        <w:rPr>
          <w:rFonts w:hint="default" w:ascii="仿宋_GB2312" w:hAnsi="宋体" w:eastAsia="仿宋_GB2312" w:cs="仿宋_GB2312"/>
          <w:b/>
          <w:bCs w:val="0"/>
          <w:kern w:val="2"/>
          <w:sz w:val="32"/>
          <w:szCs w:val="32"/>
          <w:lang w:val="en-US" w:eastAsia="zh-CN" w:bidi="ar"/>
        </w:rPr>
        <w:t>据预算绩效管理要求，本部门组织对</w:t>
      </w:r>
      <w:r>
        <w:rPr>
          <w:rFonts w:hint="eastAsia" w:ascii="宋体" w:hAnsi="宋体" w:eastAsia="宋体" w:cs="宋体"/>
          <w:b/>
          <w:bCs w:val="0"/>
          <w:kern w:val="2"/>
          <w:sz w:val="32"/>
          <w:szCs w:val="32"/>
          <w:lang w:val="en-US" w:eastAsia="zh-CN" w:bidi="ar"/>
        </w:rPr>
        <w:t>2020</w:t>
      </w:r>
      <w:r>
        <w:rPr>
          <w:rFonts w:hint="default" w:ascii="仿宋_GB2312" w:hAnsi="宋体" w:eastAsia="仿宋_GB2312" w:cs="仿宋_GB2312"/>
          <w:b/>
          <w:bCs w:val="0"/>
          <w:kern w:val="2"/>
          <w:sz w:val="32"/>
          <w:szCs w:val="32"/>
          <w:lang w:val="en-US" w:eastAsia="zh-CN" w:bidi="ar"/>
        </w:rPr>
        <w:t>年度纳入部门预算的项目支出全面开展了绩效自评，共</w:t>
      </w:r>
      <w:r>
        <w:rPr>
          <w:rFonts w:hint="eastAsia" w:ascii="宋体" w:hAnsi="宋体" w:eastAsia="宋体" w:cs="宋体"/>
          <w:b/>
          <w:bCs w:val="0"/>
          <w:kern w:val="2"/>
          <w:sz w:val="32"/>
          <w:szCs w:val="32"/>
          <w:lang w:val="en-US" w:eastAsia="zh-CN" w:bidi="ar"/>
        </w:rPr>
        <w:t>0</w:t>
      </w:r>
      <w:r>
        <w:rPr>
          <w:rFonts w:hint="default" w:ascii="仿宋_GB2312" w:hAnsi="宋体" w:eastAsia="仿宋_GB2312" w:cs="仿宋_GB2312"/>
          <w:b/>
          <w:bCs w:val="0"/>
          <w:kern w:val="2"/>
          <w:sz w:val="32"/>
          <w:szCs w:val="32"/>
          <w:lang w:val="en-US" w:eastAsia="zh-CN" w:bidi="ar"/>
        </w:rPr>
        <w:t>个项目，涉及资金</w:t>
      </w:r>
      <w:r>
        <w:rPr>
          <w:rFonts w:hint="eastAsia" w:ascii="宋体" w:hAnsi="宋体" w:eastAsia="宋体" w:cs="宋体"/>
          <w:b/>
          <w:bCs w:val="0"/>
          <w:kern w:val="2"/>
          <w:sz w:val="32"/>
          <w:szCs w:val="32"/>
          <w:lang w:val="en-US" w:eastAsia="zh-CN" w:bidi="ar"/>
        </w:rPr>
        <w:t>0</w:t>
      </w:r>
      <w:r>
        <w:rPr>
          <w:rFonts w:hint="default" w:ascii="仿宋_GB2312" w:hAnsi="宋体" w:eastAsia="仿宋_GB2312" w:cs="仿宋_GB2312"/>
          <w:b/>
          <w:bCs w:val="0"/>
          <w:kern w:val="2"/>
          <w:sz w:val="32"/>
          <w:szCs w:val="32"/>
          <w:lang w:val="en-US" w:eastAsia="zh-CN" w:bidi="ar"/>
        </w:rPr>
        <w:t>万元，占项目预算总额的</w:t>
      </w:r>
      <w:r>
        <w:rPr>
          <w:rFonts w:hint="eastAsia" w:ascii="宋体" w:hAnsi="宋体" w:eastAsia="宋体" w:cs="宋体"/>
          <w:b/>
          <w:bCs w:val="0"/>
          <w:kern w:val="2"/>
          <w:sz w:val="32"/>
          <w:szCs w:val="32"/>
          <w:lang w:val="en-US" w:eastAsia="zh-CN" w:bidi="ar"/>
        </w:rPr>
        <w:t>0%</w:t>
      </w:r>
      <w:r>
        <w:rPr>
          <w:rFonts w:hint="default" w:ascii="仿宋_GB2312" w:hAnsi="宋体" w:eastAsia="仿宋_GB2312" w:cs="仿宋_GB2312"/>
          <w:b/>
          <w:bCs w:val="0"/>
          <w:kern w:val="2"/>
          <w:sz w:val="32"/>
          <w:szCs w:val="32"/>
          <w:lang w:val="en-US" w:eastAsia="zh-CN" w:bidi="ar"/>
        </w:rPr>
        <w:t>。本部门共组织对</w:t>
      </w:r>
      <w:r>
        <w:rPr>
          <w:rFonts w:hint="eastAsia" w:ascii="宋体" w:hAnsi="宋体" w:eastAsia="宋体" w:cs="宋体"/>
          <w:b/>
          <w:bCs w:val="0"/>
          <w:kern w:val="2"/>
          <w:sz w:val="32"/>
          <w:szCs w:val="32"/>
          <w:lang w:val="en-US" w:eastAsia="zh-CN" w:bidi="ar"/>
        </w:rPr>
        <w:t>0</w:t>
      </w:r>
      <w:r>
        <w:rPr>
          <w:rFonts w:hint="default" w:ascii="仿宋_GB2312" w:hAnsi="宋体" w:eastAsia="仿宋_GB2312" w:cs="仿宋_GB2312"/>
          <w:b/>
          <w:bCs w:val="0"/>
          <w:kern w:val="2"/>
          <w:sz w:val="32"/>
          <w:szCs w:val="32"/>
          <w:lang w:val="en-US" w:eastAsia="zh-CN" w:bidi="ar"/>
        </w:rPr>
        <w:t>个项目开展了重点绩效评价，涉及资金</w:t>
      </w:r>
      <w:r>
        <w:rPr>
          <w:rFonts w:hint="eastAsia" w:ascii="宋体" w:hAnsi="宋体" w:eastAsia="宋体" w:cs="宋体"/>
          <w:b/>
          <w:bCs w:val="0"/>
          <w:kern w:val="2"/>
          <w:sz w:val="32"/>
          <w:szCs w:val="32"/>
          <w:lang w:val="en-US" w:eastAsia="zh-CN" w:bidi="ar"/>
        </w:rPr>
        <w:t>0</w:t>
      </w:r>
      <w:r>
        <w:rPr>
          <w:rFonts w:hint="default" w:ascii="仿宋_GB2312" w:hAnsi="宋体" w:eastAsia="仿宋_GB2312" w:cs="仿宋_GB2312"/>
          <w:b/>
          <w:bCs w:val="0"/>
          <w:kern w:val="2"/>
          <w:sz w:val="32"/>
          <w:szCs w:val="32"/>
          <w:lang w:val="en-US" w:eastAsia="zh-CN" w:bidi="ar"/>
        </w:rPr>
        <w:t>万元。未组织开展</w:t>
      </w:r>
      <w:r>
        <w:rPr>
          <w:rFonts w:hint="eastAsia" w:ascii="宋体" w:hAnsi="宋体" w:eastAsia="宋体" w:cs="宋体"/>
          <w:b/>
          <w:bCs w:val="0"/>
          <w:kern w:val="2"/>
          <w:sz w:val="32"/>
          <w:szCs w:val="32"/>
          <w:lang w:val="en-US" w:eastAsia="zh-CN" w:bidi="ar"/>
        </w:rPr>
        <w:t>2020</w:t>
      </w:r>
      <w:r>
        <w:rPr>
          <w:rFonts w:hint="default" w:ascii="仿宋_GB2312" w:hAnsi="宋体" w:eastAsia="仿宋_GB2312" w:cs="仿宋_GB2312"/>
          <w:b/>
          <w:bCs w:val="0"/>
          <w:kern w:val="2"/>
          <w:sz w:val="32"/>
          <w:szCs w:val="32"/>
          <w:lang w:val="en-US" w:eastAsia="zh-CN" w:bidi="ar"/>
        </w:rPr>
        <w:t>年度部门整体支出绩效评价。</w:t>
      </w:r>
    </w:p>
    <w:p>
      <w:pPr>
        <w:keepNext w:val="0"/>
        <w:keepLines w:val="0"/>
        <w:widowControl/>
        <w:suppressLineNumbers w:val="0"/>
        <w:adjustRightInd w:val="0"/>
        <w:snapToGrid w:val="0"/>
        <w:spacing w:before="0" w:beforeAutospacing="1" w:after="0" w:afterAutospacing="1" w:line="600" w:lineRule="exact"/>
        <w:ind w:left="0" w:right="0" w:firstLine="640" w:firstLineChars="200"/>
        <w:jc w:val="left"/>
      </w:pPr>
      <w:r>
        <w:rPr>
          <w:rFonts w:hint="eastAsia" w:ascii="黑体" w:hAnsi="宋体" w:eastAsia="黑体" w:cs="黑体"/>
          <w:color w:val="020202"/>
          <w:kern w:val="2"/>
          <w:sz w:val="32"/>
          <w:szCs w:val="32"/>
          <w:lang w:val="en-US" w:eastAsia="zh-CN" w:bidi="ar"/>
        </w:rPr>
        <w:t>第四部分 名词解释</w:t>
      </w:r>
    </w:p>
    <w:p>
      <w:pPr>
        <w:keepNext w:val="0"/>
        <w:keepLines w:val="0"/>
        <w:widowControl/>
        <w:suppressLineNumbers w:val="0"/>
        <w:adjustRightInd w:val="0"/>
        <w:snapToGrid w:val="0"/>
        <w:spacing w:before="0" w:beforeAutospacing="1" w:after="0" w:afterAutospacing="1" w:line="600" w:lineRule="exact"/>
        <w:ind w:left="0" w:right="0" w:firstLine="643" w:firstLineChars="200"/>
        <w:jc w:val="left"/>
      </w:pPr>
      <w:r>
        <w:rPr>
          <w:rFonts w:hint="default" w:ascii="仿宋_GB2312" w:eastAsia="仿宋_GB2312" w:cs="仿宋_GB2312" w:hAnsiTheme="minorHAnsi"/>
          <w:b/>
          <w:bCs w:val="0"/>
          <w:color w:val="020202"/>
          <w:kern w:val="2"/>
          <w:sz w:val="32"/>
          <w:szCs w:val="32"/>
          <w:lang w:val="en-US" w:eastAsia="zh-CN" w:bidi="ar"/>
        </w:rPr>
        <w:t>一、财政拨款收入：</w:t>
      </w:r>
      <w:r>
        <w:rPr>
          <w:rFonts w:hint="default" w:ascii="仿宋_GB2312" w:eastAsia="仿宋_GB2312" w:cs="仿宋_GB2312" w:hAnsiTheme="minorHAnsi"/>
          <w:color w:val="020202"/>
          <w:kern w:val="2"/>
          <w:sz w:val="32"/>
          <w:szCs w:val="32"/>
          <w:lang w:val="en-US" w:eastAsia="zh-CN" w:bidi="ar"/>
        </w:rPr>
        <w:t>指单位从同级财政部门取得的财政预算资金。</w:t>
      </w:r>
    </w:p>
    <w:p>
      <w:pPr>
        <w:keepNext w:val="0"/>
        <w:keepLines w:val="0"/>
        <w:widowControl/>
        <w:suppressLineNumbers w:val="0"/>
        <w:adjustRightInd w:val="0"/>
        <w:snapToGrid w:val="0"/>
        <w:spacing w:before="0" w:beforeAutospacing="1" w:after="0" w:afterAutospacing="1" w:line="600" w:lineRule="exact"/>
        <w:ind w:left="0" w:right="0" w:firstLine="643" w:firstLineChars="200"/>
        <w:jc w:val="left"/>
      </w:pPr>
      <w:r>
        <w:rPr>
          <w:rFonts w:hint="default" w:ascii="仿宋_GB2312" w:eastAsia="仿宋_GB2312" w:cs="仿宋_GB2312" w:hAnsiTheme="minorHAnsi"/>
          <w:b/>
          <w:bCs/>
          <w:color w:val="020202"/>
          <w:kern w:val="2"/>
          <w:sz w:val="32"/>
          <w:szCs w:val="32"/>
          <w:lang w:val="en-US" w:eastAsia="zh-CN" w:bidi="ar"/>
        </w:rPr>
        <w:t>二、事业收入：</w:t>
      </w:r>
      <w:r>
        <w:rPr>
          <w:rFonts w:hint="default" w:ascii="仿宋_GB2312" w:eastAsia="仿宋_GB2312" w:cs="仿宋_GB2312" w:hAnsiTheme="minorHAnsi"/>
          <w:color w:val="020202"/>
          <w:kern w:val="2"/>
          <w:sz w:val="32"/>
          <w:szCs w:val="32"/>
          <w:lang w:val="en-US" w:eastAsia="zh-CN" w:bidi="ar"/>
        </w:rPr>
        <w:t>指事业单位开展专业业务活动及辅助活动所取得的收入。</w:t>
      </w:r>
    </w:p>
    <w:p>
      <w:pPr>
        <w:pStyle w:val="2"/>
        <w:keepNext w:val="0"/>
        <w:keepLines w:val="0"/>
        <w:widowControl/>
        <w:suppressLineNumbers w:val="0"/>
        <w:adjustRightInd w:val="0"/>
        <w:snapToGrid w:val="0"/>
        <w:spacing w:before="0" w:beforeLines="0" w:beforeAutospacing="0" w:after="0" w:afterLines="0" w:afterAutospacing="0" w:line="600" w:lineRule="exact"/>
        <w:ind w:left="0" w:right="0" w:firstLine="643" w:firstLineChars="200"/>
      </w:pPr>
      <w:r>
        <w:rPr>
          <w:rFonts w:hint="default" w:ascii="仿宋_GB2312" w:eastAsia="仿宋_GB2312" w:cs="仿宋_GB2312"/>
          <w:b/>
          <w:bCs w:val="0"/>
          <w:kern w:val="0"/>
          <w:sz w:val="32"/>
          <w:szCs w:val="32"/>
        </w:rPr>
        <w:t>三、</w:t>
      </w:r>
      <w:r>
        <w:rPr>
          <w:rFonts w:hint="default" w:ascii="仿宋_GB2312" w:eastAsia="仿宋_GB2312" w:cs="仿宋_GB2312"/>
          <w:b/>
          <w:bCs/>
          <w:kern w:val="0"/>
          <w:sz w:val="32"/>
          <w:szCs w:val="32"/>
        </w:rPr>
        <w:t>上级补助收入：</w:t>
      </w:r>
      <w:r>
        <w:rPr>
          <w:rFonts w:hint="default" w:ascii="仿宋_GB2312" w:eastAsia="仿宋_GB2312" w:cs="仿宋_GB2312"/>
          <w:bCs/>
          <w:kern w:val="0"/>
          <w:sz w:val="32"/>
          <w:szCs w:val="32"/>
        </w:rPr>
        <w:t>指</w:t>
      </w:r>
      <w:r>
        <w:rPr>
          <w:rFonts w:hint="default" w:ascii="仿宋_GB2312" w:eastAsia="仿宋_GB2312" w:cs="仿宋_GB2312"/>
          <w:kern w:val="2"/>
          <w:sz w:val="32"/>
          <w:szCs w:val="32"/>
        </w:rPr>
        <w:t>事业单位从主管部门和上级单位取得的非财政补助收入。</w:t>
      </w:r>
    </w:p>
    <w:p>
      <w:pPr>
        <w:pStyle w:val="2"/>
        <w:keepNext w:val="0"/>
        <w:keepLines w:val="0"/>
        <w:widowControl/>
        <w:suppressLineNumbers w:val="0"/>
        <w:adjustRightInd w:val="0"/>
        <w:snapToGrid w:val="0"/>
        <w:spacing w:before="0" w:beforeLines="0" w:beforeAutospacing="0" w:after="0" w:afterLines="0" w:afterAutospacing="0" w:line="600" w:lineRule="exact"/>
        <w:ind w:left="0" w:right="0" w:firstLine="643" w:firstLineChars="200"/>
      </w:pPr>
      <w:r>
        <w:rPr>
          <w:rFonts w:hint="default" w:ascii="仿宋_GB2312" w:eastAsia="仿宋_GB2312" w:cs="仿宋_GB2312"/>
          <w:b/>
          <w:bCs/>
          <w:kern w:val="0"/>
          <w:sz w:val="32"/>
          <w:szCs w:val="32"/>
        </w:rPr>
        <w:t>四、附属单位上缴收入：</w:t>
      </w:r>
      <w:r>
        <w:rPr>
          <w:rFonts w:hint="default" w:ascii="仿宋_GB2312" w:eastAsia="仿宋_GB2312" w:cs="仿宋_GB2312"/>
          <w:bCs/>
          <w:kern w:val="0"/>
          <w:sz w:val="32"/>
          <w:szCs w:val="32"/>
        </w:rPr>
        <w:t>指事业单位附属独立核算单位按照有关规定上缴的收入。</w:t>
      </w:r>
    </w:p>
    <w:p>
      <w:pPr>
        <w:pStyle w:val="2"/>
        <w:keepNext w:val="0"/>
        <w:keepLines w:val="0"/>
        <w:widowControl/>
        <w:suppressLineNumbers w:val="0"/>
        <w:adjustRightInd w:val="0"/>
        <w:snapToGrid w:val="0"/>
        <w:spacing w:before="0" w:beforeLines="0" w:beforeAutospacing="0" w:after="0" w:afterLines="0" w:afterAutospacing="0" w:line="600" w:lineRule="exact"/>
        <w:ind w:left="0" w:right="0" w:firstLine="643" w:firstLineChars="200"/>
      </w:pPr>
      <w:r>
        <w:rPr>
          <w:rFonts w:hint="default" w:ascii="仿宋_GB2312" w:eastAsia="仿宋_GB2312" w:cs="仿宋_GB2312"/>
          <w:b/>
          <w:bCs/>
          <w:kern w:val="0"/>
          <w:sz w:val="32"/>
          <w:szCs w:val="32"/>
        </w:rPr>
        <w:t>五、经营收入</w:t>
      </w:r>
      <w:r>
        <w:rPr>
          <w:rFonts w:hint="default" w:ascii="仿宋_GB2312" w:eastAsia="仿宋_GB2312" w:cs="仿宋_GB2312"/>
          <w:b/>
          <w:bCs/>
          <w:color w:val="383535"/>
          <w:kern w:val="0"/>
          <w:sz w:val="32"/>
          <w:szCs w:val="32"/>
        </w:rPr>
        <w:t>：</w:t>
      </w:r>
      <w:r>
        <w:rPr>
          <w:rFonts w:hint="default" w:ascii="仿宋_GB2312" w:eastAsia="仿宋_GB2312" w:cs="仿宋_GB2312"/>
          <w:bCs/>
          <w:kern w:val="0"/>
          <w:sz w:val="32"/>
          <w:szCs w:val="32"/>
        </w:rPr>
        <w:t>指事业单位在专业业务活动及其辅助活动之外开展非独立核算经营活动取得的收入。</w:t>
      </w:r>
    </w:p>
    <w:p>
      <w:pPr>
        <w:pStyle w:val="2"/>
        <w:keepNext w:val="0"/>
        <w:keepLines w:val="0"/>
        <w:widowControl/>
        <w:suppressLineNumbers w:val="0"/>
        <w:adjustRightInd w:val="0"/>
        <w:snapToGrid w:val="0"/>
        <w:spacing w:before="0" w:beforeLines="0" w:beforeAutospacing="0" w:after="0" w:afterLines="0" w:afterAutospacing="0" w:line="600" w:lineRule="exact"/>
        <w:ind w:left="0" w:right="0" w:firstLine="643" w:firstLineChars="200"/>
      </w:pPr>
      <w:r>
        <w:rPr>
          <w:rFonts w:hint="default" w:ascii="仿宋_GB2312" w:eastAsia="仿宋_GB2312" w:cs="仿宋_GB2312"/>
          <w:b/>
          <w:bCs w:val="0"/>
          <w:kern w:val="0"/>
          <w:sz w:val="32"/>
          <w:szCs w:val="32"/>
        </w:rPr>
        <w:t>六、</w:t>
      </w:r>
      <w:r>
        <w:rPr>
          <w:rFonts w:hint="default" w:ascii="仿宋_GB2312" w:eastAsia="仿宋_GB2312" w:cs="仿宋_GB2312"/>
          <w:b/>
          <w:bCs/>
          <w:kern w:val="0"/>
          <w:sz w:val="32"/>
          <w:szCs w:val="32"/>
        </w:rPr>
        <w:t>其他收入：</w:t>
      </w:r>
      <w:r>
        <w:rPr>
          <w:rFonts w:hint="default" w:ascii="仿宋_GB2312" w:eastAsia="仿宋_GB2312" w:cs="仿宋_GB2312"/>
          <w:bCs/>
          <w:kern w:val="0"/>
          <w:sz w:val="32"/>
          <w:szCs w:val="32"/>
        </w:rPr>
        <w:t>指除财政拨款收入、事业收入、上级补助收入、附属单位上缴收入、经营收入以外的各项收入</w:t>
      </w:r>
      <w:r>
        <w:rPr>
          <w:rFonts w:hint="default" w:ascii="仿宋_GB2312" w:eastAsia="仿宋_GB2312" w:cs="仿宋_GB2312"/>
          <w:bCs/>
          <w:color w:val="FF0000"/>
          <w:kern w:val="0"/>
          <w:sz w:val="32"/>
          <w:szCs w:val="32"/>
        </w:rPr>
        <w:t>。</w:t>
      </w:r>
    </w:p>
    <w:p>
      <w:pPr>
        <w:pStyle w:val="2"/>
        <w:keepNext w:val="0"/>
        <w:keepLines w:val="0"/>
        <w:widowControl/>
        <w:suppressLineNumbers w:val="0"/>
        <w:adjustRightInd w:val="0"/>
        <w:snapToGrid w:val="0"/>
        <w:spacing w:before="0" w:beforeLines="0" w:beforeAutospacing="0" w:after="0" w:afterLines="0" w:afterAutospacing="0" w:line="600" w:lineRule="exact"/>
        <w:ind w:left="0" w:right="0" w:firstLine="643" w:firstLineChars="200"/>
      </w:pPr>
      <w:r>
        <w:rPr>
          <w:rFonts w:hint="default" w:ascii="仿宋_GB2312" w:eastAsia="仿宋_GB2312" w:cs="仿宋_GB2312"/>
          <w:b/>
          <w:bCs/>
          <w:kern w:val="0"/>
          <w:sz w:val="32"/>
          <w:szCs w:val="32"/>
        </w:rPr>
        <w:t>七、使用非财政拨款结余：</w:t>
      </w:r>
      <w:r>
        <w:rPr>
          <w:rFonts w:hint="default" w:ascii="仿宋_GB2312" w:eastAsia="仿宋_GB2312" w:cs="仿宋_GB2312"/>
          <w:bCs/>
          <w:kern w:val="0"/>
          <w:sz w:val="32"/>
          <w:szCs w:val="32"/>
        </w:rPr>
        <w:t>指事业单位使用以前年度积累的非财政拨款结余弥补当年收支差额的金额。</w:t>
      </w:r>
    </w:p>
    <w:p>
      <w:pPr>
        <w:pStyle w:val="2"/>
        <w:keepNext w:val="0"/>
        <w:keepLines w:val="0"/>
        <w:widowControl/>
        <w:suppressLineNumbers w:val="0"/>
        <w:adjustRightInd w:val="0"/>
        <w:snapToGrid w:val="0"/>
        <w:spacing w:before="0" w:beforeLines="0" w:beforeAutospacing="0" w:after="0" w:afterLines="0" w:afterAutospacing="0" w:line="600" w:lineRule="exact"/>
        <w:ind w:left="0" w:right="0" w:firstLine="643" w:firstLineChars="200"/>
      </w:pPr>
      <w:r>
        <w:rPr>
          <w:rFonts w:hint="default" w:ascii="仿宋_GB2312" w:eastAsia="仿宋_GB2312" w:cs="仿宋_GB2312"/>
          <w:b/>
          <w:bCs/>
          <w:kern w:val="0"/>
          <w:sz w:val="32"/>
          <w:szCs w:val="32"/>
        </w:rPr>
        <w:t>八、年初结转和结余：</w:t>
      </w:r>
      <w:r>
        <w:rPr>
          <w:rFonts w:hint="default" w:ascii="仿宋_GB2312" w:eastAsia="仿宋_GB2312" w:cs="仿宋_GB2312"/>
          <w:bCs/>
          <w:kern w:val="0"/>
          <w:sz w:val="32"/>
          <w:szCs w:val="32"/>
        </w:rPr>
        <w:t>指以前年度安排、结转到本年仍按原规定用途继续使用的资金。</w:t>
      </w:r>
    </w:p>
    <w:p>
      <w:pPr>
        <w:pStyle w:val="2"/>
        <w:keepNext w:val="0"/>
        <w:keepLines w:val="0"/>
        <w:widowControl/>
        <w:suppressLineNumbers w:val="0"/>
        <w:adjustRightInd w:val="0"/>
        <w:snapToGrid w:val="0"/>
        <w:spacing w:before="0" w:beforeLines="0" w:beforeAutospacing="0" w:after="0" w:afterLines="0" w:afterAutospacing="0" w:line="600" w:lineRule="exact"/>
        <w:ind w:left="0" w:right="0" w:firstLine="643" w:firstLineChars="200"/>
      </w:pPr>
      <w:r>
        <w:rPr>
          <w:rFonts w:hint="default" w:ascii="仿宋_GB2312" w:eastAsia="仿宋_GB2312" w:cs="仿宋_GB2312"/>
          <w:b/>
          <w:bCs/>
          <w:kern w:val="0"/>
          <w:sz w:val="32"/>
          <w:szCs w:val="32"/>
        </w:rPr>
        <w:t>九、结余分配：</w:t>
      </w:r>
      <w:r>
        <w:rPr>
          <w:rFonts w:hint="default" w:ascii="仿宋_GB2312" w:eastAsia="仿宋_GB2312" w:cs="仿宋_GB2312"/>
          <w:bCs/>
          <w:kern w:val="0"/>
          <w:sz w:val="32"/>
          <w:szCs w:val="32"/>
        </w:rPr>
        <w:t>指事业单位按照会计制度规定缴纳的所得税以及从非财政拨款结余中提取的职工福利基金、事业基金等。</w:t>
      </w:r>
    </w:p>
    <w:p>
      <w:pPr>
        <w:pStyle w:val="2"/>
        <w:keepNext w:val="0"/>
        <w:keepLines w:val="0"/>
        <w:widowControl/>
        <w:suppressLineNumbers w:val="0"/>
        <w:adjustRightInd w:val="0"/>
        <w:snapToGrid w:val="0"/>
        <w:spacing w:before="0" w:beforeLines="0" w:beforeAutospacing="0" w:after="0" w:afterLines="0" w:afterAutospacing="0" w:line="600" w:lineRule="exact"/>
        <w:ind w:left="0" w:right="0" w:firstLine="643" w:firstLineChars="200"/>
      </w:pPr>
      <w:r>
        <w:rPr>
          <w:rFonts w:hint="default" w:ascii="仿宋_GB2312" w:eastAsia="仿宋_GB2312" w:cs="仿宋_GB2312"/>
          <w:b/>
          <w:bCs/>
          <w:kern w:val="0"/>
          <w:sz w:val="32"/>
          <w:szCs w:val="32"/>
        </w:rPr>
        <w:t>十、年末结转和结余：</w:t>
      </w:r>
      <w:r>
        <w:rPr>
          <w:rFonts w:hint="default" w:ascii="仿宋_GB2312" w:eastAsia="仿宋_GB2312" w:cs="仿宋_GB2312"/>
          <w:bCs/>
          <w:kern w:val="0"/>
          <w:sz w:val="32"/>
          <w:szCs w:val="32"/>
        </w:rPr>
        <w:t>指单位本年度或以前年度预算安排、因客观条件发生变化未全部执行或未执行，结转到以后年度继续使用的资金，或项目已经完成等产生的结余资金。</w:t>
      </w:r>
    </w:p>
    <w:p>
      <w:pPr>
        <w:pStyle w:val="2"/>
        <w:keepNext w:val="0"/>
        <w:keepLines w:val="0"/>
        <w:widowControl/>
        <w:suppressLineNumbers w:val="0"/>
        <w:adjustRightInd w:val="0"/>
        <w:snapToGrid w:val="0"/>
        <w:spacing w:before="0" w:beforeLines="0" w:beforeAutospacing="0" w:after="0" w:afterLines="0" w:afterAutospacing="0" w:line="600" w:lineRule="exact"/>
        <w:ind w:left="0" w:right="0" w:firstLine="643" w:firstLineChars="200"/>
      </w:pPr>
      <w:r>
        <w:rPr>
          <w:rFonts w:hint="default" w:ascii="仿宋_GB2312" w:eastAsia="仿宋_GB2312" w:cs="仿宋_GB2312"/>
          <w:b/>
          <w:bCs w:val="0"/>
          <w:kern w:val="0"/>
          <w:sz w:val="32"/>
          <w:szCs w:val="32"/>
        </w:rPr>
        <w:t>十一、基本支出：</w:t>
      </w:r>
      <w:r>
        <w:rPr>
          <w:rFonts w:hint="default" w:ascii="仿宋_GB2312" w:eastAsia="仿宋_GB2312" w:cs="仿宋_GB2312"/>
          <w:kern w:val="0"/>
          <w:sz w:val="32"/>
          <w:szCs w:val="32"/>
        </w:rPr>
        <w:t>指单位为保障其机构正常运转、完成日常工作任务而发生的人员支出和公用支出。</w:t>
      </w:r>
    </w:p>
    <w:p>
      <w:pPr>
        <w:pStyle w:val="2"/>
        <w:keepNext w:val="0"/>
        <w:keepLines w:val="0"/>
        <w:widowControl/>
        <w:suppressLineNumbers w:val="0"/>
        <w:spacing w:before="0" w:beforeLines="0" w:beforeAutospacing="0" w:after="0" w:afterLines="0" w:afterAutospacing="0" w:line="600" w:lineRule="exact"/>
        <w:ind w:left="0" w:right="0" w:firstLine="643" w:firstLineChars="200"/>
        <w:jc w:val="both"/>
      </w:pPr>
      <w:r>
        <w:rPr>
          <w:rFonts w:hint="default" w:ascii="仿宋_GB2312" w:eastAsia="仿宋_GB2312" w:cs="仿宋_GB2312"/>
          <w:b/>
          <w:bCs w:val="0"/>
          <w:kern w:val="0"/>
          <w:sz w:val="32"/>
          <w:szCs w:val="32"/>
        </w:rPr>
        <w:t>十二、项目支出：</w:t>
      </w:r>
      <w:r>
        <w:rPr>
          <w:rFonts w:hint="default" w:ascii="仿宋_GB2312" w:eastAsia="仿宋_GB2312" w:cs="仿宋_GB2312"/>
          <w:kern w:val="0"/>
          <w:sz w:val="32"/>
          <w:szCs w:val="32"/>
        </w:rPr>
        <w:t>指单位为完成特定行政任务和事业发展目标在基本支出之外所发生的支出。</w:t>
      </w:r>
    </w:p>
    <w:p>
      <w:pPr>
        <w:pStyle w:val="2"/>
        <w:keepNext w:val="0"/>
        <w:keepLines w:val="0"/>
        <w:widowControl/>
        <w:suppressLineNumbers w:val="0"/>
        <w:spacing w:before="0" w:beforeLines="0" w:beforeAutospacing="0" w:after="0" w:afterLines="0" w:afterAutospacing="0" w:line="600" w:lineRule="exact"/>
        <w:ind w:left="0" w:right="0" w:firstLine="643" w:firstLineChars="200"/>
        <w:jc w:val="both"/>
      </w:pPr>
      <w:r>
        <w:rPr>
          <w:rFonts w:hint="default" w:ascii="仿宋_GB2312" w:eastAsia="仿宋_GB2312" w:cs="仿宋_GB2312"/>
          <w:b/>
          <w:bCs w:val="0"/>
          <w:kern w:val="0"/>
          <w:sz w:val="32"/>
          <w:szCs w:val="32"/>
        </w:rPr>
        <w:t>十三、经营支出：</w:t>
      </w:r>
      <w:r>
        <w:rPr>
          <w:rFonts w:hint="default" w:ascii="仿宋_GB2312" w:eastAsia="仿宋_GB2312" w:cs="仿宋_GB2312"/>
          <w:kern w:val="0"/>
          <w:sz w:val="32"/>
          <w:szCs w:val="32"/>
        </w:rPr>
        <w:t>指事业单位在专业业务活动及其辅助活动之外开展非独立核算经营活动发生的支出。</w:t>
      </w:r>
    </w:p>
    <w:p>
      <w:pPr>
        <w:pStyle w:val="2"/>
        <w:keepNext w:val="0"/>
        <w:keepLines w:val="0"/>
        <w:widowControl/>
        <w:suppressLineNumbers w:val="0"/>
        <w:spacing w:before="0" w:beforeLines="0" w:beforeAutospacing="0" w:after="0" w:afterLines="0" w:afterAutospacing="0" w:line="600" w:lineRule="exact"/>
        <w:ind w:left="0" w:right="0" w:firstLine="643" w:firstLineChars="200"/>
        <w:jc w:val="both"/>
      </w:pPr>
      <w:r>
        <w:rPr>
          <w:rFonts w:hint="default" w:ascii="仿宋_GB2312" w:eastAsia="仿宋_GB2312" w:cs="仿宋_GB2312"/>
          <w:b/>
          <w:bCs w:val="0"/>
          <w:kern w:val="0"/>
          <w:sz w:val="32"/>
          <w:szCs w:val="32"/>
        </w:rPr>
        <w:t>十四、“三公”经费：</w:t>
      </w:r>
      <w:r>
        <w:rPr>
          <w:rFonts w:hint="default" w:ascii="仿宋_GB2312" w:eastAsia="仿宋_GB2312" w:cs="仿宋_GB2312"/>
          <w:kern w:val="0"/>
          <w:sz w:val="32"/>
          <w:szCs w:val="32"/>
        </w:rPr>
        <w:t>纳入财政预决算管理的“三公”经费，是指单位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购置支出（含车辆购置税）及燃料费、维修费、过桥过路费、保险费、安全奖励费用等支出；公务接待费反映单位按规定开支的各类公务接待（含外宾接待）支出。</w:t>
      </w:r>
    </w:p>
    <w:p>
      <w:pPr>
        <w:pStyle w:val="2"/>
        <w:keepNext w:val="0"/>
        <w:keepLines w:val="0"/>
        <w:widowControl/>
        <w:suppressLineNumbers w:val="0"/>
        <w:spacing w:before="0" w:beforeLines="0" w:beforeAutospacing="0" w:after="0" w:afterLines="0" w:afterAutospacing="0" w:line="600" w:lineRule="exact"/>
        <w:ind w:left="0" w:right="0" w:firstLine="643" w:firstLineChars="200"/>
        <w:jc w:val="both"/>
      </w:pPr>
      <w:r>
        <w:rPr>
          <w:rFonts w:hint="default" w:ascii="仿宋_GB2312" w:eastAsia="仿宋_GB2312" w:cs="仿宋_GB2312"/>
          <w:b/>
          <w:bCs w:val="0"/>
          <w:kern w:val="0"/>
          <w:sz w:val="32"/>
          <w:szCs w:val="32"/>
        </w:rPr>
        <w:t>十五、机关运行经费</w:t>
      </w:r>
      <w:r>
        <w:rPr>
          <w:rFonts w:hint="default" w:ascii="仿宋_GB2312" w:eastAsia="仿宋_GB2312" w:cs="仿宋_GB2312"/>
          <w:kern w:val="0"/>
          <w:sz w:val="32"/>
          <w:szCs w:val="32"/>
        </w:rPr>
        <w:t>：指为保障行政单位（含参照公务员法管理的事业单位）运行用于购买货物和服务的各项资金</w:t>
      </w:r>
      <w:r>
        <w:rPr>
          <w:rFonts w:hint="default" w:ascii="仿宋_GB2312" w:eastAsia="仿宋_GB2312" w:cs="仿宋_GB2312"/>
          <w:kern w:val="2"/>
          <w:sz w:val="32"/>
          <w:szCs w:val="32"/>
        </w:rPr>
        <w:t>，包括办公及印刷费、邮电费、差旅费、会议费、福利费、日常维修费、专用材料费及一般设备购置费、办公用房水电费、办公用房取暖费、办公用房物业管理费、公务用车运行维护费以及其他费用。</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val="0"/>
        <w:suppressLineNumbers w:val="0"/>
        <w:spacing w:before="0" w:beforeAutospacing="1" w:after="0" w:afterAutospacing="1" w:line="600" w:lineRule="exact"/>
        <w:ind w:left="0" w:right="0"/>
        <w:jc w:val="both"/>
      </w:pPr>
      <w:r>
        <w:rPr>
          <w:rFonts w:hint="eastAsia" w:ascii="黑体" w:hAnsi="宋体" w:eastAsia="黑体" w:cs="黑体"/>
          <w:color w:val="000000"/>
          <w:kern w:val="2"/>
          <w:sz w:val="32"/>
          <w:szCs w:val="32"/>
          <w:lang w:val="en-US" w:eastAsia="zh-CN" w:bidi="ar"/>
        </w:rPr>
        <w:t xml:space="preserve"> </w:t>
      </w:r>
    </w:p>
    <w:p>
      <w:pPr>
        <w:keepNext w:val="0"/>
        <w:keepLines w:val="0"/>
        <w:widowControl/>
        <w:suppressLineNumbers w:val="0"/>
        <w:spacing w:before="0" w:beforeAutospacing="1" w:after="0" w:afterAutospacing="1"/>
        <w:ind w:left="0" w:right="0"/>
        <w:jc w:val="center"/>
      </w:pPr>
      <w:r>
        <w:rPr>
          <w:rFonts w:hint="default" w:ascii="方正小标宋简体" w:hAnsi="方正小标宋简体" w:eastAsia="方正小标宋简体" w:cs="方正小标宋简体"/>
          <w:b w:val="0"/>
          <w:bCs/>
          <w:color w:val="020202"/>
          <w:kern w:val="2"/>
          <w:sz w:val="40"/>
          <w:szCs w:val="40"/>
          <w:lang w:val="en-US" w:eastAsia="zh-CN" w:bidi="ar"/>
        </w:rPr>
        <w:t>西湖镇单位2020年度一般公共预算财政拨款“三公”经费支出决算情况说明</w:t>
      </w:r>
    </w:p>
    <w:p>
      <w:pPr>
        <w:keepNext w:val="0"/>
        <w:keepLines w:val="0"/>
        <w:widowControl/>
        <w:suppressLineNumbers w:val="0"/>
        <w:adjustRightInd w:val="0"/>
        <w:snapToGrid w:val="0"/>
        <w:spacing w:before="0" w:beforeAutospacing="1" w:after="0" w:afterAutospacing="1" w:line="18" w:lineRule="atLeast"/>
        <w:ind w:left="0" w:right="0"/>
        <w:jc w:val="center"/>
      </w:pPr>
      <w:r>
        <w:rPr>
          <w:rFonts w:hint="default" w:ascii="宋体" w:hAnsi="宋体" w:eastAsia="仿宋_GB2312" w:cs="Times New Roman"/>
          <w:color w:val="020202"/>
          <w:kern w:val="2"/>
          <w:sz w:val="6"/>
          <w:szCs w:val="6"/>
          <w:lang w:val="en-US" w:eastAsia="zh-CN" w:bidi="ar"/>
        </w:rPr>
        <w:t xml:space="preserve"> </w:t>
      </w:r>
    </w:p>
    <w:p>
      <w:pPr>
        <w:keepNext w:val="0"/>
        <w:keepLines w:val="0"/>
        <w:widowControl/>
        <w:suppressLineNumbers w:val="0"/>
        <w:spacing w:before="0" w:beforeAutospacing="1" w:after="0" w:afterAutospacing="1" w:line="600" w:lineRule="exact"/>
        <w:ind w:left="0" w:right="0" w:firstLine="640" w:firstLineChars="200"/>
        <w:jc w:val="left"/>
      </w:pPr>
      <w:r>
        <w:rPr>
          <w:rFonts w:hint="eastAsia" w:ascii="黑体" w:hAnsi="宋体" w:eastAsia="黑体" w:cs="黑体"/>
          <w:color w:val="020202"/>
          <w:kern w:val="2"/>
          <w:sz w:val="32"/>
          <w:szCs w:val="32"/>
          <w:lang w:val="en-US" w:eastAsia="zh-CN" w:bidi="ar"/>
        </w:rPr>
        <w:t>一、2020年度一般公共预算财政拨款“三公”经费支出决算表</w:t>
      </w:r>
    </w:p>
    <w:p>
      <w:pPr>
        <w:keepNext w:val="0"/>
        <w:keepLines w:val="0"/>
        <w:widowControl/>
        <w:suppressLineNumbers w:val="0"/>
        <w:spacing w:before="0" w:beforeAutospacing="1" w:after="0" w:afterAutospacing="1" w:line="600" w:lineRule="exact"/>
        <w:ind w:left="0" w:right="0" w:firstLine="520" w:firstLineChars="200"/>
        <w:jc w:val="left"/>
      </w:pPr>
      <w:r>
        <w:rPr>
          <w:rFonts w:hint="eastAsia" w:ascii="宋体" w:hAnsi="宋体" w:eastAsia="宋体" w:cs="宋体"/>
          <w:color w:val="020202"/>
          <w:kern w:val="2"/>
          <w:sz w:val="26"/>
          <w:szCs w:val="26"/>
          <w:lang w:val="en-US" w:eastAsia="zh-CN" w:bidi="ar"/>
        </w:rPr>
        <w:t xml:space="preserve">                                                     单位：万元</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379"/>
        <w:gridCol w:w="2157"/>
        <w:gridCol w:w="2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43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b/>
                <w:bCs/>
                <w:color w:val="020202"/>
                <w:kern w:val="0"/>
                <w:sz w:val="26"/>
                <w:szCs w:val="26"/>
                <w:lang w:val="en-US" w:eastAsia="zh-CN" w:bidi="ar"/>
              </w:rPr>
              <w:t>项  目</w:t>
            </w:r>
          </w:p>
        </w:tc>
        <w:tc>
          <w:tcPr>
            <w:tcW w:w="215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b/>
                <w:bCs/>
                <w:color w:val="020202"/>
                <w:kern w:val="0"/>
                <w:sz w:val="26"/>
                <w:szCs w:val="26"/>
                <w:lang w:val="en-US" w:eastAsia="zh-CN" w:bidi="ar"/>
              </w:rPr>
              <w:t>预 算 数</w:t>
            </w:r>
          </w:p>
        </w:tc>
        <w:tc>
          <w:tcPr>
            <w:tcW w:w="222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b/>
                <w:bCs/>
                <w:color w:val="020202"/>
                <w:kern w:val="0"/>
                <w:sz w:val="26"/>
                <w:szCs w:val="26"/>
                <w:lang w:val="en-US" w:eastAsia="zh-CN" w:bidi="ar"/>
              </w:rPr>
              <w:t>决 算 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43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b/>
                <w:bCs/>
                <w:color w:val="020202"/>
                <w:kern w:val="0"/>
                <w:sz w:val="26"/>
                <w:szCs w:val="26"/>
                <w:lang w:val="en-US" w:eastAsia="zh-CN" w:bidi="ar"/>
              </w:rPr>
              <w:t>合  计</w:t>
            </w:r>
          </w:p>
        </w:tc>
        <w:tc>
          <w:tcPr>
            <w:tcW w:w="215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b/>
                <w:bCs/>
                <w:color w:val="020202"/>
                <w:kern w:val="0"/>
                <w:sz w:val="26"/>
                <w:szCs w:val="26"/>
                <w:lang w:val="en-US" w:eastAsia="zh-CN" w:bidi="ar"/>
              </w:rPr>
              <w:t>40　</w:t>
            </w:r>
          </w:p>
        </w:tc>
        <w:tc>
          <w:tcPr>
            <w:tcW w:w="222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center"/>
            </w:pPr>
            <w:r>
              <w:rPr>
                <w:rFonts w:hint="eastAsia" w:ascii="宋体" w:hAnsi="宋体" w:eastAsia="宋体" w:cs="宋体"/>
                <w:b/>
                <w:bCs/>
                <w:color w:val="020202"/>
                <w:kern w:val="0"/>
                <w:sz w:val="26"/>
                <w:szCs w:val="26"/>
                <w:lang w:val="en-US" w:eastAsia="zh-CN" w:bidi="ar"/>
              </w:rPr>
              <w:t>26.18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43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20202"/>
                <w:kern w:val="0"/>
                <w:sz w:val="26"/>
                <w:szCs w:val="26"/>
                <w:lang w:val="en-US" w:eastAsia="zh-CN" w:bidi="ar"/>
              </w:rPr>
              <w:t>因公出国（境）费</w:t>
            </w:r>
          </w:p>
        </w:tc>
        <w:tc>
          <w:tcPr>
            <w:tcW w:w="2157" w:type="dxa"/>
            <w:tcBorders>
              <w:top w:val="single" w:color="auto" w:sz="4" w:space="0"/>
              <w:left w:val="nil"/>
              <w:bottom w:val="single" w:color="auto" w:sz="4" w:space="0"/>
              <w:right w:val="single" w:color="auto" w:sz="4" w:space="0"/>
            </w:tcBorders>
            <w:shd w:val="clear" w:color="auto" w:fill="auto"/>
            <w:vAlign w:val="bottom"/>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20202"/>
                <w:kern w:val="0"/>
                <w:sz w:val="26"/>
                <w:szCs w:val="26"/>
                <w:lang w:val="en-US" w:eastAsia="zh-CN" w:bidi="ar"/>
              </w:rPr>
              <w:t>　</w:t>
            </w:r>
          </w:p>
        </w:tc>
        <w:tc>
          <w:tcPr>
            <w:tcW w:w="2220" w:type="dxa"/>
            <w:tcBorders>
              <w:top w:val="single" w:color="auto" w:sz="4" w:space="0"/>
              <w:left w:val="nil"/>
              <w:bottom w:val="single" w:color="auto" w:sz="4" w:space="0"/>
              <w:right w:val="single" w:color="auto" w:sz="4" w:space="0"/>
            </w:tcBorders>
            <w:shd w:val="clear" w:color="auto" w:fill="auto"/>
            <w:vAlign w:val="bottom"/>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20202"/>
                <w:kern w:val="0"/>
                <w:sz w:val="26"/>
                <w:szCs w:val="26"/>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43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20202"/>
                <w:kern w:val="0"/>
                <w:sz w:val="26"/>
                <w:szCs w:val="26"/>
                <w:lang w:val="en-US" w:eastAsia="zh-CN" w:bidi="ar"/>
              </w:rPr>
              <w:t>公务接待费</w:t>
            </w:r>
          </w:p>
        </w:tc>
        <w:tc>
          <w:tcPr>
            <w:tcW w:w="2157" w:type="dxa"/>
            <w:tcBorders>
              <w:top w:val="single" w:color="auto" w:sz="4" w:space="0"/>
              <w:left w:val="nil"/>
              <w:bottom w:val="single" w:color="auto" w:sz="4" w:space="0"/>
              <w:right w:val="single" w:color="auto" w:sz="4" w:space="0"/>
            </w:tcBorders>
            <w:shd w:val="clear" w:color="auto" w:fill="auto"/>
            <w:vAlign w:val="bottom"/>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20202"/>
                <w:kern w:val="0"/>
                <w:sz w:val="26"/>
                <w:szCs w:val="26"/>
                <w:lang w:val="en-US" w:eastAsia="zh-CN" w:bidi="ar"/>
              </w:rPr>
              <w:t>10</w:t>
            </w:r>
          </w:p>
        </w:tc>
        <w:tc>
          <w:tcPr>
            <w:tcW w:w="2220" w:type="dxa"/>
            <w:tcBorders>
              <w:top w:val="single" w:color="auto" w:sz="4" w:space="0"/>
              <w:left w:val="nil"/>
              <w:bottom w:val="single" w:color="auto" w:sz="4" w:space="0"/>
              <w:right w:val="single" w:color="auto" w:sz="4" w:space="0"/>
            </w:tcBorders>
            <w:shd w:val="clear" w:color="auto" w:fill="auto"/>
            <w:vAlign w:val="bottom"/>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20202"/>
                <w:kern w:val="0"/>
                <w:sz w:val="26"/>
                <w:szCs w:val="26"/>
                <w:lang w:val="en-US" w:eastAsia="zh-CN" w:bidi="ar"/>
              </w:rPr>
              <w:t>1.76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43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20202"/>
                <w:kern w:val="0"/>
                <w:sz w:val="26"/>
                <w:szCs w:val="26"/>
                <w:lang w:val="en-US" w:eastAsia="zh-CN" w:bidi="ar"/>
              </w:rPr>
              <w:t>公务用车购置及运行维护费</w:t>
            </w:r>
          </w:p>
        </w:tc>
        <w:tc>
          <w:tcPr>
            <w:tcW w:w="2157" w:type="dxa"/>
            <w:tcBorders>
              <w:top w:val="single" w:color="auto" w:sz="4" w:space="0"/>
              <w:left w:val="nil"/>
              <w:bottom w:val="single" w:color="auto" w:sz="4" w:space="0"/>
              <w:right w:val="single" w:color="auto" w:sz="4" w:space="0"/>
            </w:tcBorders>
            <w:shd w:val="clear" w:color="auto" w:fill="auto"/>
            <w:vAlign w:val="bottom"/>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20202"/>
                <w:kern w:val="0"/>
                <w:sz w:val="26"/>
                <w:szCs w:val="26"/>
                <w:lang w:val="en-US" w:eastAsia="zh-CN" w:bidi="ar"/>
              </w:rPr>
              <w:t>30</w:t>
            </w:r>
          </w:p>
        </w:tc>
        <w:tc>
          <w:tcPr>
            <w:tcW w:w="2220" w:type="dxa"/>
            <w:tcBorders>
              <w:top w:val="single" w:color="auto" w:sz="4" w:space="0"/>
              <w:left w:val="nil"/>
              <w:bottom w:val="single" w:color="auto" w:sz="4" w:space="0"/>
              <w:right w:val="single" w:color="auto" w:sz="4" w:space="0"/>
            </w:tcBorders>
            <w:shd w:val="clear" w:color="auto" w:fill="auto"/>
            <w:vAlign w:val="bottom"/>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20202"/>
                <w:kern w:val="0"/>
                <w:sz w:val="26"/>
                <w:szCs w:val="26"/>
                <w:lang w:val="en-US" w:eastAsia="zh-CN" w:bidi="ar"/>
              </w:rPr>
              <w:t>24.42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43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20202"/>
                <w:kern w:val="0"/>
                <w:sz w:val="26"/>
                <w:szCs w:val="26"/>
                <w:lang w:val="en-US" w:eastAsia="zh-CN" w:bidi="ar"/>
              </w:rPr>
              <w:t xml:space="preserve">  其中：公务用车运行维护费</w:t>
            </w:r>
          </w:p>
        </w:tc>
        <w:tc>
          <w:tcPr>
            <w:tcW w:w="2157" w:type="dxa"/>
            <w:tcBorders>
              <w:top w:val="single" w:color="auto" w:sz="4" w:space="0"/>
              <w:left w:val="nil"/>
              <w:bottom w:val="single" w:color="auto" w:sz="4" w:space="0"/>
              <w:right w:val="single" w:color="auto" w:sz="4" w:space="0"/>
            </w:tcBorders>
            <w:shd w:val="clear" w:color="auto" w:fill="auto"/>
            <w:vAlign w:val="bottom"/>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20202"/>
                <w:kern w:val="0"/>
                <w:sz w:val="26"/>
                <w:szCs w:val="26"/>
                <w:lang w:val="en-US" w:eastAsia="zh-CN" w:bidi="ar"/>
              </w:rPr>
              <w:t>16</w:t>
            </w:r>
          </w:p>
        </w:tc>
        <w:tc>
          <w:tcPr>
            <w:tcW w:w="2220" w:type="dxa"/>
            <w:tcBorders>
              <w:top w:val="single" w:color="auto" w:sz="4" w:space="0"/>
              <w:left w:val="nil"/>
              <w:bottom w:val="single" w:color="auto" w:sz="4" w:space="0"/>
              <w:right w:val="single" w:color="auto" w:sz="4" w:space="0"/>
            </w:tcBorders>
            <w:shd w:val="clear" w:color="auto" w:fill="auto"/>
            <w:vAlign w:val="bottom"/>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20202"/>
                <w:kern w:val="0"/>
                <w:sz w:val="26"/>
                <w:szCs w:val="26"/>
                <w:lang w:val="en-US" w:eastAsia="zh-CN" w:bidi="ar"/>
              </w:rPr>
              <w:t>12.18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43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1" w:after="0" w:afterAutospacing="1"/>
              <w:ind w:left="0" w:right="0"/>
              <w:jc w:val="left"/>
            </w:pPr>
            <w:r>
              <w:rPr>
                <w:rFonts w:hint="eastAsia" w:ascii="宋体" w:hAnsi="宋体" w:eastAsia="宋体" w:cs="宋体"/>
                <w:color w:val="020202"/>
                <w:kern w:val="0"/>
                <w:sz w:val="26"/>
                <w:szCs w:val="26"/>
                <w:lang w:val="en-US" w:eastAsia="zh-CN" w:bidi="ar"/>
              </w:rPr>
              <w:t xml:space="preserve">        公务用车购置费 </w:t>
            </w:r>
          </w:p>
        </w:tc>
        <w:tc>
          <w:tcPr>
            <w:tcW w:w="2157" w:type="dxa"/>
            <w:tcBorders>
              <w:top w:val="single" w:color="auto" w:sz="4" w:space="0"/>
              <w:left w:val="nil"/>
              <w:bottom w:val="single" w:color="auto" w:sz="4" w:space="0"/>
              <w:right w:val="single" w:color="auto" w:sz="4" w:space="0"/>
            </w:tcBorders>
            <w:shd w:val="clear" w:color="auto" w:fill="auto"/>
            <w:vAlign w:val="bottom"/>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20202"/>
                <w:kern w:val="0"/>
                <w:sz w:val="26"/>
                <w:szCs w:val="26"/>
                <w:lang w:val="en-US" w:eastAsia="zh-CN" w:bidi="ar"/>
              </w:rPr>
              <w:t>14</w:t>
            </w:r>
          </w:p>
        </w:tc>
        <w:tc>
          <w:tcPr>
            <w:tcW w:w="2220" w:type="dxa"/>
            <w:tcBorders>
              <w:top w:val="single" w:color="auto" w:sz="4" w:space="0"/>
              <w:left w:val="nil"/>
              <w:bottom w:val="single" w:color="auto" w:sz="4" w:space="0"/>
              <w:right w:val="single" w:color="auto" w:sz="4" w:space="0"/>
            </w:tcBorders>
            <w:shd w:val="clear" w:color="auto" w:fill="auto"/>
            <w:vAlign w:val="bottom"/>
          </w:tcPr>
          <w:p>
            <w:pPr>
              <w:keepNext w:val="0"/>
              <w:keepLines w:val="0"/>
              <w:widowControl/>
              <w:suppressLineNumbers w:val="0"/>
              <w:spacing w:before="0" w:beforeAutospacing="1" w:after="0" w:afterAutospacing="1"/>
              <w:ind w:left="0" w:right="0"/>
              <w:jc w:val="center"/>
            </w:pPr>
            <w:r>
              <w:rPr>
                <w:rFonts w:hint="eastAsia" w:ascii="宋体" w:hAnsi="宋体" w:eastAsia="宋体" w:cs="宋体"/>
                <w:color w:val="020202"/>
                <w:kern w:val="0"/>
                <w:sz w:val="26"/>
                <w:szCs w:val="26"/>
                <w:lang w:val="en-US" w:eastAsia="zh-CN" w:bidi="ar"/>
              </w:rPr>
              <w:t>12.24</w:t>
            </w:r>
          </w:p>
        </w:tc>
      </w:tr>
    </w:tbl>
    <w:p>
      <w:pPr>
        <w:keepNext w:val="0"/>
        <w:keepLines w:val="0"/>
        <w:widowControl/>
        <w:suppressLineNumbers w:val="0"/>
        <w:spacing w:before="0" w:beforeAutospacing="1" w:after="0" w:afterAutospacing="1"/>
        <w:ind w:left="0" w:right="0" w:firstLine="0" w:firstLineChars="0"/>
        <w:jc w:val="both"/>
      </w:pPr>
      <w:r>
        <w:rPr>
          <w:rFonts w:hint="default" w:ascii="楷体_GB2312" w:eastAsia="楷体_GB2312" w:cs="楷体_GB2312" w:hAnsiTheme="minorHAnsi"/>
          <w:b w:val="0"/>
          <w:bCs w:val="0"/>
          <w:color w:val="020202"/>
          <w:kern w:val="2"/>
          <w:sz w:val="24"/>
          <w:szCs w:val="24"/>
          <w:lang w:val="en-US" w:eastAsia="zh-CN" w:bidi="ar"/>
        </w:rPr>
        <w:t>注：本表金额转换成万元时，四舍五入可能存在尾差</w:t>
      </w:r>
    </w:p>
    <w:p>
      <w:pPr>
        <w:keepNext w:val="0"/>
        <w:keepLines w:val="0"/>
        <w:widowControl/>
        <w:suppressLineNumbers w:val="0"/>
        <w:spacing w:before="0" w:beforeAutospacing="1" w:after="0" w:afterAutospacing="1"/>
        <w:ind w:left="0" w:right="0" w:firstLine="640" w:firstLineChars="200"/>
        <w:jc w:val="left"/>
      </w:pPr>
      <w:r>
        <w:rPr>
          <w:rFonts w:hint="eastAsia" w:ascii="黑体" w:hAnsi="宋体" w:eastAsia="黑体"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line="600" w:lineRule="exact"/>
        <w:ind w:left="0" w:right="0" w:firstLine="640" w:firstLineChars="200"/>
        <w:jc w:val="left"/>
      </w:pPr>
      <w:r>
        <w:rPr>
          <w:rFonts w:hint="eastAsia" w:ascii="黑体" w:hAnsi="宋体" w:eastAsia="黑体" w:cs="黑体"/>
          <w:color w:val="020202"/>
          <w:kern w:val="2"/>
          <w:sz w:val="32"/>
          <w:szCs w:val="32"/>
          <w:lang w:val="en-US" w:eastAsia="zh-CN" w:bidi="ar"/>
        </w:rPr>
        <w:t>二、2020年度一般公共预算财政拨款“三公”经费支出情况说明</w:t>
      </w:r>
    </w:p>
    <w:p>
      <w:pPr>
        <w:keepNext w:val="0"/>
        <w:keepLines w:val="0"/>
        <w:widowControl/>
        <w:suppressLineNumbers w:val="0"/>
        <w:spacing w:before="0" w:beforeAutospacing="1" w:after="0" w:afterAutospacing="1" w:line="600" w:lineRule="exact"/>
        <w:ind w:left="0" w:right="0" w:firstLine="643" w:firstLineChars="200"/>
        <w:jc w:val="left"/>
      </w:pPr>
      <w:r>
        <w:rPr>
          <w:rFonts w:hint="default" w:ascii="楷体_GB2312" w:eastAsia="楷体_GB2312" w:cs="楷体_GB2312" w:hAnsiTheme="minorHAnsi"/>
          <w:b/>
          <w:bCs w:val="0"/>
          <w:color w:val="020202"/>
          <w:kern w:val="2"/>
          <w:sz w:val="32"/>
          <w:szCs w:val="32"/>
          <w:lang w:val="en-US" w:eastAsia="zh-CN" w:bidi="ar"/>
        </w:rPr>
        <w:t>（一）一般公共预算财政拨款“三公”经费支出决算总体情况说明。</w:t>
      </w:r>
    </w:p>
    <w:p>
      <w:pPr>
        <w:keepNext w:val="0"/>
        <w:keepLines w:val="0"/>
        <w:widowControl/>
        <w:suppressLineNumbers w:val="0"/>
        <w:spacing w:before="0" w:beforeAutospacing="1" w:after="0" w:afterAutospacing="1" w:line="600" w:lineRule="exact"/>
        <w:ind w:left="0" w:right="0" w:firstLine="640" w:firstLineChars="200"/>
        <w:jc w:val="left"/>
      </w:pPr>
      <w:r>
        <w:rPr>
          <w:rFonts w:hint="default" w:ascii="仿宋_GB2312" w:eastAsia="仿宋_GB2312" w:cs="仿宋_GB2312" w:hAnsiTheme="minorHAnsi"/>
          <w:color w:val="020202"/>
          <w:kern w:val="2"/>
          <w:sz w:val="32"/>
          <w:szCs w:val="32"/>
          <w:lang w:val="en-US" w:eastAsia="zh-CN" w:bidi="ar"/>
        </w:rPr>
        <w:t>西湖镇单位2020年度一般公共预算财政拨款“三公”经费支出预算为40万元，支出决算为26.18万元，完成预算的65.45%，决算数小于预算数的主要原因是</w:t>
      </w:r>
      <w:r>
        <w:rPr>
          <w:rFonts w:hint="default" w:ascii="仿宋_GB2312" w:hAnsi="宋体" w:eastAsia="仿宋_GB2312" w:cs="仿宋_GB2312"/>
          <w:i w:val="0"/>
          <w:iCs w:val="0"/>
          <w:caps w:val="0"/>
          <w:color w:val="333333"/>
          <w:spacing w:val="0"/>
          <w:kern w:val="2"/>
          <w:sz w:val="32"/>
          <w:szCs w:val="32"/>
          <w:shd w:val="clear" w:fill="FFFFFF"/>
          <w:lang w:val="en-US" w:eastAsia="zh-CN" w:bidi="ar"/>
        </w:rPr>
        <w:t>原因是厉行节约，减少开支。为全面反映“三公</w:t>
      </w:r>
      <w:r>
        <w:rPr>
          <w:rFonts w:hint="eastAsia" w:ascii="宋体" w:hAnsi="宋体" w:eastAsia="宋体" w:cs="宋体"/>
          <w:i w:val="0"/>
          <w:iCs w:val="0"/>
          <w:caps w:val="0"/>
          <w:color w:val="333333"/>
          <w:spacing w:val="0"/>
          <w:kern w:val="2"/>
          <w:sz w:val="32"/>
          <w:szCs w:val="32"/>
          <w:shd w:val="clear" w:fill="FFFFFF"/>
          <w:lang w:val="en-US" w:eastAsia="zh-CN" w:bidi="ar"/>
        </w:rPr>
        <w:t>”</w:t>
      </w:r>
      <w:r>
        <w:rPr>
          <w:rFonts w:hint="default" w:ascii="仿宋_GB2312" w:hAnsi="宋体" w:eastAsia="仿宋_GB2312" w:cs="仿宋_GB2312"/>
          <w:i w:val="0"/>
          <w:iCs w:val="0"/>
          <w:caps w:val="0"/>
          <w:color w:val="333333"/>
          <w:spacing w:val="0"/>
          <w:kern w:val="2"/>
          <w:sz w:val="32"/>
          <w:szCs w:val="32"/>
          <w:shd w:val="clear" w:fill="FFFFFF"/>
          <w:lang w:val="en-US" w:eastAsia="zh-CN" w:bidi="ar"/>
        </w:rPr>
        <w:t>经费支出，本次公布的</w:t>
      </w:r>
      <w:r>
        <w:rPr>
          <w:rFonts w:hint="eastAsia" w:ascii="宋体" w:hAnsi="宋体" w:eastAsia="宋体" w:cs="宋体"/>
          <w:i w:val="0"/>
          <w:iCs w:val="0"/>
          <w:caps w:val="0"/>
          <w:color w:val="333333"/>
          <w:spacing w:val="0"/>
          <w:kern w:val="2"/>
          <w:sz w:val="32"/>
          <w:szCs w:val="32"/>
          <w:shd w:val="clear" w:fill="FFFFFF"/>
          <w:lang w:val="en-US" w:eastAsia="zh-CN" w:bidi="ar"/>
        </w:rPr>
        <w:t>“</w:t>
      </w:r>
      <w:r>
        <w:rPr>
          <w:rFonts w:hint="default" w:ascii="仿宋_GB2312" w:hAnsi="宋体" w:eastAsia="仿宋_GB2312" w:cs="仿宋_GB2312"/>
          <w:i w:val="0"/>
          <w:iCs w:val="0"/>
          <w:caps w:val="0"/>
          <w:color w:val="333333"/>
          <w:spacing w:val="0"/>
          <w:kern w:val="2"/>
          <w:sz w:val="32"/>
          <w:szCs w:val="32"/>
          <w:shd w:val="clear" w:fill="FFFFFF"/>
          <w:lang w:val="en-US" w:eastAsia="zh-CN" w:bidi="ar"/>
        </w:rPr>
        <w:t>三公</w:t>
      </w:r>
      <w:r>
        <w:rPr>
          <w:rFonts w:hint="eastAsia" w:ascii="宋体" w:hAnsi="宋体" w:eastAsia="宋体" w:cs="宋体"/>
          <w:i w:val="0"/>
          <w:iCs w:val="0"/>
          <w:caps w:val="0"/>
          <w:color w:val="333333"/>
          <w:spacing w:val="0"/>
          <w:kern w:val="2"/>
          <w:sz w:val="32"/>
          <w:szCs w:val="32"/>
          <w:shd w:val="clear" w:fill="FFFFFF"/>
          <w:lang w:val="en-US" w:eastAsia="zh-CN" w:bidi="ar"/>
        </w:rPr>
        <w:t>”</w:t>
      </w:r>
      <w:r>
        <w:rPr>
          <w:rFonts w:hint="default" w:ascii="仿宋_GB2312" w:hAnsi="宋体" w:eastAsia="仿宋_GB2312" w:cs="仿宋_GB2312"/>
          <w:i w:val="0"/>
          <w:iCs w:val="0"/>
          <w:caps w:val="0"/>
          <w:color w:val="333333"/>
          <w:spacing w:val="0"/>
          <w:kern w:val="2"/>
          <w:sz w:val="32"/>
          <w:szCs w:val="32"/>
          <w:shd w:val="clear" w:fill="FFFFFF"/>
          <w:lang w:val="en-US" w:eastAsia="zh-CN" w:bidi="ar"/>
        </w:rPr>
        <w:t>经费决算为部门汇总数。</w:t>
      </w:r>
    </w:p>
    <w:p>
      <w:pPr>
        <w:keepNext w:val="0"/>
        <w:keepLines w:val="0"/>
        <w:widowControl/>
        <w:suppressLineNumbers w:val="0"/>
        <w:spacing w:before="0" w:beforeAutospacing="1" w:after="0" w:afterAutospacing="1" w:line="600" w:lineRule="exact"/>
        <w:ind w:left="0" w:right="0" w:firstLine="643" w:firstLineChars="200"/>
        <w:jc w:val="left"/>
      </w:pPr>
      <w:r>
        <w:rPr>
          <w:rFonts w:hint="default" w:ascii="楷体_GB2312" w:eastAsia="楷体_GB2312" w:cs="楷体_GB2312" w:hAnsiTheme="minorHAnsi"/>
          <w:b/>
          <w:bCs w:val="0"/>
          <w:color w:val="020202"/>
          <w:kern w:val="2"/>
          <w:sz w:val="32"/>
          <w:szCs w:val="32"/>
          <w:lang w:val="en-US" w:eastAsia="zh-CN" w:bidi="ar"/>
        </w:rPr>
        <w:t>（二）一般公共预算财政拨款“三公”经费支出决算具体情况说明。</w:t>
      </w:r>
    </w:p>
    <w:p>
      <w:pPr>
        <w:keepNext w:val="0"/>
        <w:keepLines w:val="0"/>
        <w:widowControl/>
        <w:suppressLineNumbers w:val="0"/>
        <w:spacing w:before="0" w:beforeAutospacing="1" w:after="0" w:afterAutospacing="1" w:line="600" w:lineRule="exact"/>
        <w:ind w:left="0" w:right="0" w:firstLine="640" w:firstLineChars="200"/>
        <w:jc w:val="left"/>
      </w:pPr>
      <w:r>
        <w:rPr>
          <w:rFonts w:hint="default" w:ascii="仿宋_GB2312" w:eastAsia="仿宋_GB2312" w:cs="仿宋_GB2312" w:hAnsiTheme="minorHAnsi"/>
          <w:color w:val="020202"/>
          <w:kern w:val="2"/>
          <w:sz w:val="32"/>
          <w:szCs w:val="32"/>
          <w:lang w:val="en-US" w:eastAsia="zh-CN" w:bidi="ar"/>
        </w:rPr>
        <w:t>西湖镇单位2020年度一般公共预算财政拨款“三公”经费支出决算中，因公出国（境）费支出决算0万元，占0%;公务接待费支出决算1.76万元，占6.7%；公务用车购置及运行维护费支出决算24.42万元，占93.3%。具体情况如下：</w:t>
      </w:r>
    </w:p>
    <w:p>
      <w:pPr>
        <w:keepNext w:val="0"/>
        <w:keepLines w:val="0"/>
        <w:widowControl/>
        <w:numPr>
          <w:ilvl w:val="0"/>
          <w:numId w:val="0"/>
        </w:numPr>
        <w:suppressLineNumbers w:val="0"/>
        <w:spacing w:before="0" w:beforeAutospacing="0" w:after="150" w:afterAutospacing="0" w:line="240" w:lineRule="atLeast"/>
        <w:ind w:left="-3" w:leftChars="0" w:right="0" w:firstLine="643" w:firstLineChars="0"/>
        <w:jc w:val="left"/>
      </w:pPr>
      <w:r>
        <w:rPr>
          <w:rFonts w:hint="default" w:ascii="仿宋_GB2312" w:eastAsia="仿宋_GB2312" w:cs="仿宋_GB2312" w:hAnsiTheme="minorHAnsi"/>
          <w:b w:val="0"/>
          <w:bCs w:val="0"/>
          <w:kern w:val="2"/>
          <w:sz w:val="32"/>
          <w:szCs w:val="32"/>
          <w:lang w:val="en-US" w:eastAsia="zh-CN" w:bidi="ar"/>
        </w:rPr>
        <w:t>1. 因公出国（境）费支出0万元，</w:t>
      </w:r>
      <w:r>
        <w:rPr>
          <w:rFonts w:hint="default" w:ascii="仿宋_GB2312" w:hAnsi="宋体" w:eastAsia="仿宋_GB2312" w:cs="仿宋_GB2312"/>
          <w:b w:val="0"/>
          <w:bCs w:val="0"/>
          <w:kern w:val="2"/>
          <w:sz w:val="32"/>
          <w:szCs w:val="32"/>
          <w:shd w:val="clear" w:fill="FFFFFF"/>
          <w:lang w:val="en-US" w:eastAsia="zh-CN" w:bidi="ar"/>
        </w:rPr>
        <w:t>与</w:t>
      </w:r>
      <w:r>
        <w:rPr>
          <w:rFonts w:hint="default" w:ascii="仿宋_GB2312" w:hAnsi="仿宋" w:eastAsia="仿宋_GB2312" w:cs="仿宋_GB2312"/>
          <w:b w:val="0"/>
          <w:bCs w:val="0"/>
          <w:kern w:val="2"/>
          <w:sz w:val="32"/>
          <w:szCs w:val="32"/>
          <w:shd w:val="clear" w:fill="FFFFFF"/>
          <w:lang w:val="en-US" w:eastAsia="zh-CN" w:bidi="ar"/>
        </w:rPr>
        <w:t>2020年度预算</w:t>
      </w:r>
      <w:r>
        <w:rPr>
          <w:rFonts w:hint="default" w:ascii="仿宋_GB2312" w:hAnsi="宋体" w:eastAsia="仿宋_GB2312" w:cs="仿宋_GB2312"/>
          <w:b w:val="0"/>
          <w:bCs w:val="0"/>
          <w:kern w:val="2"/>
          <w:sz w:val="32"/>
          <w:szCs w:val="32"/>
          <w:shd w:val="clear" w:fill="FFFFFF"/>
          <w:lang w:val="en-US" w:eastAsia="zh-CN" w:bidi="ar"/>
        </w:rPr>
        <w:t>相比，无增减变化，原因是</w:t>
      </w:r>
      <w:r>
        <w:rPr>
          <w:rFonts w:hint="eastAsia" w:ascii="宋体" w:hAnsi="宋体" w:eastAsia="宋体" w:cs="宋体"/>
          <w:b w:val="0"/>
          <w:bCs w:val="0"/>
          <w:kern w:val="2"/>
          <w:sz w:val="32"/>
          <w:szCs w:val="32"/>
          <w:shd w:val="clear" w:fill="FFFFFF"/>
          <w:lang w:val="en-US" w:eastAsia="zh-CN" w:bidi="ar"/>
        </w:rPr>
        <w:t>2020</w:t>
      </w:r>
      <w:r>
        <w:rPr>
          <w:rFonts w:hint="default" w:ascii="仿宋_GB2312" w:hAnsi="宋体" w:eastAsia="仿宋_GB2312" w:cs="仿宋_GB2312"/>
          <w:b w:val="0"/>
          <w:bCs w:val="0"/>
          <w:kern w:val="2"/>
          <w:sz w:val="32"/>
          <w:szCs w:val="32"/>
          <w:shd w:val="clear" w:fill="FFFFFF"/>
          <w:lang w:val="en-US" w:eastAsia="zh-CN" w:bidi="ar"/>
        </w:rPr>
        <w:t>年度未安排因公出国（境）。故</w:t>
      </w:r>
      <w:r>
        <w:rPr>
          <w:rFonts w:hint="eastAsia" w:ascii="宋体" w:hAnsi="宋体" w:eastAsia="宋体" w:cs="宋体"/>
          <w:b w:val="0"/>
          <w:bCs w:val="0"/>
          <w:kern w:val="2"/>
          <w:sz w:val="32"/>
          <w:szCs w:val="32"/>
          <w:shd w:val="clear" w:fill="FFFFFF"/>
          <w:lang w:val="en-US" w:eastAsia="zh-CN" w:bidi="ar"/>
        </w:rPr>
        <w:t>2020</w:t>
      </w:r>
      <w:r>
        <w:rPr>
          <w:rFonts w:hint="default" w:ascii="仿宋_GB2312" w:hAnsi="宋体" w:eastAsia="仿宋_GB2312" w:cs="仿宋_GB2312"/>
          <w:b w:val="0"/>
          <w:bCs w:val="0"/>
          <w:kern w:val="2"/>
          <w:sz w:val="32"/>
          <w:szCs w:val="32"/>
          <w:shd w:val="clear" w:fill="FFFFFF"/>
          <w:lang w:val="en-US" w:eastAsia="zh-CN" w:bidi="ar"/>
        </w:rPr>
        <w:t>年我单位因公出国（境）团组</w:t>
      </w:r>
      <w:r>
        <w:rPr>
          <w:rFonts w:hint="eastAsia" w:ascii="宋体" w:hAnsi="宋体" w:eastAsia="宋体" w:cs="宋体"/>
          <w:b w:val="0"/>
          <w:bCs w:val="0"/>
          <w:kern w:val="2"/>
          <w:sz w:val="32"/>
          <w:szCs w:val="32"/>
          <w:shd w:val="clear" w:fill="FFFFFF"/>
          <w:lang w:val="en-US" w:eastAsia="zh-CN" w:bidi="ar"/>
        </w:rPr>
        <w:t>0</w:t>
      </w:r>
      <w:r>
        <w:rPr>
          <w:rFonts w:hint="default" w:ascii="仿宋_GB2312" w:hAnsi="宋体" w:eastAsia="仿宋_GB2312" w:cs="仿宋_GB2312"/>
          <w:b w:val="0"/>
          <w:bCs w:val="0"/>
          <w:kern w:val="2"/>
          <w:sz w:val="32"/>
          <w:szCs w:val="32"/>
          <w:shd w:val="clear" w:fill="FFFFFF"/>
          <w:lang w:val="en-US" w:eastAsia="zh-CN" w:bidi="ar"/>
        </w:rPr>
        <w:t>次，累计出国（境）</w:t>
      </w:r>
      <w:r>
        <w:rPr>
          <w:rFonts w:hint="eastAsia" w:ascii="宋体" w:hAnsi="宋体" w:eastAsia="宋体" w:cs="宋体"/>
          <w:b w:val="0"/>
          <w:bCs w:val="0"/>
          <w:kern w:val="2"/>
          <w:sz w:val="32"/>
          <w:szCs w:val="32"/>
          <w:shd w:val="clear" w:fill="FFFFFF"/>
          <w:lang w:val="en-US" w:eastAsia="zh-CN" w:bidi="ar"/>
        </w:rPr>
        <w:t>0</w:t>
      </w:r>
      <w:r>
        <w:rPr>
          <w:rFonts w:hint="default" w:ascii="仿宋_GB2312" w:hAnsi="宋体" w:eastAsia="仿宋_GB2312" w:cs="仿宋_GB2312"/>
          <w:b w:val="0"/>
          <w:bCs w:val="0"/>
          <w:kern w:val="2"/>
          <w:sz w:val="32"/>
          <w:szCs w:val="32"/>
          <w:shd w:val="clear" w:fill="FFFFFF"/>
          <w:lang w:val="en-US" w:eastAsia="zh-CN" w:bidi="ar"/>
        </w:rPr>
        <w:t>人次。</w:t>
      </w:r>
      <w:r>
        <w:rPr>
          <w:rFonts w:hint="default" w:ascii="仿宋_GB2312" w:hAnsi="仿宋" w:eastAsia="仿宋_GB2312" w:cs="仿宋_GB2312"/>
          <w:b w:val="0"/>
          <w:bCs w:val="0"/>
          <w:kern w:val="2"/>
          <w:sz w:val="32"/>
          <w:szCs w:val="32"/>
          <w:shd w:val="clear" w:fill="FFFFFF"/>
          <w:lang w:val="en-US" w:eastAsia="zh-CN" w:bidi="ar"/>
        </w:rPr>
        <w:t xml:space="preserve">  </w:t>
      </w:r>
      <w:r>
        <w:rPr>
          <w:rFonts w:hint="default" w:ascii="仿宋_GB2312" w:hAnsi="仿宋" w:eastAsia="仿宋_GB2312" w:cs="仿宋_GB2312"/>
          <w:color w:val="FF0000"/>
          <w:kern w:val="2"/>
          <w:sz w:val="32"/>
          <w:szCs w:val="32"/>
          <w:shd w:val="clear" w:fill="FFFFFF"/>
          <w:lang w:val="en-US" w:eastAsia="zh-CN" w:bidi="ar"/>
        </w:rPr>
        <w:t xml:space="preserve"> </w:t>
      </w:r>
    </w:p>
    <w:p>
      <w:pPr>
        <w:keepNext w:val="0"/>
        <w:keepLines w:val="0"/>
        <w:widowControl/>
        <w:numPr>
          <w:ilvl w:val="0"/>
          <w:numId w:val="0"/>
        </w:numPr>
        <w:suppressLineNumbers w:val="0"/>
        <w:spacing w:before="0" w:beforeAutospacing="0" w:after="150" w:afterAutospacing="0" w:line="240" w:lineRule="atLeast"/>
        <w:ind w:left="-3" w:leftChars="0" w:right="0" w:firstLine="643" w:firstLineChars="0"/>
        <w:jc w:val="left"/>
      </w:pPr>
      <w:r>
        <w:rPr>
          <w:rFonts w:hint="default" w:ascii="仿宋_GB2312" w:eastAsia="仿宋_GB2312" w:cs="仿宋_GB2312" w:hAnsiTheme="minorHAnsi"/>
          <w:b/>
          <w:bCs/>
          <w:kern w:val="2"/>
          <w:sz w:val="32"/>
          <w:szCs w:val="32"/>
          <w:lang w:val="en-US" w:eastAsia="zh-CN" w:bidi="ar"/>
        </w:rPr>
        <w:t>2. </w:t>
      </w:r>
      <w:r>
        <w:rPr>
          <w:rFonts w:hint="default" w:ascii="仿宋_GB2312" w:eastAsia="仿宋_GB2312" w:cs="仿宋_GB2312" w:hAnsiTheme="minorHAnsi"/>
          <w:b/>
          <w:bCs/>
          <w:color w:val="020202"/>
          <w:kern w:val="2"/>
          <w:sz w:val="32"/>
          <w:szCs w:val="32"/>
          <w:lang w:val="en-US" w:eastAsia="zh-CN" w:bidi="ar"/>
        </w:rPr>
        <w:t>公务接待费支出1.76</w:t>
      </w:r>
      <w:r>
        <w:rPr>
          <w:rFonts w:hint="default" w:ascii="仿宋_GB2312" w:eastAsia="仿宋_GB2312" w:cs="仿宋_GB2312" w:hAnsiTheme="minorHAnsi"/>
          <w:color w:val="020202"/>
          <w:kern w:val="2"/>
          <w:sz w:val="32"/>
          <w:szCs w:val="32"/>
          <w:lang w:val="en-US" w:eastAsia="zh-CN" w:bidi="ar"/>
        </w:rPr>
        <w:t>万元, 与2020年度预算相比，减少8.24万元，下降82.4%，下降的原因是厉行节约，减少支出。2020年西湖镇单位国内公务接待共10批次（其中外事接待0批次），190人次（其中外事接待0人次）。</w:t>
      </w:r>
      <w:r>
        <w:rPr>
          <w:rFonts w:hint="default" w:ascii="仿宋_GB2312" w:hAnsi="宋体" w:eastAsia="仿宋_GB2312" w:cs="仿宋_GB2312"/>
          <w:i w:val="0"/>
          <w:iCs w:val="0"/>
          <w:caps w:val="0"/>
          <w:color w:val="333333"/>
          <w:spacing w:val="0"/>
          <w:kern w:val="2"/>
          <w:sz w:val="32"/>
          <w:szCs w:val="32"/>
          <w:shd w:val="clear" w:fill="FFFFFF"/>
          <w:lang w:val="en-US" w:eastAsia="zh-CN" w:bidi="ar"/>
        </w:rPr>
        <w:t>主要是用于接待省内外部门单位到我镇考察铜艺小镇、招商引资、外事单位来镇参观考察交流。经费使用贯彻党中央八项规定和安徽省实施细则，严格执行《党政机关厉行节约反对浪费条例》、</w:t>
      </w:r>
      <w:r>
        <w:rPr>
          <w:rFonts w:hint="default" w:ascii="仿宋_GB2312" w:eastAsia="仿宋_GB2312" w:cs="仿宋_GB2312" w:hAnsiTheme="minorHAnsi"/>
          <w:kern w:val="2"/>
          <w:sz w:val="32"/>
          <w:szCs w:val="32"/>
          <w:lang w:val="en-US" w:eastAsia="zh-CN" w:bidi="ar"/>
        </w:rPr>
        <w:t>《铜官区党政机关国内公务接待管理办法》、《铜官区市直机关公务接待费管理暂行办法》（财行〔2015〕248号）等</w:t>
      </w:r>
      <w:r>
        <w:rPr>
          <w:rFonts w:hint="default" w:ascii="仿宋_GB2312" w:eastAsia="仿宋_GB2312" w:cs="仿宋_GB2312" w:hAnsiTheme="minorHAnsi"/>
          <w:color w:val="020202"/>
          <w:kern w:val="2"/>
          <w:sz w:val="32"/>
          <w:szCs w:val="32"/>
          <w:lang w:val="en-US" w:eastAsia="zh-CN" w:bidi="ar"/>
        </w:rPr>
        <w:t>相关规定。</w:t>
      </w:r>
    </w:p>
    <w:p>
      <w:pPr>
        <w:keepNext w:val="0"/>
        <w:keepLines w:val="0"/>
        <w:widowControl/>
        <w:suppressLineNumbers w:val="0"/>
        <w:spacing w:before="0" w:beforeAutospacing="1" w:after="0" w:afterAutospacing="1" w:line="600" w:lineRule="exact"/>
        <w:ind w:left="0" w:right="0" w:firstLine="643" w:firstLineChars="200"/>
        <w:jc w:val="left"/>
      </w:pPr>
      <w:r>
        <w:rPr>
          <w:rFonts w:hint="default" w:ascii="仿宋_GB2312" w:eastAsia="仿宋_GB2312" w:cs="仿宋_GB2312" w:hAnsiTheme="minorHAnsi"/>
          <w:b/>
          <w:bCs/>
          <w:color w:val="020202"/>
          <w:kern w:val="2"/>
          <w:sz w:val="32"/>
          <w:szCs w:val="32"/>
          <w:lang w:val="en-US" w:eastAsia="zh-CN" w:bidi="ar"/>
        </w:rPr>
        <w:t>3.公务用车购置及运行维护费支出24.42</w:t>
      </w:r>
      <w:r>
        <w:rPr>
          <w:rFonts w:hint="default" w:ascii="仿宋_GB2312" w:eastAsia="仿宋_GB2312" w:cs="仿宋_GB2312" w:hAnsiTheme="minorHAnsi"/>
          <w:color w:val="020202"/>
          <w:kern w:val="2"/>
          <w:sz w:val="32"/>
          <w:szCs w:val="32"/>
          <w:lang w:val="en-US" w:eastAsia="zh-CN" w:bidi="ar"/>
        </w:rPr>
        <w:t>万元，与2020年度预算相比，减少5.58万元，下降18.6%，下降的原因是</w:t>
      </w:r>
      <w:r>
        <w:rPr>
          <w:rFonts w:hint="default" w:ascii="仿宋_GB2312" w:hAnsi="宋体" w:eastAsia="仿宋_GB2312" w:cs="仿宋_GB2312"/>
          <w:i w:val="0"/>
          <w:iCs w:val="0"/>
          <w:caps w:val="0"/>
          <w:color w:val="333333"/>
          <w:spacing w:val="0"/>
          <w:kern w:val="2"/>
          <w:sz w:val="32"/>
          <w:szCs w:val="32"/>
          <w:shd w:val="clear" w:fill="FFFFFF"/>
          <w:lang w:val="en-US" w:eastAsia="zh-CN" w:bidi="ar"/>
        </w:rPr>
        <w:t>严格执行公务用车制度，加强公车运行管理，从严控制公车出行次数和费用，严控公车购置费。2020年安排公务用车购置费预算14万（城管执法车）</w:t>
      </w:r>
      <w:r>
        <w:rPr>
          <w:rFonts w:hint="default" w:ascii="楷体_GB2312" w:hAnsi="宋体" w:eastAsia="楷体_GB2312" w:cs="楷体_GB2312"/>
          <w:i w:val="0"/>
          <w:iCs w:val="0"/>
          <w:caps w:val="0"/>
          <w:color w:val="333333"/>
          <w:spacing w:val="0"/>
          <w:kern w:val="2"/>
          <w:sz w:val="32"/>
          <w:szCs w:val="32"/>
          <w:shd w:val="clear" w:fill="FFFFFF"/>
          <w:lang w:val="en-US" w:eastAsia="zh-CN" w:bidi="ar"/>
        </w:rPr>
        <w:t>，实际发生购车费用12.24万元，</w:t>
      </w:r>
      <w:r>
        <w:rPr>
          <w:rFonts w:hint="default" w:ascii="仿宋_GB2312" w:hAnsi="宋体" w:eastAsia="仿宋_GB2312" w:cs="仿宋_GB2312"/>
          <w:i w:val="0"/>
          <w:iCs w:val="0"/>
          <w:caps w:val="0"/>
          <w:color w:val="333333"/>
          <w:spacing w:val="0"/>
          <w:kern w:val="2"/>
          <w:sz w:val="32"/>
          <w:szCs w:val="32"/>
          <w:shd w:val="clear" w:fill="FFFFFF"/>
          <w:lang w:val="en-US" w:eastAsia="zh-CN" w:bidi="ar"/>
        </w:rPr>
        <w:t>公务用车运行维护费预算是16万元，决算支出12.18万元。包括车辆燃料费、维修费、过路过桥费、保险费等支出，主要用于保险各部门的日常办公。截至2020年12月31日，铜官区西湖镇机关及所属单位开支财政拨款的公务用车保有量为4辆。</w:t>
      </w:r>
    </w:p>
    <w:p>
      <w:pPr>
        <w:keepNext w:val="0"/>
        <w:keepLines w:val="0"/>
        <w:widowControl/>
        <w:suppressLineNumbers w:val="0"/>
        <w:spacing w:before="0" w:beforeAutospacing="1" w:after="0" w:afterAutospacing="1" w:line="600" w:lineRule="exact"/>
        <w:ind w:left="0" w:right="0"/>
        <w:jc w:val="left"/>
      </w:pPr>
      <w:r>
        <w:rPr>
          <w:rFonts w:hint="eastAsia" w:ascii="黑体" w:hAnsi="宋体" w:eastAsia="黑体" w:cs="黑体"/>
          <w:color w:val="000000"/>
          <w:kern w:val="2"/>
          <w:sz w:val="32"/>
          <w:szCs w:val="32"/>
          <w:lang w:val="en-US" w:eastAsia="zh-CN" w:bidi="ar"/>
        </w:rPr>
        <w:t xml:space="preserve"> </w:t>
      </w:r>
    </w:p>
    <w:p>
      <w:pPr>
        <w:keepNext w:val="0"/>
        <w:keepLines w:val="0"/>
        <w:widowControl/>
        <w:suppressLineNumbers w:val="0"/>
        <w:spacing w:before="0" w:beforeAutospacing="1" w:after="0" w:afterAutospacing="1"/>
        <w:ind w:left="0" w:right="0"/>
        <w:jc w:val="left"/>
      </w:pPr>
      <w:r>
        <w:rPr>
          <w:rFonts w:ascii="方正仿宋_GBK" w:hAnsi="Times New Roman" w:eastAsia="方正仿宋_GBK" w:cs="Times New Roman"/>
          <w:color w:val="020202"/>
          <w:kern w:val="2"/>
          <w:sz w:val="32"/>
          <w:szCs w:val="32"/>
          <w:lang w:val="en-US" w:eastAsia="zh-CN" w:bidi="ar"/>
        </w:rPr>
        <w:t xml:space="preserve"> </w:t>
      </w:r>
    </w:p>
    <w:p>
      <w:pPr>
        <w:keepNext w:val="0"/>
        <w:keepLines w:val="0"/>
        <w:widowControl/>
        <w:suppressLineNumbers w:val="0"/>
        <w:spacing w:before="0" w:beforeAutospacing="1" w:after="0" w:afterAutospacing="1"/>
        <w:ind w:left="1325" w:leftChars="250" w:right="0" w:hanging="800" w:hangingChars="249"/>
        <w:jc w:val="center"/>
      </w:pPr>
      <w:r>
        <w:rPr>
          <w:rFonts w:hint="eastAsia" w:ascii="宋体" w:hAnsi="宋体" w:eastAsia="宋体" w:cs="宋体"/>
          <w:b/>
          <w:bCs/>
          <w:color w:val="000000"/>
          <w:kern w:val="2"/>
          <w:sz w:val="32"/>
          <w:szCs w:val="32"/>
          <w:lang w:val="en-US" w:eastAsia="zh-CN" w:bidi="ar"/>
        </w:rPr>
        <w:t xml:space="preserve"> </w:t>
      </w:r>
    </w:p>
    <w:p>
      <w:pPr>
        <w:keepNext w:val="0"/>
        <w:keepLines w:val="0"/>
        <w:widowControl/>
        <w:suppressLineNumbers w:val="0"/>
        <w:spacing w:before="0" w:beforeAutospacing="1" w:after="0" w:afterAutospacing="1"/>
        <w:ind w:left="0" w:right="0"/>
        <w:jc w:val="left"/>
      </w:pPr>
      <w:r>
        <w:rPr>
          <w:rFonts w:hint="default" w:ascii="仿宋_GB2312" w:hAnsi="Times New Roman" w:eastAsia="仿宋_GB2312" w:cs="Times New Roman"/>
          <w:color w:val="020202"/>
          <w:kern w:val="2"/>
          <w:sz w:val="32"/>
          <w:szCs w:val="32"/>
          <w:lang w:val="en-US" w:eastAsia="zh-CN" w:bidi="ar"/>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方正舒体"/>
    <w:panose1 w:val="00000000000000000000"/>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wZDJlYWI5YmU4Njc0ZTVhMDVhMTljNWQ0MWYwMTkifQ=="/>
  </w:docVars>
  <w:rsids>
    <w:rsidRoot w:val="5CE7456B"/>
    <w:rsid w:val="07BE007D"/>
    <w:rsid w:val="18357EE7"/>
    <w:rsid w:val="18984252"/>
    <w:rsid w:val="27B626C7"/>
    <w:rsid w:val="28213FE4"/>
    <w:rsid w:val="34EB1C02"/>
    <w:rsid w:val="535844AE"/>
    <w:rsid w:val="55230FF4"/>
    <w:rsid w:val="57F329F7"/>
    <w:rsid w:val="5CE7456B"/>
    <w:rsid w:val="7A8A0B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7417</Words>
  <Characters>9290</Characters>
  <Lines>0</Lines>
  <Paragraphs>0</Paragraphs>
  <TotalTime>4</TotalTime>
  <ScaleCrop>false</ScaleCrop>
  <LinksUpToDate>false</LinksUpToDate>
  <CharactersWithSpaces>10819</CharactersWithSpaces>
  <Application>WPS Office_11.1.0.12019_F1E327BC-269C-435d-A152-05C5408002CA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2022-09-07T02:29:00Z</dcterms:created>
  <dc:creator>h</dc:creator>
  <cp:lastModifiedBy>h</cp:lastModifiedBy>
  <dcterms:modified xsi:type="dcterms:W3CDTF">2022-09-07T02:34:30Z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2052-11.1.0.12019</vt:lpwstr>
  </property>
  <property fmtid="{D5CDD505-2E9C-101B-9397-08002B2CF9AE}" pid="3" name="ICV">
    <vt:lpwstr>BDC78AD0DDC44781B0C9DDA863B9F4D0</vt:lpwstr>
  </property>
</Properties>
</file>