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8C9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</w:p>
    <w:p w14:paraId="49C25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</w:p>
    <w:p w14:paraId="1935A5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</w:p>
    <w:p w14:paraId="5AB4C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</w:p>
    <w:p w14:paraId="410C6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</w:p>
    <w:p w14:paraId="3FE03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default" w:ascii="Times New Roman" w:hAnsi="Times New Roman" w:eastAsia="方正仿宋_GB2312" w:cs="Times New Roman"/>
          <w:b w:val="0"/>
          <w:bCs w:val="0"/>
          <w:i w:val="0"/>
          <w:strike w:val="0"/>
          <w:snapToGrid w:val="0"/>
          <w:color w:val="auto"/>
          <w:spacing w:val="13"/>
          <w:kern w:val="0"/>
          <w:sz w:val="30"/>
          <w:szCs w:val="30"/>
          <w:u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i w:val="0"/>
          <w:strike w:val="0"/>
          <w:snapToGrid w:val="0"/>
          <w:color w:val="auto"/>
          <w:spacing w:val="11"/>
          <w:kern w:val="0"/>
          <w:sz w:val="30"/>
          <w:szCs w:val="30"/>
          <w:u w:val="none"/>
          <w:lang w:val="en-US" w:eastAsia="zh-CN"/>
        </w:rPr>
        <w:t>铜官市监〔2026〕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strike w:val="0"/>
          <w:snapToGrid w:val="0"/>
          <w:color w:val="auto"/>
          <w:spacing w:val="11"/>
          <w:kern w:val="0"/>
          <w:sz w:val="30"/>
          <w:szCs w:val="30"/>
          <w:u w:val="none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i w:val="0"/>
          <w:strike w:val="0"/>
          <w:snapToGrid w:val="0"/>
          <w:color w:val="auto"/>
          <w:spacing w:val="11"/>
          <w:kern w:val="0"/>
          <w:sz w:val="30"/>
          <w:szCs w:val="30"/>
          <w:u w:val="none"/>
          <w:lang w:val="en-US" w:eastAsia="zh-CN"/>
        </w:rPr>
        <w:t>号</w:t>
      </w:r>
    </w:p>
    <w:p w14:paraId="28908134">
      <w:pPr>
        <w:pStyle w:val="3"/>
        <w:jc w:val="center"/>
        <w:rPr>
          <w:rFonts w:hint="default" w:ascii="Times New Roman" w:hAnsi="Times New Roman" w:eastAsia="方正小标宋简体" w:cs="Times New Roman"/>
          <w:b w:val="0"/>
          <w:bCs w:val="0"/>
          <w:snapToGrid w:val="0"/>
          <w:color w:val="000000"/>
          <w:spacing w:val="13"/>
          <w:kern w:val="0"/>
          <w:sz w:val="48"/>
          <w:szCs w:val="48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 w:val="0"/>
          <w:bCs w:val="0"/>
          <w:snapToGrid w:val="0"/>
          <w:color w:val="000000"/>
          <w:spacing w:val="13"/>
          <w:kern w:val="0"/>
          <w:sz w:val="44"/>
          <w:szCs w:val="44"/>
          <w:lang w:val="en-US" w:eastAsia="zh-CN"/>
        </w:rPr>
        <w:t>关于开展2026年度工业产品生产许可证获证企业事中事后监督检查工作的通知</w:t>
      </w:r>
    </w:p>
    <w:bookmarkEnd w:id="0"/>
    <w:p w14:paraId="5A8F6318">
      <w:pPr>
        <w:rPr>
          <w:rFonts w:hint="default"/>
          <w:lang w:val="en-US" w:eastAsia="zh-CN"/>
        </w:rPr>
      </w:pPr>
    </w:p>
    <w:p w14:paraId="7A47B3B2">
      <w:pPr>
        <w:rPr>
          <w:rFonts w:hint="default" w:ascii="Times New Roman" w:hAnsi="Times New Roman" w:eastAsia="方正仿宋_GB2312" w:cs="Times New Roman"/>
        </w:rPr>
      </w:pPr>
    </w:p>
    <w:p w14:paraId="0234D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各市场监管所，辖区各工业产品生产许可证获证企业：</w:t>
      </w:r>
    </w:p>
    <w:p w14:paraId="1794E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为深入贯彻落实《安徽省工业产品生产许可证事中事后监督管理办法》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《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关于加强2026年全省工业产品生产许可证管理工作的通知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（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皖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市监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质监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函〔2026〕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号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及铜陵市市场监督管理局《关于公布2025年铜陵市工业产品生产许可证获证企业分类监管结果的通知》（铜市监办函〔2026〕24号）要求，全面强化工业产品质量安全监管，压实企业质量主体责任，提升事中事后监管精准性、专业性、有效性，我局决定2026年组织专家对辖区16家工业产品生产许可证获证企业开展全覆盖事中事后监督检查。现将有关事项通知如下：</w:t>
      </w:r>
    </w:p>
    <w:p w14:paraId="51849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一、工作目标</w:t>
      </w:r>
    </w:p>
    <w:p w14:paraId="65DC28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通过监管人员+技术专家联合检查，全面核查获证企业持续保持许可条件、落实质量安全主体责任、规范生产经营等情况，实现风险隐患早发现、问题整改全闭环、监管执法更精准、企业质量再提升，切实保障辖区工业产品质量安全，守住质量安全底线。</w:t>
      </w:r>
    </w:p>
    <w:p w14:paraId="0CC9FF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二、检查对象</w:t>
      </w:r>
    </w:p>
    <w:p w14:paraId="1F694D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铜官区辖区内16家工业产品生产许可证获证企业，产品覆盖建材、化工、电线电缆、食品相关产品四大类别。</w:t>
      </w:r>
    </w:p>
    <w:p w14:paraId="26A621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三、检查依据</w:t>
      </w:r>
    </w:p>
    <w:p w14:paraId="37260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《中华人民共和国工业产品生产许可证管理条例》《安徽省工业产品生产许可证事中事后监督管理办法》《获证企业产品质量分类监管通用规则》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相关产品国家标准、行业标准及生产许可证实施细则</w:t>
      </w:r>
    </w:p>
    <w:p w14:paraId="616525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四、组织实施与时间安排</w:t>
      </w:r>
    </w:p>
    <w:p w14:paraId="73357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sz w:val="32"/>
          <w:szCs w:val="32"/>
        </w:rPr>
        <w:t>（一）组织形式</w:t>
      </w:r>
    </w:p>
    <w:p w14:paraId="0DD77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由区市场监管局统一牵头，聘请相关领域专家联合开展现场检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查。</w:t>
      </w:r>
    </w:p>
    <w:p w14:paraId="4B377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bCs/>
          <w:sz w:val="32"/>
          <w:szCs w:val="32"/>
        </w:rPr>
        <w:t>（二）时间安排</w:t>
      </w:r>
    </w:p>
    <w:p w14:paraId="30E7CF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1. 动员部署与企业自查阶段</w:t>
      </w:r>
    </w:p>
    <w:p w14:paraId="5E9239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组织企业开展年度自查，6月底前完成市场监管年报及获证企业报告事项填报。</w:t>
      </w:r>
    </w:p>
    <w:p w14:paraId="3549D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2. 专家现场检查阶段</w:t>
      </w:r>
    </w:p>
    <w:p w14:paraId="4AD10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分4批次对16家企业开展全覆盖现场检查。</w:t>
      </w:r>
    </w:p>
    <w:p w14:paraId="375E4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3. 整改复查与总结阶段</w:t>
      </w:r>
    </w:p>
    <w:p w14:paraId="1E4DC5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对问题企业开展复查验收，汇总检查结果，形成年度监管工作总结。</w:t>
      </w:r>
    </w:p>
    <w:p w14:paraId="591E8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五、分类监管要求（严格执行市局分类结果）</w:t>
      </w:r>
    </w:p>
    <w:p w14:paraId="039897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A级企业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实施责任监管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专家重点核查质量主体责任落实情况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。</w:t>
      </w:r>
    </w:p>
    <w:p w14:paraId="4B9EC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B级企业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实施常态监管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专家全覆盖检查。</w:t>
      </w:r>
    </w:p>
    <w:p w14:paraId="35A9A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C级企业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实施加严监管，专家全覆盖检查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强化隐患排查与整改督办。</w:t>
      </w:r>
    </w:p>
    <w:p w14:paraId="4C050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六、专家检查重点内容（全面细化）</w:t>
      </w:r>
    </w:p>
    <w:p w14:paraId="28D52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1. 许可资质管理</w:t>
      </w:r>
    </w:p>
    <w:p w14:paraId="63B637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生产许可证是否在有效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期内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；证书载明信息与实际生产地址、法人、生产范围是否一致；是否存在超范围生产、伪造、变造、出租、出借、转让许可证等行为。</w:t>
      </w:r>
    </w:p>
    <w:p w14:paraId="5B2515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2. 生产条件保持情况</w:t>
      </w:r>
    </w:p>
    <w:p w14:paraId="339C8C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生产厂房、设施、设备运行正常；工艺流程布局合理；关键生产设备维护保养到位；满足持续生产合格产品的条件。</w:t>
      </w:r>
    </w:p>
    <w:p w14:paraId="6B9CF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3. 质量管理制度与运行</w:t>
      </w:r>
    </w:p>
    <w:p w14:paraId="1684E2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建立并落实原材料进货查验、生产过程控制、出厂检验、不合格品管理、质量追溯等制度；记录真实、完整、可追溯。</w:t>
      </w:r>
    </w:p>
    <w:p w14:paraId="3BF3E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4. 检验能力与实施</w:t>
      </w:r>
    </w:p>
    <w:p w14:paraId="2499FC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检验设备定期检定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/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校准并在有效期内；检验人员具备相应能力；按规定实施原材料检验、过程检验、出厂检验，留存完整检验报告。</w:t>
      </w:r>
    </w:p>
    <w:p w14:paraId="45C7B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5. 产品标识与包装</w:t>
      </w:r>
    </w:p>
    <w:p w14:paraId="5F585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产品标识、标注符合法律法规及标准要求；标注生产许可证标志和编号，无虚假标注、误导性标注。</w:t>
      </w:r>
    </w:p>
    <w:p w14:paraId="38FBB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6. 年度自查与信息报送</w:t>
      </w:r>
    </w:p>
    <w:p w14:paraId="3A76B8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按要求开展年度自查，按时完成获证企业报告事项填报，数据真实准确，无瞒报、漏报。</w:t>
      </w:r>
    </w:p>
    <w:p w14:paraId="45C67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7. 问题整改与风险防控</w:t>
      </w:r>
    </w:p>
    <w:p w14:paraId="1C106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上年度监督检查、监督抽查发现问题已整改闭环；建立质量安全风险防控机制，有效防范系统性风险。</w:t>
      </w:r>
    </w:p>
    <w:p w14:paraId="6F268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8. 守法合规经营</w:t>
      </w:r>
    </w:p>
    <w:p w14:paraId="04F93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无无证生产、以假充真、以次充好、以不合格产品冒充合格产品等违法违规行为；积极配合监管部门检查。</w:t>
      </w:r>
    </w:p>
    <w:p w14:paraId="23281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七</w:t>
      </w:r>
      <w:r>
        <w:rPr>
          <w:rFonts w:hint="default" w:ascii="方正黑体_GBK" w:hAnsi="方正黑体_GBK" w:eastAsia="方正黑体_GBK" w:cs="方正黑体_GBK"/>
          <w:sz w:val="32"/>
          <w:szCs w:val="32"/>
        </w:rPr>
        <w:t>、工作要求</w:t>
      </w:r>
    </w:p>
    <w:p w14:paraId="558DF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（一）强化组织保障。各市场监管所</w:t>
      </w:r>
      <w:r>
        <w:rPr>
          <w:rFonts w:hint="eastAsia" w:ascii="Times New Roman" w:hAnsi="Times New Roman" w:eastAsia="方正仿宋_GBK" w:cs="Times New Roman"/>
          <w:sz w:val="32"/>
          <w:szCs w:val="30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获证企业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要高度重视，专人负责，配合专家高效完成现场检查、记录填写、结果汇总与复查督办。</w:t>
      </w:r>
    </w:p>
    <w:p w14:paraId="3AACBE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（二）严格规范检查。专家与检查人员依法履职，客观公正，如实记录问题，对需整改企业依法下达整改通知，按期复查，形成监管闭环。</w:t>
      </w:r>
    </w:p>
    <w:p w14:paraId="53A6C9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（三）抓好企业自查。各获证企业须在2026年6月底前完成年度自查，并结合市场监管年报一并完成获证企业报告事项填报。</w:t>
      </w:r>
    </w:p>
    <w:p w14:paraId="63FAF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（四）加强宣传引导。强化法律法规与质量责任宣贯，推动企业完善质量安全管理体系，提升质量安全意识。</w:t>
      </w:r>
    </w:p>
    <w:p w14:paraId="57DECC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（五）及时报送信息。检查工作实行台账管理，及时更新企业档案，确保监管全覆盖、无遗漏，重大情况第一时间上报。</w:t>
      </w:r>
    </w:p>
    <w:p w14:paraId="6CEA2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</w:p>
    <w:p w14:paraId="3D313D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</w:p>
    <w:p w14:paraId="6FCD4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0"/>
        </w:rPr>
        <w:t>联系人：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方世林，</w:t>
      </w:r>
      <w:r>
        <w:rPr>
          <w:rFonts w:hint="default" w:ascii="Times New Roman" w:hAnsi="Times New Roman" w:eastAsia="方正仿宋_GBK" w:cs="Times New Roman"/>
          <w:sz w:val="32"/>
          <w:szCs w:val="30"/>
        </w:rPr>
        <w:t>联系电话：</w:t>
      </w:r>
      <w:r>
        <w:rPr>
          <w:rFonts w:hint="eastAsia" w:ascii="Times New Roman" w:hAnsi="Times New Roman" w:eastAsia="方正仿宋_GBK" w:cs="Times New Roman"/>
          <w:sz w:val="32"/>
          <w:szCs w:val="30"/>
          <w:lang w:val="en-US" w:eastAsia="zh-CN"/>
        </w:rPr>
        <w:t>0562-2213991，17356288696</w:t>
      </w:r>
    </w:p>
    <w:p w14:paraId="61A78B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0"/>
        </w:rPr>
      </w:pPr>
    </w:p>
    <w:p w14:paraId="7BA7F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</w:p>
    <w:p w14:paraId="5DB67B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</w:rPr>
      </w:pPr>
    </w:p>
    <w:p w14:paraId="33587B7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方正仿宋_GB2312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2026年4月1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  <w:r>
        <w:rPr>
          <w:rFonts w:hint="eastAsia" w:ascii="Times New Roman" w:hAnsi="Times New Roman" w:eastAsia="方正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方正仿宋_GB2312" w:cs="Times New Roman"/>
          <w:sz w:val="30"/>
          <w:szCs w:val="30"/>
          <w:lang w:val="en-US" w:eastAsia="zh-CN"/>
        </w:rPr>
        <w:t xml:space="preserve"> </w:t>
      </w:r>
    </w:p>
    <w:p w14:paraId="2FF4C8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Times New Roman" w:hAnsi="Times New Roman" w:eastAsia="方正仿宋_GB2312" w:cs="Times New Roman"/>
          <w:sz w:val="30"/>
          <w:szCs w:val="30"/>
        </w:rPr>
      </w:pPr>
    </w:p>
    <w:p w14:paraId="17E28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Times New Roman" w:hAnsi="Times New Roman" w:eastAsia="方正仿宋_GB2312" w:cs="Times New Roman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  <w:embedRegular r:id="rId1" w:fontKey="{18EF1E87-542B-4210-A531-735CBF088F9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E00027D1-55ED-4B09-9323-1CB6724D67B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089B8EF2-E7B1-433D-ACA4-5E40F898A6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A793EE7A-A475-4AA4-B310-4D34A84BD490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5" w:fontKey="{674D1A0E-ED9D-46CD-9A09-6CAC3D1C4FED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69194005-6EAA-421C-BD6F-CB6A15EC966E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35A82739-AA60-4143-96B8-AD27F4269706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3E13A7"/>
    <w:rsid w:val="00630179"/>
    <w:rsid w:val="091E64C9"/>
    <w:rsid w:val="19962308"/>
    <w:rsid w:val="213E13A7"/>
    <w:rsid w:val="3A21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600" w:lineRule="exact"/>
      <w:outlineLvl w:val="3"/>
    </w:pPr>
    <w:rPr>
      <w:rFonts w:ascii="Times New Roman" w:hAnsi="Times New Roman" w:eastAsia="仿宋_GB2312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1625</Words>
  <Characters>1689</Characters>
  <Lines>0</Lines>
  <Paragraphs>0</Paragraphs>
  <TotalTime>28</TotalTime>
  <ScaleCrop>false</ScaleCrop>
  <LinksUpToDate>false</LinksUpToDate>
  <CharactersWithSpaces>1703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2026-04-10T03:26:00Z</dcterms:created>
  <dc:creator>周周周fan</dc:creator>
  <cp:lastModifiedBy>ZL</cp:lastModifiedBy>
  <dcterms:modified xsi:type="dcterms:W3CDTF">2026-04-13T01:52:17Z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93A5931A8662412BA72DE94ED04CA2FB_13</vt:lpwstr>
  </property>
  <property fmtid="{D5CDD505-2E9C-101B-9397-08002B2CF9AE}" pid="4" name="KSOTemplateDocerSaveRecord">
    <vt:lpwstr>eyJoZGlkIjoiMGYzNDUwNDMzZmZhMTMwOGVmNGI5MmRlYTEyNjMxODQiLCJ1c2VySWQiOiI1NjQyNzQ5OTUifQ==</vt:lpwstr>
  </property>
</Properties>
</file>