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W w:w="1058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440"/>
        <w:gridCol w:w="551"/>
        <w:gridCol w:w="2075"/>
        <w:gridCol w:w="1218"/>
        <w:gridCol w:w="505"/>
        <w:gridCol w:w="1556"/>
        <w:gridCol w:w="487"/>
        <w:gridCol w:w="450"/>
        <w:gridCol w:w="1116"/>
        <w:gridCol w:w="1219"/>
        <w:gridCol w:w="443"/>
        <w:gridCol w:w="528"/>
      </w:tblGrid>
      <w:tr w14:paraId="6B25B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19CD25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bookmarkStart w:id="0" w:name="_GoBack"/>
            <w:bookmarkEnd w:id="0"/>
            <w:r>
              <w:rPr>
                <w:rFonts w:hint="eastAsia" w:ascii="宋体" w:hAnsi="宋体" w:eastAsia="宋体" w:cs="宋体"/>
                <w:b/>
                <w:i w:val="0"/>
                <w:iCs w:val="0"/>
                <w:color w:val="000000"/>
                <w:kern w:val="0"/>
                <w:sz w:val="22"/>
                <w:szCs w:val="22"/>
                <w:u w:val="none"/>
                <w:bdr w:val="none" w:color="auto" w:sz="0" w:space="0"/>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75067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事项名称</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762A7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设定依据</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46241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对应权力事项名称</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0251D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资质条件</w:t>
            </w:r>
          </w:p>
        </w:tc>
        <w:tc>
          <w:tcPr>
            <w:tcW w:w="1556" w:type="dxa"/>
            <w:tcBorders>
              <w:top w:val="single" w:color="000000" w:sz="4" w:space="0"/>
              <w:left w:val="single" w:color="000000" w:sz="4" w:space="0"/>
              <w:bottom w:val="single" w:color="000000" w:sz="4" w:space="0"/>
              <w:right w:val="single" w:color="000000" w:sz="4" w:space="0"/>
            </w:tcBorders>
            <w:shd w:val="clear"/>
            <w:vAlign w:val="center"/>
          </w:tcPr>
          <w:p w14:paraId="3630B6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资质依据</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455DF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收费标准及依据</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FAEB5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委托主体</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584B4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实施层级</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0B70AC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实施部门</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7AE2F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备注</w:t>
            </w:r>
          </w:p>
        </w:tc>
        <w:tc>
          <w:tcPr>
            <w:tcW w:w="528" w:type="dxa"/>
            <w:tcBorders>
              <w:top w:val="single" w:color="000000" w:sz="4" w:space="0"/>
              <w:left w:val="single" w:color="000000" w:sz="4" w:space="0"/>
              <w:bottom w:val="single" w:color="000000" w:sz="4" w:space="0"/>
              <w:right w:val="single" w:color="000000" w:sz="4" w:space="0"/>
            </w:tcBorders>
            <w:shd w:val="clear"/>
            <w:vAlign w:val="center"/>
          </w:tcPr>
          <w:p w14:paraId="528D9F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i w:val="0"/>
                <w:iCs w:val="0"/>
                <w:color w:val="000000"/>
                <w:sz w:val="22"/>
                <w:szCs w:val="22"/>
                <w:u w:val="none"/>
              </w:rPr>
            </w:pPr>
            <w:r>
              <w:rPr>
                <w:rFonts w:hint="eastAsia" w:ascii="宋体" w:hAnsi="宋体" w:eastAsia="宋体" w:cs="宋体"/>
                <w:b/>
                <w:i w:val="0"/>
                <w:iCs w:val="0"/>
                <w:color w:val="000000"/>
                <w:kern w:val="0"/>
                <w:sz w:val="22"/>
                <w:szCs w:val="22"/>
                <w:u w:val="none"/>
                <w:bdr w:val="none" w:color="auto" w:sz="0" w:space="0"/>
                <w:lang w:val="en-US" w:eastAsia="zh-CN" w:bidi="ar"/>
              </w:rPr>
              <w:t>清单编制部门</w:t>
            </w:r>
          </w:p>
        </w:tc>
      </w:tr>
      <w:tr w14:paraId="1C80B3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vAlign w:val="center"/>
          </w:tcPr>
          <w:p w14:paraId="689E246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E0B5A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固定资产投资项目申请报告评估</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B2214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 《企业投资项目核准和备案管理办法》第二十六条（国家发展和改革委员会令第 2 号）项目核准机关在正式受理项目申请报告后，需要评估的，应在4个工作日内按照有关规定委托具有相应资质的工程咨询机构进行评估。项目核准机关在委托评估时，应当根据项目具体情况，提出评估重点，明确评估时限。</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2.《外商投资项目核准和备案管理办法》（国家发展和改革委员会令第12号）第十四条：项目核准机关在受理项目申请报告之日起 4 个工作日内， 对需要进行评估论证的重点问题委托有资质的咨询机构进行评估论证，接受委托的咨询机构应在规定的时间内提出评估报告。</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3.《安徽省人民政府关于贯彻落实国务院第一批清理规范行政审批中介服务事项的通知》（皖政〔2015〕135号）附件目录第1项：保留审批部门现有的项目申请报告技术评估、评审。</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2617F9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固定资产投资项目核准（含国发〔2016〕72号文件规定的外商投资项目）</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06981A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具有相应资质的工程咨询机构</w:t>
            </w:r>
          </w:p>
        </w:tc>
        <w:tc>
          <w:tcPr>
            <w:tcW w:w="1556" w:type="dxa"/>
            <w:tcBorders>
              <w:top w:val="single" w:color="000000" w:sz="4" w:space="0"/>
              <w:left w:val="single" w:color="000000" w:sz="4" w:space="0"/>
              <w:bottom w:val="single" w:color="000000" w:sz="4" w:space="0"/>
              <w:right w:val="single" w:color="000000" w:sz="4" w:space="0"/>
            </w:tcBorders>
            <w:shd w:val="clear"/>
            <w:vAlign w:val="center"/>
          </w:tcPr>
          <w:p w14:paraId="0EEF578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《企业投资项目核准和备案管理办法》第二十六条（国家发展和改革委员会令第 2 号）项目核准机关在正式受理项目申请报告后，需要评估的，应在4个工作日内按照有关规定委托具有相应资质的工程咨询机构进行评估。项目核准机关在委托评估时，应当根据项目具体情况，提出评估重点，明确评估时限。</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E2C30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市场自主调节价格</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EF858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5C684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省市县</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2A29D6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发展改革</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C0C830E">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528" w:type="dxa"/>
            <w:tcBorders>
              <w:top w:val="single" w:color="000000" w:sz="4" w:space="0"/>
              <w:left w:val="single" w:color="000000" w:sz="4" w:space="0"/>
              <w:bottom w:val="single" w:color="000000" w:sz="4" w:space="0"/>
              <w:right w:val="single" w:color="000000" w:sz="4" w:space="0"/>
            </w:tcBorders>
            <w:shd w:val="clear"/>
            <w:vAlign w:val="center"/>
          </w:tcPr>
          <w:p w14:paraId="53CD6D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r w14:paraId="611E54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440" w:type="dxa"/>
            <w:tcBorders>
              <w:top w:val="single" w:color="000000" w:sz="4" w:space="0"/>
              <w:left w:val="single" w:color="000000" w:sz="4" w:space="0"/>
              <w:bottom w:val="single" w:color="000000" w:sz="4" w:space="0"/>
              <w:right w:val="single" w:color="000000" w:sz="4" w:space="0"/>
            </w:tcBorders>
            <w:shd w:val="clear"/>
            <w:vAlign w:val="center"/>
          </w:tcPr>
          <w:p w14:paraId="12A1D3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2</w:t>
            </w:r>
          </w:p>
        </w:tc>
        <w:tc>
          <w:tcPr>
            <w:tcW w:w="551" w:type="dxa"/>
            <w:tcBorders>
              <w:top w:val="single" w:color="000000" w:sz="4" w:space="0"/>
              <w:left w:val="single" w:color="000000" w:sz="4" w:space="0"/>
              <w:bottom w:val="single" w:color="000000" w:sz="4" w:space="0"/>
              <w:right w:val="single" w:color="000000" w:sz="4" w:space="0"/>
            </w:tcBorders>
            <w:shd w:val="clear"/>
            <w:vAlign w:val="center"/>
          </w:tcPr>
          <w:p w14:paraId="65B9F2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固定资产投资项目节能报告评审</w:t>
            </w:r>
          </w:p>
        </w:tc>
        <w:tc>
          <w:tcPr>
            <w:tcW w:w="2075" w:type="dxa"/>
            <w:tcBorders>
              <w:top w:val="single" w:color="000000" w:sz="4" w:space="0"/>
              <w:left w:val="single" w:color="000000" w:sz="4" w:space="0"/>
              <w:bottom w:val="single" w:color="000000" w:sz="4" w:space="0"/>
              <w:right w:val="single" w:color="000000" w:sz="4" w:space="0"/>
            </w:tcBorders>
            <w:shd w:val="clear"/>
            <w:vAlign w:val="center"/>
          </w:tcPr>
          <w:p w14:paraId="6B6140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固定资产投资项目节能审查和碳排放评价办法》（国家发展和改革委员会令第31号）第十五条：节能审查机关受理节能审查申报材料后，应委托具备技术能力的机构进行评审，形成评审意见，作为节能审查的重要依据。</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2．《安徽省人民政府关于贯彻落实国务院第一批清理规范行政审批中介服务事项的通知》（皖政〔2015〕135号）第1项：保留审批部门现有的项目申请报告技术评估、评审。</w:t>
            </w:r>
          </w:p>
        </w:tc>
        <w:tc>
          <w:tcPr>
            <w:tcW w:w="1218" w:type="dxa"/>
            <w:tcBorders>
              <w:top w:val="single" w:color="000000" w:sz="4" w:space="0"/>
              <w:left w:val="single" w:color="000000" w:sz="4" w:space="0"/>
              <w:bottom w:val="single" w:color="000000" w:sz="4" w:space="0"/>
              <w:right w:val="single" w:color="000000" w:sz="4" w:space="0"/>
            </w:tcBorders>
            <w:shd w:val="clear"/>
            <w:vAlign w:val="center"/>
          </w:tcPr>
          <w:p w14:paraId="21C953B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固定资产投资项目节能审查</w:t>
            </w:r>
          </w:p>
        </w:tc>
        <w:tc>
          <w:tcPr>
            <w:tcW w:w="505" w:type="dxa"/>
            <w:tcBorders>
              <w:top w:val="single" w:color="000000" w:sz="4" w:space="0"/>
              <w:left w:val="single" w:color="000000" w:sz="4" w:space="0"/>
              <w:bottom w:val="single" w:color="000000" w:sz="4" w:space="0"/>
              <w:right w:val="single" w:color="000000" w:sz="4" w:space="0"/>
            </w:tcBorders>
            <w:shd w:val="clear"/>
            <w:vAlign w:val="center"/>
          </w:tcPr>
          <w:p w14:paraId="1930DA5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有关机构</w:t>
            </w:r>
          </w:p>
        </w:tc>
        <w:tc>
          <w:tcPr>
            <w:tcW w:w="1556" w:type="dxa"/>
            <w:tcBorders>
              <w:top w:val="single" w:color="000000" w:sz="4" w:space="0"/>
              <w:left w:val="single" w:color="000000" w:sz="4" w:space="0"/>
              <w:bottom w:val="single" w:color="000000" w:sz="4" w:space="0"/>
              <w:right w:val="single" w:color="000000" w:sz="4" w:space="0"/>
            </w:tcBorders>
            <w:shd w:val="clear"/>
            <w:vAlign w:val="center"/>
          </w:tcPr>
          <w:p w14:paraId="7B9D010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安徽省固定资产投资项目节能审查实施办法（暂行）（皖发改环资规〔2021〕8号）第十一条 节能审查机关受理项目节能报告后，应委托有关机构组织专家对节能报告评审，形成专家评审意见，有关机构依据专家评审意见和相关法规、政策、标准、规范形成评审报告，作为节能审查的重要依据。必要时，节能审查机关可组织进行现场核查。</w:t>
            </w:r>
          </w:p>
        </w:tc>
        <w:tc>
          <w:tcPr>
            <w:tcW w:w="487" w:type="dxa"/>
            <w:tcBorders>
              <w:top w:val="single" w:color="000000" w:sz="4" w:space="0"/>
              <w:left w:val="single" w:color="000000" w:sz="4" w:space="0"/>
              <w:bottom w:val="single" w:color="000000" w:sz="4" w:space="0"/>
              <w:right w:val="single" w:color="000000" w:sz="4" w:space="0"/>
            </w:tcBorders>
            <w:shd w:val="clear"/>
            <w:vAlign w:val="center"/>
          </w:tcPr>
          <w:p w14:paraId="61278F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市场自主调节价格</w:t>
            </w:r>
          </w:p>
        </w:tc>
        <w:tc>
          <w:tcPr>
            <w:tcW w:w="450" w:type="dxa"/>
            <w:tcBorders>
              <w:top w:val="single" w:color="000000" w:sz="4" w:space="0"/>
              <w:left w:val="single" w:color="000000" w:sz="4" w:space="0"/>
              <w:bottom w:val="single" w:color="000000" w:sz="4" w:space="0"/>
              <w:right w:val="single" w:color="000000" w:sz="4" w:space="0"/>
            </w:tcBorders>
            <w:shd w:val="clear"/>
            <w:vAlign w:val="center"/>
          </w:tcPr>
          <w:p w14:paraId="09888F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w:t>
            </w:r>
          </w:p>
        </w:tc>
        <w:tc>
          <w:tcPr>
            <w:tcW w:w="1116" w:type="dxa"/>
            <w:tcBorders>
              <w:top w:val="single" w:color="000000" w:sz="4" w:space="0"/>
              <w:left w:val="single" w:color="000000" w:sz="4" w:space="0"/>
              <w:bottom w:val="single" w:color="000000" w:sz="4" w:space="0"/>
              <w:right w:val="single" w:color="000000" w:sz="4" w:space="0"/>
            </w:tcBorders>
            <w:shd w:val="clear"/>
            <w:vAlign w:val="center"/>
          </w:tcPr>
          <w:p w14:paraId="28D3B0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省市县</w:t>
            </w:r>
          </w:p>
        </w:tc>
        <w:tc>
          <w:tcPr>
            <w:tcW w:w="1219" w:type="dxa"/>
            <w:tcBorders>
              <w:top w:val="single" w:color="000000" w:sz="4" w:space="0"/>
              <w:left w:val="single" w:color="000000" w:sz="4" w:space="0"/>
              <w:bottom w:val="single" w:color="000000" w:sz="4" w:space="0"/>
              <w:right w:val="single" w:color="000000" w:sz="4" w:space="0"/>
            </w:tcBorders>
            <w:shd w:val="clear"/>
            <w:vAlign w:val="center"/>
          </w:tcPr>
          <w:p w14:paraId="0EEF3E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发展改革</w:t>
            </w:r>
          </w:p>
        </w:tc>
        <w:tc>
          <w:tcPr>
            <w:tcW w:w="443" w:type="dxa"/>
            <w:tcBorders>
              <w:top w:val="single" w:color="000000" w:sz="4" w:space="0"/>
              <w:left w:val="single" w:color="000000" w:sz="4" w:space="0"/>
              <w:bottom w:val="single" w:color="000000" w:sz="4" w:space="0"/>
              <w:right w:val="single" w:color="000000" w:sz="4" w:space="0"/>
            </w:tcBorders>
            <w:shd w:val="clear"/>
            <w:vAlign w:val="center"/>
          </w:tcPr>
          <w:p w14:paraId="5EAB2D91">
            <w:pPr>
              <w:snapToGrid w:val="0"/>
              <w:ind w:left="0" w:leftChars="0" w:right="0" w:rightChars="0" w:firstLine="0" w:firstLineChars="0"/>
              <w:jc w:val="center"/>
              <w:rPr>
                <w:rFonts w:hint="eastAsia" w:ascii="宋体" w:hAnsi="宋体" w:eastAsia="宋体" w:cs="宋体"/>
                <w:i w:val="0"/>
                <w:iCs w:val="0"/>
                <w:color w:val="000000"/>
                <w:sz w:val="22"/>
                <w:szCs w:val="22"/>
                <w:u w:val="none"/>
              </w:rPr>
            </w:pPr>
          </w:p>
        </w:tc>
        <w:tc>
          <w:tcPr>
            <w:tcW w:w="528" w:type="dxa"/>
            <w:tcBorders>
              <w:top w:val="single" w:color="000000" w:sz="4" w:space="0"/>
              <w:left w:val="single" w:color="000000" w:sz="4" w:space="0"/>
              <w:bottom w:val="single" w:color="000000" w:sz="4" w:space="0"/>
              <w:right w:val="single" w:color="000000" w:sz="4" w:space="0"/>
            </w:tcBorders>
            <w:shd w:val="clear"/>
            <w:vAlign w:val="center"/>
          </w:tcPr>
          <w:p w14:paraId="505802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铜陵市铜官区发展和改革局</w:t>
            </w:r>
          </w:p>
        </w:tc>
      </w:tr>
    </w:tbl>
    <w:p w14:paraId="6EA27B2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60085F"/>
    <w:rsid w:val="506008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2026-02-12T09:08:00Z</dcterms:created>
  <dc:creator>汪志</dc:creator>
  <cp:lastModifiedBy>汪志</cp:lastModifiedBy>
  <dcterms:modified xsi:type="dcterms:W3CDTF">2026-02-12T09:08:43Z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5D6DFB14639742A6A9BF260552652BD3_11</vt:lpwstr>
  </property>
  <property fmtid="{D5CDD505-2E9C-101B-9397-08002B2CF9AE}" pid="4" name="KSOTemplateDocerSaveRecord">
    <vt:lpwstr>eyJoZGlkIjoiODliOWFlZTI2MWM2MTFiMmY4YzA5OTdjODVjMDc1NGUiLCJ1c2VySWQiOiI1Mzk1NDI3ODUifQ==</vt:lpwstr>
  </property>
</Properties>
</file>