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FB25FB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firstLine="420"/>
        <w:jc w:val="center"/>
        <w:textAlignment w:val="auto"/>
        <w:rPr>
          <w:rFonts w:ascii="方正小标宋简体" w:hAnsi="方正小标宋简体" w:eastAsia="方正小标宋简体" w:cs="方正小标宋简体"/>
          <w:color w:val="333333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</w:rPr>
        <w:t>铜官区东郊办事处202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</w:rPr>
        <w:t>年政府信息公开</w:t>
      </w:r>
    </w:p>
    <w:p w14:paraId="1B1D3EDD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</w:rPr>
        <w:t>工作年度报告</w:t>
      </w:r>
    </w:p>
    <w:p w14:paraId="457E433E">
      <w:pPr>
        <w:pStyle w:val="5"/>
        <w:widowControl/>
        <w:shd w:val="clear" w:color="auto" w:fill="FFFFFF"/>
        <w:spacing w:beforeAutospacing="0" w:afterAutospacing="0"/>
        <w:ind w:firstLine="420"/>
        <w:jc w:val="both"/>
        <w:rPr>
          <w:rFonts w:ascii="宋体" w:hAnsi="宋体" w:eastAsia="宋体" w:cs="宋体"/>
          <w:color w:val="333333"/>
        </w:rPr>
      </w:pPr>
    </w:p>
    <w:p w14:paraId="541C368A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根据《中华人民共和国政府信息公开条例》(国务院令第711号)和《国务院办公厅政府信息与政务公开办公室关于印发〈中华人民共和国政府信息公开工作年度报告格式〉的通知》(国办公开办函[2021]30号)要求，编制本年度报告</w:t>
      </w:r>
      <w:r>
        <w:rPr>
          <w:rFonts w:hint="eastAsia" w:ascii="仿宋_GB2312" w:hAnsi="仿宋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  <w:t>一、总体情况</w:t>
      </w:r>
    </w:p>
    <w:p w14:paraId="55A79A33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2025年，东郊办事处坚持以人民为中心的发展思想，认真贯彻落实《条例》精神及上级关于全面推进政务公开工作的系列决策部署，紧紧围绕区委、区政府中心工作及社会公众关切，不断深化公开内容，完善公开机制，优化公开平台，着力提升政府工作透明度和政府公信力，保障人民群众的知情权、参与权、表达权和监督权，政府信息公开工作取得积极成效。</w:t>
      </w:r>
    </w:p>
    <w:p w14:paraId="0921FFE5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3" w:firstLineChars="200"/>
        <w:jc w:val="both"/>
        <w:textAlignment w:val="auto"/>
        <w:rPr>
          <w:rFonts w:ascii="楷体_GB2312" w:hAnsi="楷体_GB2312" w:eastAsia="楷体_GB2312" w:cs="楷体_GB2312"/>
          <w:b/>
          <w:bCs/>
          <w:kern w:val="0"/>
          <w:sz w:val="32"/>
          <w:szCs w:val="32"/>
          <w:shd w:val="clear" w:color="auto" w:fill="FFFFFF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shd w:val="clear" w:color="auto" w:fill="FFFFFF"/>
        </w:rPr>
        <w:t>（一）主动公开</w:t>
      </w:r>
    </w:p>
    <w:p w14:paraId="18CE75F4">
      <w:pPr>
        <w:pStyle w:val="5"/>
        <w:keepNext w:val="0"/>
        <w:keepLines w:val="0"/>
        <w:widowControl/>
        <w:suppressLineNumbers w:val="0"/>
        <w:spacing w:before="240" w:beforeAutospacing="0" w:after="240" w:afterAutospacing="0"/>
        <w:ind w:left="0" w:right="0" w:firstLine="640" w:firstLineChars="200"/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自202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年1月1日-12月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31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日，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主动公开信息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5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42</w:t>
      </w:r>
      <w:r>
        <w:rPr>
          <w:rStyle w:val="9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办事处聚焦重点领域深化公开。全面公开财政预决算、“三公”经费及专项资金管理等财政信息，全年发布相关条目</w:t>
      </w:r>
      <w:r>
        <w:rPr>
          <w:rFonts w:hint="default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90余条。扎实推进行政权责清单、运行结果及应急管理等信息公开，保障权力在阳光下运行。持续加强民生服务与社会保障信息公开。及时发布城乡低保、特困供养、临时救助等社会救助审批信息62条。围绕公共文化、就业创业、社会保险等领域，落实基层政务公开标准，发布服务类信息百余条，提升民生政策透明度。组织开展新闻发布活动，发布信息11条，有效畅通了沟通渠道。</w:t>
      </w:r>
    </w:p>
    <w:p w14:paraId="428FE740"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atLeast"/>
        <w:ind w:left="-13" w:leftChars="0" w:firstLine="643" w:firstLineChars="0"/>
        <w:jc w:val="left"/>
        <w:textAlignment w:val="auto"/>
        <w:rPr>
          <w:rFonts w:ascii="仿宋_GB2312" w:eastAsia="仿宋_GB2312" w:cs="仿宋_GB2312" w:hAnsiTheme="minorHAnsi"/>
          <w:kern w:val="44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shd w:val="clear" w:color="auto" w:fill="FFFFFF"/>
          <w:lang w:val="en-US" w:eastAsia="zh-CN" w:bidi="ar-SA"/>
        </w:rPr>
        <w:t>依申请公开</w:t>
      </w:r>
      <w:r>
        <w:rPr>
          <w:rFonts w:ascii="楷体_GB2312" w:eastAsia="楷体_GB2312" w:cs="楷体_GB2312"/>
          <w:b/>
          <w:bCs/>
          <w:kern w:val="44"/>
          <w:sz w:val="32"/>
          <w:szCs w:val="32"/>
          <w:shd w:val="clear" w:color="auto" w:fill="FFFFFF"/>
        </w:rPr>
        <w:t>。</w:t>
      </w:r>
      <w:r>
        <w:rPr>
          <w:rFonts w:hint="default" w:ascii="仿宋_GB2312" w:eastAsia="仿宋_GB2312" w:cs="仿宋_GB2312"/>
          <w:kern w:val="44"/>
          <w:sz w:val="32"/>
          <w:szCs w:val="32"/>
          <w:shd w:val="clear" w:color="auto" w:fill="FFFFFF"/>
        </w:rPr>
        <w:t>202</w:t>
      </w:r>
      <w:r>
        <w:rPr>
          <w:rFonts w:hint="eastAsia" w:ascii="仿宋_GB2312" w:eastAsia="仿宋_GB2312" w:cs="仿宋_GB2312"/>
          <w:kern w:val="44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仿宋_GB2312" w:eastAsia="仿宋_GB2312" w:cs="仿宋_GB2312"/>
          <w:kern w:val="44"/>
          <w:sz w:val="32"/>
          <w:szCs w:val="32"/>
          <w:shd w:val="clear" w:color="auto" w:fill="FFFFFF"/>
        </w:rPr>
        <w:t>年，我办共受理依申请公开信息申请</w:t>
      </w:r>
      <w:r>
        <w:rPr>
          <w:rFonts w:hint="eastAsia" w:ascii="仿宋_GB2312" w:eastAsia="仿宋_GB2312" w:cs="仿宋_GB2312"/>
          <w:kern w:val="44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eastAsia="仿宋_GB2312" w:cs="仿宋_GB2312"/>
          <w:kern w:val="44"/>
          <w:sz w:val="32"/>
          <w:szCs w:val="32"/>
          <w:shd w:val="clear" w:color="auto" w:fill="FFFFFF"/>
        </w:rPr>
        <w:t>条。</w:t>
      </w:r>
    </w:p>
    <w:p w14:paraId="3D282048"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atLeast"/>
        <w:ind w:left="-13" w:leftChars="0" w:firstLine="643" w:firstLineChars="0"/>
        <w:jc w:val="left"/>
        <w:textAlignment w:val="auto"/>
        <w:rPr>
          <w:rFonts w:ascii="仿宋_GB2312" w:eastAsia="仿宋_GB2312" w:cs="仿宋_GB2312" w:hAnsiTheme="minorHAnsi"/>
          <w:kern w:val="44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shd w:val="clear" w:color="auto" w:fill="FFFFFF"/>
          <w:lang w:val="en-US" w:eastAsia="zh-CN" w:bidi="ar-SA"/>
        </w:rPr>
        <w:t>政府信息管理。</w:t>
      </w:r>
      <w:r>
        <w:rPr>
          <w:rFonts w:ascii="仿宋_GB2312" w:eastAsia="仿宋_GB2312" w:cs="仿宋_GB2312" w:hAnsiTheme="minorHAnsi"/>
          <w:kern w:val="44"/>
          <w:sz w:val="32"/>
          <w:szCs w:val="32"/>
          <w:shd w:val="clear" w:color="auto" w:fill="FFFFFF"/>
          <w:lang w:val="en-US" w:eastAsia="zh-CN" w:bidi="ar-SA"/>
        </w:rPr>
        <w:t>本年度，我</w:t>
      </w:r>
      <w:r>
        <w:rPr>
          <w:rFonts w:hint="eastAsia" w:ascii="仿宋_GB2312" w:eastAsia="仿宋_GB2312" w:cs="仿宋_GB2312"/>
          <w:kern w:val="44"/>
          <w:sz w:val="32"/>
          <w:szCs w:val="32"/>
          <w:shd w:val="clear" w:color="auto" w:fill="FFFFFF"/>
          <w:lang w:val="en-US" w:eastAsia="zh-CN" w:bidi="ar-SA"/>
        </w:rPr>
        <w:t>办</w:t>
      </w:r>
      <w:r>
        <w:rPr>
          <w:rFonts w:ascii="仿宋_GB2312" w:eastAsia="仿宋_GB2312" w:cs="仿宋_GB2312" w:hAnsiTheme="minorHAnsi"/>
          <w:kern w:val="44"/>
          <w:sz w:val="32"/>
          <w:szCs w:val="32"/>
          <w:shd w:val="clear" w:color="auto" w:fill="FFFFFF"/>
          <w:lang w:val="en-US" w:eastAsia="zh-CN" w:bidi="ar-SA"/>
        </w:rPr>
        <w:t>进一步完善政府信息管理制度体系，着力提升信息管理规范化水平。严格执行信息发布</w:t>
      </w:r>
      <w:r>
        <w:rPr>
          <w:rFonts w:hint="eastAsia" w:ascii="仿宋_GB2312" w:eastAsia="仿宋_GB2312" w:cs="仿宋_GB2312"/>
          <w:kern w:val="44"/>
          <w:sz w:val="32"/>
          <w:szCs w:val="32"/>
          <w:shd w:val="clear" w:color="auto" w:fill="FFFFFF"/>
          <w:lang w:val="en-US" w:eastAsia="zh-CN" w:bidi="ar-SA"/>
        </w:rPr>
        <w:t>三审</w:t>
      </w:r>
      <w:r>
        <w:rPr>
          <w:rFonts w:ascii="仿宋_GB2312" w:eastAsia="仿宋_GB2312" w:cs="仿宋_GB2312" w:hAnsiTheme="minorHAnsi"/>
          <w:kern w:val="44"/>
          <w:sz w:val="32"/>
          <w:szCs w:val="32"/>
          <w:shd w:val="clear" w:color="auto" w:fill="FFFFFF"/>
          <w:lang w:val="en-US" w:eastAsia="zh-CN" w:bidi="ar-SA"/>
        </w:rPr>
        <w:t>机制，在公文制发源头即明确公开属性，确保应公开尽公开、安全合规。建立信息动态维护机制，对涉及法规政策、机构职能等变更的信息及时更新发布，并定期对已公开信息进行梳理核查，确保平台信息的准确性、时效性与权威性。同时，加强信息发布协调，保障各部门发布信息的一致与协同。</w:t>
      </w:r>
    </w:p>
    <w:p w14:paraId="76F139E9"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wordWrap w:val="0"/>
        <w:spacing w:before="450" w:beforeAutospacing="0" w:after="602" w:afterAutospacing="0" w:line="540" w:lineRule="atLeast"/>
        <w:ind w:left="-13" w:leftChars="0" w:right="0" w:firstLine="643" w:firstLineChars="0"/>
        <w:jc w:val="both"/>
        <w:rPr>
          <w:rFonts w:hint="eastAsia" w:ascii="仿宋_GB2312" w:eastAsia="仿宋_GB2312" w:cs="仿宋_GB2312" w:hAnsiTheme="minorHAnsi"/>
          <w:kern w:val="44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shd w:val="clear" w:color="auto" w:fill="FFFFFF"/>
          <w:lang w:val="en-US" w:eastAsia="zh-CN" w:bidi="ar-SA"/>
        </w:rPr>
        <w:t>政府信息公开平台建设。</w:t>
      </w:r>
      <w:r>
        <w:rPr>
          <w:rFonts w:hint="eastAsia" w:ascii="仿宋_GB2312" w:eastAsia="仿宋_GB2312" w:cs="仿宋_GB2312" w:hAnsiTheme="minorHAnsi"/>
          <w:b w:val="0"/>
          <w:bCs w:val="0"/>
          <w:kern w:val="44"/>
          <w:sz w:val="32"/>
          <w:szCs w:val="32"/>
          <w:shd w:val="clear" w:color="auto" w:fill="FFFFFF"/>
          <w:lang w:val="en-US" w:eastAsia="zh-CN" w:bidi="ar-SA"/>
        </w:rPr>
        <w:t>本办持续加强信息公开网站运维管理，严格内容审核发布机制，确保平台信息权威准确。针对网站运行中发现的各类问题，做到快速响应、及时整改，优化用户体验。重点围绕社会关切，主动公开本年度财政专项资金使用明细及惠民惠农补贴分配结果，切实保障群众知情权与监督权，提升政务公开服务效能。</w:t>
      </w:r>
    </w:p>
    <w:p w14:paraId="58C122C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atLeast"/>
        <w:ind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>（五）监督保障工作情况。</w:t>
      </w:r>
    </w:p>
    <w:p w14:paraId="39AD59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225" w:afterAutospacing="0"/>
        <w:ind w:right="0" w:firstLine="640" w:firstLineChars="200"/>
        <w:jc w:val="both"/>
        <w:rPr>
          <w:rFonts w:hint="eastAsia" w:ascii="仿宋_GB2312" w:eastAsia="仿宋_GB2312" w:cs="仿宋_GB2312"/>
          <w:color w:val="auto"/>
          <w:kern w:val="44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 w:cs="仿宋_GB2312"/>
          <w:color w:val="auto"/>
          <w:kern w:val="44"/>
          <w:sz w:val="32"/>
          <w:szCs w:val="32"/>
          <w:shd w:val="clear" w:color="auto" w:fill="FFFFFF"/>
          <w:lang w:val="en-US" w:eastAsia="zh-CN"/>
        </w:rPr>
        <w:t>1.工作考评：在完善现有制度的基础上，重点推进政府信息公开标准化建设。通过常态化自查与针对性整改，实现流程规范与持续优化，形成管理闭环。</w:t>
      </w:r>
    </w:p>
    <w:p w14:paraId="454561B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225" w:afterAutospacing="0"/>
        <w:ind w:right="0" w:firstLine="640" w:firstLineChars="200"/>
        <w:jc w:val="both"/>
        <w:rPr>
          <w:rFonts w:hint="eastAsia" w:ascii="仿宋_GB2312" w:eastAsia="仿宋_GB2312" w:cs="仿宋_GB2312"/>
          <w:color w:val="auto"/>
          <w:kern w:val="44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 w:cs="仿宋_GB2312"/>
          <w:color w:val="auto"/>
          <w:kern w:val="44"/>
          <w:sz w:val="32"/>
          <w:szCs w:val="32"/>
          <w:shd w:val="clear" w:color="auto" w:fill="FFFFFF"/>
          <w:lang w:val="en-US" w:eastAsia="zh-CN"/>
        </w:rPr>
        <w:t>2.社会评议：及时更新并多渠道公开办事指南与联系方式，主动接受社会监督，切实保障公众知情权、参与权与监督权。</w:t>
      </w:r>
    </w:p>
    <w:p w14:paraId="1161B1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225" w:afterAutospacing="0"/>
        <w:ind w:right="0" w:firstLine="640" w:firstLineChars="200"/>
        <w:jc w:val="both"/>
        <w:rPr>
          <w:rFonts w:ascii="宋体" w:hAnsi="宋体" w:eastAsia="宋体" w:cs="宋体"/>
          <w:color w:val="auto"/>
          <w:kern w:val="0"/>
          <w:sz w:val="24"/>
        </w:rPr>
      </w:pPr>
      <w:r>
        <w:rPr>
          <w:rFonts w:hint="eastAsia" w:ascii="仿宋_GB2312" w:eastAsia="仿宋_GB2312" w:cs="仿宋_GB2312"/>
          <w:color w:val="auto"/>
          <w:kern w:val="44"/>
          <w:sz w:val="32"/>
          <w:szCs w:val="32"/>
          <w:shd w:val="clear" w:color="auto" w:fill="FFFFFF"/>
          <w:lang w:val="en-US" w:eastAsia="zh-CN"/>
        </w:rPr>
        <w:t>3.责任追究结果情况：本年度政务公开工作运行规范，未发生相关责任追究事件。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shd w:val="clear" w:color="auto" w:fill="FFFFFF"/>
        </w:rPr>
        <w:t xml:space="preserve">                </w:t>
      </w:r>
    </w:p>
    <w:p w14:paraId="3F74C5EE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7"/>
        <w:tblW w:w="974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3C6C07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1924A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第二十条第（一）项</w:t>
            </w:r>
          </w:p>
        </w:tc>
      </w:tr>
      <w:tr w14:paraId="722EB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8E659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33A11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59938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F81AA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数</w:t>
            </w:r>
          </w:p>
        </w:tc>
      </w:tr>
      <w:tr w14:paraId="56E4B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34DF9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663A7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D5353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CD240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01E53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F0B05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927C7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6575B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C75FC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5983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290C3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第二十条第（五）项</w:t>
            </w:r>
          </w:p>
        </w:tc>
      </w:tr>
      <w:tr w14:paraId="1031E9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A2981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A3478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本年处理决定数量</w:t>
            </w:r>
          </w:p>
        </w:tc>
      </w:tr>
      <w:tr w14:paraId="33CE2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A738F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184C3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3A545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2D2E4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第二十条第（六）项</w:t>
            </w:r>
          </w:p>
        </w:tc>
      </w:tr>
      <w:tr w14:paraId="7BC24D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733B8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56F6A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本年处理决定数量</w:t>
            </w:r>
          </w:p>
        </w:tc>
      </w:tr>
      <w:tr w14:paraId="395E41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8870D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53544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</w:tr>
      <w:tr w14:paraId="53A45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CCEEF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EAEBF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</w:tr>
      <w:tr w14:paraId="7EE63E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77603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第二十条第（八）项</w:t>
            </w:r>
          </w:p>
        </w:tc>
      </w:tr>
      <w:tr w14:paraId="1C2E8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CD770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AE3C4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本年收费金额（单位：万元）</w:t>
            </w:r>
          </w:p>
        </w:tc>
      </w:tr>
      <w:tr w14:paraId="6D4B6C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0156F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E38FBB">
            <w:pPr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</w:tr>
    </w:tbl>
    <w:p w14:paraId="04C11A02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1074"/>
        <w:gridCol w:w="3097"/>
        <w:gridCol w:w="683"/>
        <w:gridCol w:w="684"/>
        <w:gridCol w:w="684"/>
        <w:gridCol w:w="684"/>
        <w:gridCol w:w="694"/>
        <w:gridCol w:w="684"/>
        <w:gridCol w:w="684"/>
      </w:tblGrid>
      <w:tr w14:paraId="7D07A8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4575C7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（本列数据的勾稽关系为：第一项加第二项之和，等于第三项加第四项之和）</w:t>
            </w:r>
          </w:p>
        </w:tc>
        <w:tc>
          <w:tcPr>
            <w:tcW w:w="479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07E7C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申请人情况</w:t>
            </w:r>
          </w:p>
        </w:tc>
      </w:tr>
      <w:tr w14:paraId="564CCB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EF18E4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D3D9A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自然人</w:t>
            </w:r>
          </w:p>
        </w:tc>
        <w:tc>
          <w:tcPr>
            <w:tcW w:w="343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9524B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法人或其他组织</w:t>
            </w:r>
          </w:p>
        </w:tc>
        <w:tc>
          <w:tcPr>
            <w:tcW w:w="68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81788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总计</w:t>
            </w:r>
          </w:p>
        </w:tc>
      </w:tr>
      <w:tr w14:paraId="3D88B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4" w:hRule="atLeast"/>
          <w:jc w:val="center"/>
        </w:trPr>
        <w:tc>
          <w:tcPr>
            <w:tcW w:w="495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7B0D52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6B3A8E">
            <w:pPr>
              <w:widowControl/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9D0C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商业</w:t>
            </w:r>
          </w:p>
          <w:p w14:paraId="13FF9DE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企业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B7742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科研</w:t>
            </w:r>
          </w:p>
          <w:p w14:paraId="797A9B2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机构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32940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社会公益组织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538DA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法律服务机构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0392A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其他</w:t>
            </w:r>
          </w:p>
        </w:tc>
        <w:tc>
          <w:tcPr>
            <w:tcW w:w="68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B98C42">
            <w:pPr>
              <w:widowControl/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4C99EA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13D99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一、</w:t>
            </w:r>
            <w:r>
              <w:rPr>
                <w:rFonts w:hint="eastAsia" w:ascii="仿宋_GB2312" w:hAnsi="仿宋_GB2312" w:eastAsia="仿宋_GB2312" w:cs="仿宋_GB2312"/>
                <w:w w:val="97"/>
                <w:kern w:val="0"/>
                <w:sz w:val="32"/>
                <w:szCs w:val="32"/>
              </w:rPr>
              <w:t>本年新收政府信息公开申请数量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3BBFE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1044A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60199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2F22E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9D79E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C3583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2DB67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</w:tr>
      <w:tr w14:paraId="01BDEE6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FF609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w w:val="97"/>
                <w:kern w:val="0"/>
                <w:sz w:val="32"/>
                <w:szCs w:val="32"/>
              </w:rPr>
              <w:t>二、上年结转政府信息公开申请数量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9D33D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A35D0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69D33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63E49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285C0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7FEC1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61F4F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552B7F8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5114A1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三、本年度办理结果</w:t>
            </w:r>
          </w:p>
        </w:tc>
        <w:tc>
          <w:tcPr>
            <w:tcW w:w="41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618572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（一）予以公开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93157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0D57D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577FA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2CC3F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091E6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39732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A0690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1</w:t>
            </w:r>
          </w:p>
        </w:tc>
      </w:tr>
      <w:tr w14:paraId="27CCCF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0D6F89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41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A7EF4E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（二）部分公开（区分处理的，只计这一情形，不计其他情形）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650BE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4DE3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82BF8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42CEB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49802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F8ECE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C5EA4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7304EE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3529E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ADE7E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（三）不予公开</w:t>
            </w:r>
          </w:p>
        </w:tc>
        <w:tc>
          <w:tcPr>
            <w:tcW w:w="30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32C980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1.属于国家秘密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AF7B0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B67E1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2CA79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DFD31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203F2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16257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96382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5898519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B42A7C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3738E4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5822C6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2.其他法律行政法规禁止公开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E4547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5A2B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07917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BE337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F5844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F7B61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87596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4541AA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69CB83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58E7AA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916E3F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3.危及“三安全一稳定”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58B0E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281FF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C9A34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F9883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A2D56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B339E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C1E90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57E18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6386F4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4E8599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D81D13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4.保护第三方合法权益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4DE40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AC077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C3188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48E7F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9A52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50218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86C80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36A53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ACFFB6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2A4FF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13D985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5.属于三类内部事务信息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27566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09943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CB2DC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3FD72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A9842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2ADC6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816FF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7B194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26ACA5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1FF435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FC8F61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6.属于四类过程性信息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2C1AA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15E69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1DD9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1CBA1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2F84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F2263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C1913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20AA20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4D4180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340419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66D0C3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7.属于行政执法案卷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2782A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1DB52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7B4B5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41AD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7C2DF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AA880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F4555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68799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757523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9469F1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7C1F6A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8.属于行政查询事项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8C6E4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EE450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B378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6B960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C2A22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357EC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CE8C4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318951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C89705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4A5C5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（四）无法提供</w:t>
            </w: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69B87B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1.本机关不掌握相关政府信息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FEE2D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3161E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1230E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F4F6D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A90AB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7440D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D80FB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2C49FF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33D730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AAFFBB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31933E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2.没有现成信息需要另行制作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82978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9DF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FA192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33457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1E561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74429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5FF76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60BE4A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BD27AB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03A516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7B84AD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3.补正后申请内容仍不明确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EC02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B7F10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6D180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52215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577F0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6D0F1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49D13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919E4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68AA01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806050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（五）不予处理</w:t>
            </w:r>
          </w:p>
        </w:tc>
        <w:tc>
          <w:tcPr>
            <w:tcW w:w="309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D8D2FA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1.信访举报投诉类申请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2714E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7EB21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84A12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7FB93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07EB4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2FB8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14F6F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4F89A0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A72C06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4B353B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0EBD57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2.重复申请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C2411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20261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86320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D0037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4550D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0D7D4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AACDB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469D87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909758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E71BAC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BEEFB8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3.要求提供公开出版物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89764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12381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49929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FFF62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A8760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19363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F1238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490C82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0D4E5E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72F3B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11A7CF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4.无正当理由大量反复申请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BBB1C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F1255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3B37D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F64BE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DAABD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28AED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D13FB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6D934D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615633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AACD96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A49CB9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5.要求行政机关确认或重新出具已获取信息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51A8D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786EF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A107E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F993B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29C47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EB8E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E9A2B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3CB0E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CF48E4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B841C9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（六）其他处理</w:t>
            </w: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94497B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1.申请人无正当理由逾期不补正、行政机关不再处理其政府信息公开申请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A8454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91576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7807B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D01C7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6711D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79414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A4E01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1C9E0A5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52C1B8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D505E3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E67FCA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2.申请人逾期未按收费通知要求缴纳费用、行政机关不再处理其政府信息公开申请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CF98C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769E2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E172F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53888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1E93E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D07FE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8902A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  <w:p w14:paraId="150E5D5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  <w:p w14:paraId="050FBD9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300FC9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F4DFE9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DFEBEF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59349C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3.其他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2660D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9DBEC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6C0A7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7882C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067D8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276AA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6755F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</w:tr>
      <w:tr w14:paraId="76C73D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F625F8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41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73275A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（七）总计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FB207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C47B8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64F93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B210D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2D4BF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E6BC4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2741D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1</w:t>
            </w:r>
          </w:p>
        </w:tc>
      </w:tr>
      <w:tr w14:paraId="41C154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A2602"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四、结转下年度继续办理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F29D7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134B7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61CC44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6330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8D92A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80BEF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C6F832">
            <w:pPr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</w:tr>
    </w:tbl>
    <w:p w14:paraId="44DA7E98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76AE7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11BAA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3133F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行政诉讼</w:t>
            </w:r>
          </w:p>
        </w:tc>
      </w:tr>
      <w:tr w14:paraId="652CBB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54D61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9F938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60F35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5C1C0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73859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A59E0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18A92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复议后起诉</w:t>
            </w:r>
          </w:p>
        </w:tc>
      </w:tr>
      <w:tr w14:paraId="0F3A10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BA26BB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472A6B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775302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2757AE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564FD0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84E65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4AF56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1E31B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EB7A1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233DE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D3FF7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DB9C7C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9D6DB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93FA0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15C5C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总计</w:t>
            </w:r>
          </w:p>
        </w:tc>
      </w:tr>
      <w:tr w14:paraId="385CDCE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3BC0E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242967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54268E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44869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B7571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FE0EC3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467AD0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D91E4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4735D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93816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1465C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C49EC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720ED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402A92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2D9871">
            <w:pPr>
              <w:adjustRightInd w:val="0"/>
              <w:snapToGrid w:val="0"/>
              <w:spacing w:line="240" w:lineRule="atLeas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</w:p>
        </w:tc>
      </w:tr>
    </w:tbl>
    <w:p w14:paraId="25951BA3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60" w:lineRule="atLeas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01FBAA7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643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（一）存在的主要问题：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一是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政策解读有待加强。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解读信息数量偏少、形式较为单一，与政策文件的关联度和匹配度有待提升，影响了政策的传播效果和公众理解。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公众参与程度不高。“意见征集”与“意见反馈”机制未能有效运转，栏目内容薄弱，重大决策事前征求意见等互动形式运用不足，政民互动闭环尚未完全形成。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公开深度有待拓展。部分领域信息发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布频次较低，内容较为简略，公开的精细度和服务性有待进一步增强。</w:t>
      </w:r>
    </w:p>
    <w:p w14:paraId="3E432078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643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（二）改进情况：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一是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强化解读，提升政策实效。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增加解读供给，积极运用图文、问答、短视频等通俗形式，增强政策传播力、影响力。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通过前置建设参与机制、培育常设沟通渠道、扎实做好日常意见反馈，我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办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致力于夯实信任基础，确保未来一旦有重大决策启动，公众参与工作能即刻高效、有序、深入地开展。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对标提质，促进精准公开。持续对标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上级标准，动态优化公开目录。强化用户思维，从服务对象需求出发，提升信息发布的深度、时效性和获取便利度，切实增强群众获得感。</w:t>
      </w:r>
    </w:p>
    <w:p w14:paraId="33D05CD8">
      <w:pPr>
        <w:pStyle w:val="5"/>
        <w:widowControl/>
        <w:shd w:val="clear" w:color="auto" w:fill="FFFFFF"/>
        <w:spacing w:beforeAutospacing="0" w:afterAutospacing="0"/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333333"/>
          <w:sz w:val="32"/>
          <w:szCs w:val="32"/>
          <w:shd w:val="clear" w:color="auto" w:fill="FFFFFF"/>
        </w:rPr>
        <w:t>六、其他需要报告的事项</w:t>
      </w:r>
    </w:p>
    <w:p w14:paraId="02724CAD">
      <w:pPr>
        <w:pStyle w:val="5"/>
        <w:widowControl/>
        <w:shd w:val="clear" w:color="auto" w:fill="FFFFFF"/>
        <w:spacing w:beforeAutospacing="0" w:afterAutospacing="0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2423DD56">
      <w:pPr>
        <w:pStyle w:val="5"/>
        <w:widowControl/>
        <w:shd w:val="clear" w:color="auto" w:fill="FFFFFF"/>
        <w:spacing w:beforeAutospacing="0" w:afterAutospacing="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6C5E47D6">
      <w:pPr>
        <w:pStyle w:val="5"/>
        <w:widowControl/>
        <w:shd w:val="clear" w:color="auto" w:fill="FFFFFF"/>
        <w:spacing w:beforeAutospacing="0" w:afterAutospacing="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7DEDD0"/>
    <w:multiLevelType w:val="singleLevel"/>
    <w:tmpl w:val="877DEDD0"/>
    <w:lvl w:ilvl="0" w:tentative="0">
      <w:start w:val="2"/>
      <w:numFmt w:val="chineseCounting"/>
      <w:suff w:val="nothing"/>
      <w:lvlText w:val="（%1）"/>
      <w:lvlJc w:val="left"/>
      <w:pPr>
        <w:ind w:left="-13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xZGM0NDFkZTA2YmIzZDdkMjc4MDc3NjM3OGFhYzUifQ=="/>
  </w:docVars>
  <w:rsids>
    <w:rsidRoot w:val="6496441B"/>
    <w:rsid w:val="003C47F7"/>
    <w:rsid w:val="004203C9"/>
    <w:rsid w:val="004F73D2"/>
    <w:rsid w:val="00763EDB"/>
    <w:rsid w:val="00911152"/>
    <w:rsid w:val="00AD557F"/>
    <w:rsid w:val="00CA7EEA"/>
    <w:rsid w:val="01254CD7"/>
    <w:rsid w:val="02580FFA"/>
    <w:rsid w:val="02585DD1"/>
    <w:rsid w:val="02647ECA"/>
    <w:rsid w:val="028F7330"/>
    <w:rsid w:val="033C59BF"/>
    <w:rsid w:val="0493543F"/>
    <w:rsid w:val="050B2FCD"/>
    <w:rsid w:val="05BC3F34"/>
    <w:rsid w:val="05E0766C"/>
    <w:rsid w:val="07434552"/>
    <w:rsid w:val="075A189C"/>
    <w:rsid w:val="08253634"/>
    <w:rsid w:val="08FF7541"/>
    <w:rsid w:val="09DE35FC"/>
    <w:rsid w:val="0A442A6B"/>
    <w:rsid w:val="0AF84B4C"/>
    <w:rsid w:val="0B8306BA"/>
    <w:rsid w:val="0C913FA4"/>
    <w:rsid w:val="0CD04D8F"/>
    <w:rsid w:val="0DF94DB5"/>
    <w:rsid w:val="0E045213"/>
    <w:rsid w:val="0E5D6921"/>
    <w:rsid w:val="10045BDC"/>
    <w:rsid w:val="101C784D"/>
    <w:rsid w:val="10772D2F"/>
    <w:rsid w:val="10C761F4"/>
    <w:rsid w:val="11BC7645"/>
    <w:rsid w:val="11C479EB"/>
    <w:rsid w:val="120C3966"/>
    <w:rsid w:val="13A62514"/>
    <w:rsid w:val="13AB5BA5"/>
    <w:rsid w:val="142179C9"/>
    <w:rsid w:val="14363DC9"/>
    <w:rsid w:val="148779EB"/>
    <w:rsid w:val="1560771A"/>
    <w:rsid w:val="1610114A"/>
    <w:rsid w:val="18D712BE"/>
    <w:rsid w:val="18E24930"/>
    <w:rsid w:val="1AC73BB5"/>
    <w:rsid w:val="1B1453A9"/>
    <w:rsid w:val="1B351FAC"/>
    <w:rsid w:val="1B577BEC"/>
    <w:rsid w:val="1B601E4F"/>
    <w:rsid w:val="1B73368E"/>
    <w:rsid w:val="1B883B63"/>
    <w:rsid w:val="1DA87390"/>
    <w:rsid w:val="1E303A22"/>
    <w:rsid w:val="1E36026B"/>
    <w:rsid w:val="1FB50923"/>
    <w:rsid w:val="1FF95DA9"/>
    <w:rsid w:val="20A55195"/>
    <w:rsid w:val="213056EF"/>
    <w:rsid w:val="2149055F"/>
    <w:rsid w:val="238B47C5"/>
    <w:rsid w:val="23AE66CF"/>
    <w:rsid w:val="23C81AB7"/>
    <w:rsid w:val="24044666"/>
    <w:rsid w:val="25AC595B"/>
    <w:rsid w:val="26270419"/>
    <w:rsid w:val="266A1AC6"/>
    <w:rsid w:val="267A55B4"/>
    <w:rsid w:val="26BF4371"/>
    <w:rsid w:val="26C8547D"/>
    <w:rsid w:val="28A4431F"/>
    <w:rsid w:val="28D64DCE"/>
    <w:rsid w:val="28DC0F94"/>
    <w:rsid w:val="29854E7D"/>
    <w:rsid w:val="2A4F3BB3"/>
    <w:rsid w:val="2AA077A9"/>
    <w:rsid w:val="2AA367FE"/>
    <w:rsid w:val="2BBD2C03"/>
    <w:rsid w:val="2F3300A1"/>
    <w:rsid w:val="2FB46BCA"/>
    <w:rsid w:val="30C31F80"/>
    <w:rsid w:val="318749AF"/>
    <w:rsid w:val="324B6615"/>
    <w:rsid w:val="3301513E"/>
    <w:rsid w:val="34125D6B"/>
    <w:rsid w:val="3607649B"/>
    <w:rsid w:val="366215F3"/>
    <w:rsid w:val="37755E86"/>
    <w:rsid w:val="381C49BB"/>
    <w:rsid w:val="384D3002"/>
    <w:rsid w:val="38DC5413"/>
    <w:rsid w:val="3902576C"/>
    <w:rsid w:val="3A822B01"/>
    <w:rsid w:val="3AA569D3"/>
    <w:rsid w:val="3BFB006D"/>
    <w:rsid w:val="3C104B7D"/>
    <w:rsid w:val="3C5E69C3"/>
    <w:rsid w:val="3CEF6007"/>
    <w:rsid w:val="3DBB1BA6"/>
    <w:rsid w:val="3E1E266B"/>
    <w:rsid w:val="3EE04FF2"/>
    <w:rsid w:val="3F252558"/>
    <w:rsid w:val="3F6A4A13"/>
    <w:rsid w:val="3FBA2F1A"/>
    <w:rsid w:val="405B707F"/>
    <w:rsid w:val="40DA410A"/>
    <w:rsid w:val="41C52633"/>
    <w:rsid w:val="422B266E"/>
    <w:rsid w:val="4246115D"/>
    <w:rsid w:val="426D634C"/>
    <w:rsid w:val="432D6A2A"/>
    <w:rsid w:val="43C05449"/>
    <w:rsid w:val="45D109A0"/>
    <w:rsid w:val="48732F30"/>
    <w:rsid w:val="48A80943"/>
    <w:rsid w:val="4942492D"/>
    <w:rsid w:val="49592731"/>
    <w:rsid w:val="49D84060"/>
    <w:rsid w:val="4B333167"/>
    <w:rsid w:val="4BB966C2"/>
    <w:rsid w:val="4CF85B27"/>
    <w:rsid w:val="4D21045F"/>
    <w:rsid w:val="4D6F609D"/>
    <w:rsid w:val="4EC24E4C"/>
    <w:rsid w:val="4FAE1CAF"/>
    <w:rsid w:val="4FC67EEA"/>
    <w:rsid w:val="4FD9099B"/>
    <w:rsid w:val="506F4ACA"/>
    <w:rsid w:val="50791E8A"/>
    <w:rsid w:val="51200A2D"/>
    <w:rsid w:val="51257DF2"/>
    <w:rsid w:val="519A0DF5"/>
    <w:rsid w:val="54D73556"/>
    <w:rsid w:val="55175CA3"/>
    <w:rsid w:val="55A25C04"/>
    <w:rsid w:val="57CA099D"/>
    <w:rsid w:val="581072B1"/>
    <w:rsid w:val="58E34124"/>
    <w:rsid w:val="598B16FF"/>
    <w:rsid w:val="59F803A7"/>
    <w:rsid w:val="5A780D6E"/>
    <w:rsid w:val="5B8A7AA0"/>
    <w:rsid w:val="5CB97A26"/>
    <w:rsid w:val="5D2C2A4A"/>
    <w:rsid w:val="5D7F0C2C"/>
    <w:rsid w:val="5DB378D1"/>
    <w:rsid w:val="5F6708A7"/>
    <w:rsid w:val="608F2ABA"/>
    <w:rsid w:val="609221AF"/>
    <w:rsid w:val="60C44EA2"/>
    <w:rsid w:val="60EB7F9D"/>
    <w:rsid w:val="61560181"/>
    <w:rsid w:val="620511FE"/>
    <w:rsid w:val="62326A29"/>
    <w:rsid w:val="62D44810"/>
    <w:rsid w:val="635A7DCF"/>
    <w:rsid w:val="636769D4"/>
    <w:rsid w:val="63690012"/>
    <w:rsid w:val="643248A8"/>
    <w:rsid w:val="6496441B"/>
    <w:rsid w:val="65501B81"/>
    <w:rsid w:val="66855163"/>
    <w:rsid w:val="66BF0F11"/>
    <w:rsid w:val="66C765D1"/>
    <w:rsid w:val="671B4595"/>
    <w:rsid w:val="67671600"/>
    <w:rsid w:val="6863673C"/>
    <w:rsid w:val="68762E99"/>
    <w:rsid w:val="697957B2"/>
    <w:rsid w:val="69AC6DCF"/>
    <w:rsid w:val="6ABE50E7"/>
    <w:rsid w:val="6AE61DAD"/>
    <w:rsid w:val="6BAC2BAE"/>
    <w:rsid w:val="6C330ED2"/>
    <w:rsid w:val="6F492CFC"/>
    <w:rsid w:val="6FAD71DC"/>
    <w:rsid w:val="70476740"/>
    <w:rsid w:val="7113156F"/>
    <w:rsid w:val="725956F5"/>
    <w:rsid w:val="7385227C"/>
    <w:rsid w:val="741E59D9"/>
    <w:rsid w:val="76AB6E17"/>
    <w:rsid w:val="782013CC"/>
    <w:rsid w:val="78AF606F"/>
    <w:rsid w:val="7A024D1C"/>
    <w:rsid w:val="7DA46C42"/>
    <w:rsid w:val="7DDE7C28"/>
    <w:rsid w:val="7EF92DB2"/>
    <w:rsid w:val="7F2C18D6"/>
    <w:rsid w:val="7F9E4EB1"/>
    <w:rsid w:val="7FAA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Body Text First Indent 2"/>
    <w:basedOn w:val="3"/>
    <w:qFormat/>
    <w:uiPriority w:val="99"/>
    <w:pPr>
      <w:spacing w:after="0"/>
      <w:ind w:left="0" w:leftChars="0" w:firstLine="420" w:firstLineChars="200"/>
    </w:pPr>
    <w:rPr>
      <w:sz w:val="32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FollowedHyperlink"/>
    <w:basedOn w:val="8"/>
    <w:qFormat/>
    <w:uiPriority w:val="0"/>
    <w:rPr>
      <w:color w:val="333333"/>
      <w:u w:val="none"/>
    </w:rPr>
  </w:style>
  <w:style w:type="character" w:styleId="11">
    <w:name w:val="Hyperlink"/>
    <w:basedOn w:val="8"/>
    <w:qFormat/>
    <w:uiPriority w:val="0"/>
    <w:rPr>
      <w:color w:val="333333"/>
      <w:u w:val="none"/>
    </w:rPr>
  </w:style>
  <w:style w:type="character" w:styleId="12">
    <w:name w:val="HTML Code"/>
    <w:basedOn w:val="8"/>
    <w:qFormat/>
    <w:uiPriority w:val="0"/>
    <w:rPr>
      <w:rFonts w:ascii="Courier New" w:hAnsi="Courier New"/>
      <w:vanish/>
      <w:sz w:val="20"/>
    </w:rPr>
  </w:style>
  <w:style w:type="character" w:customStyle="1" w:styleId="13">
    <w:name w:val="批注框文本 Char"/>
    <w:basedOn w:val="8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calendar-head__next-year-btn"/>
    <w:basedOn w:val="8"/>
    <w:qFormat/>
    <w:uiPriority w:val="0"/>
  </w:style>
  <w:style w:type="character" w:customStyle="1" w:styleId="15">
    <w:name w:val="hover"/>
    <w:basedOn w:val="8"/>
    <w:qFormat/>
    <w:uiPriority w:val="0"/>
    <w:rPr>
      <w:color w:val="2F6EA2"/>
    </w:rPr>
  </w:style>
  <w:style w:type="character" w:customStyle="1" w:styleId="16">
    <w:name w:val="active2"/>
    <w:basedOn w:val="8"/>
    <w:qFormat/>
    <w:uiPriority w:val="0"/>
    <w:rPr>
      <w:color w:val="333333"/>
    </w:rPr>
  </w:style>
  <w:style w:type="character" w:customStyle="1" w:styleId="17">
    <w:name w:val="calendar-head__year-range"/>
    <w:basedOn w:val="8"/>
    <w:qFormat/>
    <w:uiPriority w:val="0"/>
    <w:rPr>
      <w:vanish/>
    </w:rPr>
  </w:style>
  <w:style w:type="character" w:customStyle="1" w:styleId="18">
    <w:name w:val="calendar-head__prev-range-btn"/>
    <w:basedOn w:val="8"/>
    <w:qFormat/>
    <w:uiPriority w:val="0"/>
    <w:rPr>
      <w:vanish/>
    </w:rPr>
  </w:style>
  <w:style w:type="character" w:customStyle="1" w:styleId="19">
    <w:name w:val="calendar-head__next-range-btn"/>
    <w:basedOn w:val="8"/>
    <w:qFormat/>
    <w:uiPriority w:val="0"/>
    <w:rPr>
      <w:vanish/>
    </w:rPr>
  </w:style>
  <w:style w:type="character" w:customStyle="1" w:styleId="20">
    <w:name w:val="calendar-head__text-display"/>
    <w:basedOn w:val="8"/>
    <w:qFormat/>
    <w:uiPriority w:val="0"/>
    <w:rPr>
      <w:vanish/>
    </w:rPr>
  </w:style>
  <w:style w:type="character" w:customStyle="1" w:styleId="21">
    <w:name w:val="calendar-head__next-month-btn"/>
    <w:basedOn w:val="8"/>
    <w:qFormat/>
    <w:uiPriority w:val="0"/>
  </w:style>
  <w:style w:type="character" w:customStyle="1" w:styleId="22">
    <w:name w:val="active"/>
    <w:basedOn w:val="8"/>
    <w:qFormat/>
    <w:uiPriority w:val="0"/>
    <w:rPr>
      <w:color w:val="33333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1276</Words>
  <Characters>1308</Characters>
  <Lines>15</Lines>
  <Paragraphs>4</Paragraphs>
  <TotalTime>401</TotalTime>
  <ScaleCrop>false</ScaleCrop>
  <LinksUpToDate>false</LinksUpToDate>
  <CharactersWithSpaces>1337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2021-12-13T07:30:00Z</dcterms:created>
  <dc:creator>周璇</dc:creator>
  <cp:lastModifiedBy>岩</cp:lastModifiedBy>
  <cp:lastPrinted>2026-01-15T07:27:00Z</cp:lastPrinted>
  <dcterms:modified xsi:type="dcterms:W3CDTF">2026-01-29T09:04:48Z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4716412A60BD4503A89DFAAAB334BC99_13</vt:lpwstr>
  </property>
  <property fmtid="{D5CDD505-2E9C-101B-9397-08002B2CF9AE}" pid="4" name="KSOTemplateDocerSaveRecord">
    <vt:lpwstr>eyJoZGlkIjoiYTUxZGM0NDFkZTA2YmIzZDdkMjc4MDc3NjM3OGFhYzUiLCJ1c2VySWQiOiIxMTQxNzIxMDA1In0=</vt:lpwstr>
  </property>
</Properties>
</file>