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B6892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铜官区幸福社区2025年政府信息公开</w:t>
      </w:r>
    </w:p>
    <w:p w14:paraId="720DBE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ind w:left="0" w:right="0" w:firstLine="420"/>
        <w:jc w:val="center"/>
        <w:textAlignment w:val="auto"/>
        <w:rPr>
          <w:rFonts w:hint="eastAsia" w:ascii="方正小标宋简体" w:hAnsi="方正小标宋简体" w:eastAsia="方正小标宋简体" w:cs="方正小标宋简体"/>
          <w:i w:val="0"/>
          <w:iCs w:val="0"/>
          <w:caps w:val="0"/>
          <w:color w:val="333333"/>
          <w:spacing w:val="0"/>
          <w:sz w:val="36"/>
          <w:szCs w:val="36"/>
          <w:lang w:val="en-US" w:eastAsia="zh-CN"/>
        </w:rPr>
      </w:pPr>
      <w:r>
        <w:rPr>
          <w:rFonts w:hint="eastAsia" w:ascii="方正小标宋简体" w:hAnsi="方正小标宋简体" w:eastAsia="方正小标宋简体" w:cs="方正小标宋简体"/>
          <w:i w:val="0"/>
          <w:iCs w:val="0"/>
          <w:caps w:val="0"/>
          <w:color w:val="333333"/>
          <w:spacing w:val="0"/>
          <w:sz w:val="36"/>
          <w:szCs w:val="36"/>
          <w:lang w:val="en-US" w:eastAsia="zh-CN"/>
        </w:rPr>
        <w:t>工作年度报告</w:t>
      </w:r>
    </w:p>
    <w:p w14:paraId="1C83EE2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000000"/>
          <w:spacing w:val="0"/>
          <w:sz w:val="32"/>
          <w:szCs w:val="32"/>
          <w:shd w:val="clear" w:color="auto" w:fill="FFFFFF"/>
        </w:rPr>
      </w:pPr>
      <w:r>
        <w:rPr>
          <w:rFonts w:hint="eastAsia" w:ascii="仿宋_GB2312" w:hAnsi="仿宋_GB2312" w:eastAsia="仿宋_GB2312" w:cs="仿宋_GB2312"/>
          <w:i w:val="0"/>
          <w:iCs w:val="0"/>
          <w:caps w:val="0"/>
          <w:color w:val="000000"/>
          <w:spacing w:val="0"/>
          <w:sz w:val="32"/>
          <w:szCs w:val="32"/>
          <w:shd w:val="clear" w:color="auto" w:fill="FFFFFF"/>
        </w:rPr>
        <w:t>根据《中华人民共和国政府信息公开条例》（国务院令第711号）和《国务院办公厅政府信息与政务公开办公室关于印发〈中华人民共和国政府信息公开工作年度报告格式〉的通知》（国办公开办函〔2021〕30号）要求，编制本年度报告。</w:t>
      </w:r>
    </w:p>
    <w:p w14:paraId="7A9FF8A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本报告所列数据的统计期限自</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2025年</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1月1日至</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2025年</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12月31日。本报告由总体情况、主动公开政府信息情况、收到和处理政府信息公开申请情况、政府信息公开行政复议、行政诉讼情况、存在的主要问题及改进情况以及其他需要报告的事项等六个部分组成。</w:t>
      </w:r>
    </w:p>
    <w:p w14:paraId="151DC0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0"/>
        <w:jc w:val="both"/>
        <w:textAlignment w:val="auto"/>
        <w:rPr>
          <w:rFonts w:hint="eastAsia" w:ascii="仿宋_GB2312" w:hAnsi="微软雅黑" w:eastAsia="仿宋_GB2312" w:cs="仿宋_GB2312"/>
          <w:i w:val="0"/>
          <w:iCs w:val="0"/>
          <w:caps w:val="0"/>
          <w:color w:val="000000"/>
          <w:spacing w:val="0"/>
          <w:kern w:val="0"/>
          <w:sz w:val="32"/>
          <w:szCs w:val="32"/>
          <w:shd w:val="clear" w:fill="FFFFFF"/>
          <w:lang w:val="en-US" w:eastAsia="zh-CN" w:bidi="ar"/>
        </w:rPr>
      </w:pP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如对本年度报告有任何疑问，请与安徽省铜陵市铜官区幸福社区联系（地址：安徽省铜陵市铜官区幸福社区</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商北34栋二楼</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；邮编：244000；电话：</w:t>
      </w:r>
      <w:r>
        <w:rPr>
          <w:rFonts w:hint="eastAsia" w:ascii="仿宋_GB2312" w:hAnsi="仿宋_GB2312" w:eastAsia="仿宋_GB2312" w:cs="仿宋_GB2312"/>
          <w:color w:val="auto"/>
          <w:sz w:val="32"/>
          <w:szCs w:val="32"/>
        </w:rPr>
        <w:t>0562-</w:t>
      </w:r>
      <w:r>
        <w:rPr>
          <w:rFonts w:hint="eastAsia" w:ascii="仿宋_GB2312" w:hAnsi="仿宋_GB2312" w:eastAsia="仿宋_GB2312" w:cs="仿宋_GB2312"/>
          <w:color w:val="auto"/>
          <w:sz w:val="32"/>
          <w:szCs w:val="32"/>
          <w:lang w:val="en-US" w:eastAsia="zh-CN"/>
        </w:rPr>
        <w:t>2606610</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；邮箱：</w:t>
      </w:r>
      <w:r>
        <w:rPr>
          <w:rFonts w:hint="eastAsia" w:ascii="仿宋_GB2312" w:hAnsi="微软雅黑" w:eastAsia="仿宋_GB2312" w:cs="仿宋_GB2312"/>
          <w:i w:val="0"/>
          <w:iCs w:val="0"/>
          <w:caps w:val="0"/>
          <w:color w:val="000000"/>
          <w:spacing w:val="0"/>
          <w:kern w:val="0"/>
          <w:sz w:val="32"/>
          <w:szCs w:val="32"/>
          <w:shd w:val="clear" w:fill="FFFFFF"/>
          <w:lang w:val="en-US" w:eastAsia="zh-CN" w:bidi="ar"/>
        </w:rPr>
        <w:t>tgq</w:t>
      </w:r>
      <w:r>
        <w:rPr>
          <w:rFonts w:hint="default" w:ascii="仿宋_GB2312" w:hAnsi="微软雅黑" w:eastAsia="仿宋_GB2312" w:cs="仿宋_GB2312"/>
          <w:i w:val="0"/>
          <w:iCs w:val="0"/>
          <w:caps w:val="0"/>
          <w:color w:val="000000"/>
          <w:spacing w:val="0"/>
          <w:kern w:val="0"/>
          <w:sz w:val="32"/>
          <w:szCs w:val="32"/>
          <w:shd w:val="clear" w:fill="FFFFFF"/>
          <w:lang w:val="en-US" w:eastAsia="zh-CN" w:bidi="ar"/>
        </w:rPr>
        <w:t>xfsq@163.com）</w:t>
      </w:r>
    </w:p>
    <w:p w14:paraId="4BD7853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一、总体情况</w:t>
      </w:r>
    </w:p>
    <w:p w14:paraId="5B2FB9E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2025年</w:t>
      </w:r>
      <w:r>
        <w:rPr>
          <w:rFonts w:hint="default" w:ascii="仿宋_GB2312" w:hAnsi="微软雅黑" w:eastAsia="仿宋_GB2312" w:cs="仿宋_GB2312"/>
          <w:i w:val="0"/>
          <w:iCs w:val="0"/>
          <w:caps w:val="0"/>
          <w:color w:val="000000"/>
          <w:spacing w:val="0"/>
          <w:kern w:val="0"/>
          <w:sz w:val="32"/>
          <w:szCs w:val="32"/>
          <w:highlight w:val="none"/>
          <w:shd w:val="clear" w:fill="FFFFFF"/>
          <w:lang w:val="en-US" w:eastAsia="zh-CN" w:bidi="ar"/>
        </w:rPr>
        <w:t>，</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幸福社区根据</w:t>
      </w:r>
      <w:r>
        <w:rPr>
          <w:rFonts w:hint="eastAsia" w:ascii="仿宋_GB2312" w:hAnsi="仿宋_GB2312" w:eastAsia="仿宋_GB2312" w:cs="仿宋_GB2312"/>
          <w:i w:val="0"/>
          <w:iCs w:val="0"/>
          <w:caps w:val="0"/>
          <w:color w:val="000000"/>
          <w:spacing w:val="0"/>
          <w:sz w:val="32"/>
          <w:szCs w:val="32"/>
          <w:shd w:val="clear" w:color="auto" w:fill="FFFFFF"/>
        </w:rPr>
        <w:t>《中华人民共和国政府信息公开条例》（国务院令第711号）</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等文件要求，按照区政府的要求和统一部署，</w:t>
      </w:r>
      <w:r>
        <w:rPr>
          <w:rFonts w:hint="eastAsia" w:ascii="仿宋_GB2312" w:hAnsi="仿宋_GB2312" w:eastAsia="仿宋_GB2312" w:cs="仿宋_GB2312"/>
          <w:color w:val="auto"/>
          <w:sz w:val="32"/>
          <w:szCs w:val="32"/>
        </w:rPr>
        <w:t>加强领导，明确责任，进一步深化信息公开，围绕社区重点工作和人民群众关切的问题加大公开力度，</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积极落实政务公开工作，</w:t>
      </w:r>
      <w:r>
        <w:rPr>
          <w:rFonts w:hint="eastAsia" w:ascii="仿宋_GB2312" w:hAnsi="仿宋_GB2312" w:eastAsia="仿宋_GB2312" w:cs="仿宋_GB2312"/>
          <w:color w:val="auto"/>
          <w:sz w:val="32"/>
          <w:szCs w:val="32"/>
        </w:rPr>
        <w:t>使得群众能够更加方便、快捷地获取社区的最新动态和重要信息。</w:t>
      </w:r>
    </w:p>
    <w:p w14:paraId="62775C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atLeast"/>
        <w:ind w:left="0" w:right="0" w:firstLine="643"/>
        <w:jc w:val="both"/>
        <w:rPr>
          <w:rFonts w:hint="eastAsia" w:ascii="微软雅黑" w:hAnsi="微软雅黑" w:eastAsia="微软雅黑" w:cs="微软雅黑"/>
          <w:i w:val="0"/>
          <w:iCs w:val="0"/>
          <w:caps w:val="0"/>
          <w:color w:val="3D3D3D"/>
          <w:spacing w:val="0"/>
          <w:sz w:val="24"/>
          <w:szCs w:val="24"/>
          <w:highlight w:val="none"/>
        </w:rPr>
      </w:pPr>
      <w:r>
        <w:rPr>
          <w:rFonts w:ascii="仿宋" w:hAnsi="仿宋" w:eastAsia="仿宋" w:cs="仿宋"/>
          <w:b/>
          <w:bCs/>
          <w:i w:val="0"/>
          <w:iCs w:val="0"/>
          <w:caps w:val="0"/>
          <w:color w:val="333333"/>
          <w:spacing w:val="0"/>
          <w:kern w:val="0"/>
          <w:sz w:val="32"/>
          <w:szCs w:val="32"/>
          <w:highlight w:val="none"/>
          <w:shd w:val="clear" w:fill="FFFFFF"/>
          <w:lang w:val="en-US" w:eastAsia="zh-CN" w:bidi="ar"/>
        </w:rPr>
        <w:t>（一）</w:t>
      </w: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主动公开政府信息情况 </w:t>
      </w:r>
    </w:p>
    <w:p w14:paraId="5F33596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eastAsia" w:ascii="仿宋" w:hAnsi="仿宋" w:eastAsia="仿宋" w:cs="仿宋"/>
          <w:i w:val="0"/>
          <w:iCs w:val="0"/>
          <w:caps w:val="0"/>
          <w:color w:val="000000"/>
          <w:spacing w:val="0"/>
          <w:kern w:val="0"/>
          <w:sz w:val="32"/>
          <w:szCs w:val="32"/>
          <w:highlight w:val="none"/>
          <w:shd w:val="clear" w:fill="FFFFFF"/>
          <w:lang w:val="en-US" w:eastAsia="zh-CN" w:bidi="ar"/>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幸福社区</w:t>
      </w:r>
      <w:r>
        <w:rPr>
          <w:rFonts w:hint="default" w:ascii="仿宋" w:hAnsi="仿宋" w:eastAsia="仿宋" w:cs="仿宋"/>
          <w:i w:val="0"/>
          <w:iCs w:val="0"/>
          <w:caps w:val="0"/>
          <w:color w:val="000000"/>
          <w:spacing w:val="0"/>
          <w:kern w:val="0"/>
          <w:sz w:val="32"/>
          <w:szCs w:val="32"/>
          <w:highlight w:val="none"/>
          <w:shd w:val="clear" w:fill="FFFFFF"/>
          <w:lang w:val="en-US" w:eastAsia="zh-CN" w:bidi="ar"/>
        </w:rPr>
        <w:t>着力优化工作流程</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w:t>
      </w:r>
      <w:r>
        <w:rPr>
          <w:rFonts w:hint="default" w:ascii="仿宋" w:hAnsi="仿宋" w:eastAsia="仿宋" w:cs="仿宋"/>
          <w:i w:val="0"/>
          <w:iCs w:val="0"/>
          <w:caps w:val="0"/>
          <w:color w:val="000000"/>
          <w:spacing w:val="0"/>
          <w:kern w:val="0"/>
          <w:sz w:val="32"/>
          <w:szCs w:val="32"/>
          <w:highlight w:val="none"/>
          <w:shd w:val="clear" w:fill="FFFFFF"/>
          <w:lang w:val="en-US" w:eastAsia="zh-CN" w:bidi="ar"/>
        </w:rPr>
        <w:t>信息发布更加及时高效</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；公开内容紧扣民生关切，更加精准务实；同时在巩固宣传栏、电子大屏等传统阵地基础上，更积极拓展服务渠道，</w:t>
      </w:r>
      <w:r>
        <w:rPr>
          <w:rFonts w:hint="default" w:ascii="仿宋" w:hAnsi="仿宋" w:eastAsia="仿宋" w:cs="仿宋"/>
          <w:i w:val="0"/>
          <w:iCs w:val="0"/>
          <w:caps w:val="0"/>
          <w:color w:val="000000"/>
          <w:spacing w:val="0"/>
          <w:kern w:val="0"/>
          <w:sz w:val="32"/>
          <w:szCs w:val="32"/>
          <w:highlight w:val="none"/>
          <w:shd w:val="clear" w:fill="FFFFFF"/>
          <w:lang w:val="en-US" w:eastAsia="zh-CN" w:bidi="ar"/>
        </w:rPr>
        <w:t>特别是重点领域信息和面向特殊群体的服务得到强化，保障居民的知情权和监督权</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，政务公开工作在</w:t>
      </w:r>
      <w:r>
        <w:rPr>
          <w:rFonts w:hint="default" w:ascii="仿宋" w:hAnsi="仿宋" w:eastAsia="仿宋" w:cs="仿宋"/>
          <w:i w:val="0"/>
          <w:iCs w:val="0"/>
          <w:caps w:val="0"/>
          <w:color w:val="000000"/>
          <w:spacing w:val="0"/>
          <w:kern w:val="0"/>
          <w:sz w:val="32"/>
          <w:szCs w:val="32"/>
          <w:highlight w:val="none"/>
          <w:shd w:val="clear" w:fill="FFFFFF"/>
          <w:lang w:val="en-US" w:eastAsia="zh-CN" w:bidi="ar"/>
        </w:rPr>
        <w:t>时效性、规范性、针对性等方面</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有所提升</w:t>
      </w:r>
      <w:r>
        <w:rPr>
          <w:rFonts w:hint="default" w:ascii="仿宋" w:hAnsi="仿宋" w:eastAsia="仿宋" w:cs="仿宋"/>
          <w:i w:val="0"/>
          <w:iCs w:val="0"/>
          <w:caps w:val="0"/>
          <w:color w:val="000000"/>
          <w:spacing w:val="0"/>
          <w:kern w:val="0"/>
          <w:sz w:val="32"/>
          <w:szCs w:val="32"/>
          <w:highlight w:val="none"/>
          <w:shd w:val="clear" w:fill="FFFFFF"/>
          <w:lang w:val="en-US" w:eastAsia="zh-CN" w:bidi="ar"/>
        </w:rPr>
        <w:t>。</w:t>
      </w:r>
      <w:r>
        <w:rPr>
          <w:rFonts w:hint="eastAsia" w:ascii="仿宋" w:hAnsi="仿宋" w:eastAsia="仿宋" w:cs="仿宋"/>
          <w:i w:val="0"/>
          <w:iCs w:val="0"/>
          <w:caps w:val="0"/>
          <w:color w:val="000000"/>
          <w:spacing w:val="0"/>
          <w:kern w:val="0"/>
          <w:sz w:val="32"/>
          <w:szCs w:val="32"/>
          <w:highlight w:val="none"/>
          <w:shd w:val="clear" w:fill="FFFFFF"/>
          <w:lang w:val="en-US" w:eastAsia="zh-CN" w:bidi="ar"/>
        </w:rPr>
        <w:t>2025年，幸福社区在铜陵市铜官区政府信息公开平台主动公开政府信息合计318条。 可登录“铜官区幸福社区服务中心政府信息公开平台，（https://www.tltg.gov.cn/openness/OpennessContent/showList/1307/0/page_1.html）”查阅。</w:t>
      </w:r>
    </w:p>
    <w:p w14:paraId="21E13C34">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（二）</w:t>
      </w: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依申请公开</w:t>
      </w: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政府信息情况</w:t>
      </w:r>
    </w:p>
    <w:p w14:paraId="0EAB5BA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截止到2025年12月31日，幸福社区收到政府信息公开申请0件。</w:t>
      </w:r>
    </w:p>
    <w:p w14:paraId="13970E56">
      <w:pPr>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600" w:lineRule="atLeast"/>
        <w:ind w:left="0" w:right="0" w:firstLine="640"/>
        <w:jc w:val="left"/>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（三）</w:t>
      </w: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政府信息管理</w:t>
      </w:r>
    </w:p>
    <w:p w14:paraId="3F7E50E5">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640"/>
        <w:jc w:val="both"/>
        <w:textAlignment w:val="auto"/>
        <w:rPr>
          <w:rFonts w:hint="eastAsia" w:ascii="仿宋" w:hAnsi="仿宋" w:eastAsia="仿宋" w:cs="仿宋"/>
          <w:b/>
          <w:bCs/>
          <w:i w:val="0"/>
          <w:iCs w:val="0"/>
          <w:caps w:val="0"/>
          <w:color w:val="3D3D3D"/>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幸福社区建立健全信息管理制度和操作流程，确保信息的收集、存储、处理、发布等各环节有章可循。</w:t>
      </w:r>
      <w:r>
        <w:rPr>
          <w:rFonts w:hint="eastAsia" w:ascii="仿宋_GB2312" w:hAnsi="仿宋_GB2312" w:eastAsia="仿宋_GB2312" w:cs="仿宋_GB2312"/>
          <w:color w:val="auto"/>
          <w:sz w:val="32"/>
          <w:szCs w:val="32"/>
        </w:rPr>
        <w:t>加强经办人员的业务培训，</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做到专人负责、分工明确。严格执行政府信息公开制度，确保各类政府信息按时公开，及时回应群众关切。积极参加</w:t>
      </w:r>
      <w:r>
        <w:rPr>
          <w:rFonts w:hint="eastAsia" w:ascii="仿宋_GB2312" w:hAnsi="仿宋_GB2312" w:eastAsia="仿宋_GB2312" w:cs="仿宋_GB2312"/>
          <w:color w:val="auto"/>
          <w:sz w:val="32"/>
          <w:szCs w:val="32"/>
        </w:rPr>
        <w:t>上级组织的学习培训会</w:t>
      </w:r>
      <w:r>
        <w:rPr>
          <w:rFonts w:hint="eastAsia" w:ascii="仿宋_GB2312" w:hAnsi="仿宋_GB2312" w:eastAsia="仿宋_GB2312" w:cs="仿宋_GB2312"/>
          <w:color w:val="auto"/>
          <w:sz w:val="32"/>
          <w:szCs w:val="32"/>
          <w:lang w:eastAsia="zh-CN"/>
        </w:rPr>
        <w:t>，</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加强业务培训与案例指导，不断提升政务公开的规范化水平。</w:t>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br w:type="textWrapping"/>
      </w: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 xml:space="preserve">  </w:t>
      </w:r>
      <w:r>
        <w:rPr>
          <w:rFonts w:hint="eastAsia" w:ascii="仿宋" w:hAnsi="仿宋" w:eastAsia="仿宋" w:cs="仿宋"/>
          <w:b/>
          <w:bCs/>
          <w:i w:val="0"/>
          <w:iCs w:val="0"/>
          <w:caps w:val="0"/>
          <w:color w:val="3D3D3D"/>
          <w:spacing w:val="0"/>
          <w:kern w:val="0"/>
          <w:sz w:val="32"/>
          <w:szCs w:val="32"/>
          <w:highlight w:val="none"/>
          <w:shd w:val="clear" w:fill="FFFFFF"/>
          <w:lang w:val="en-US" w:eastAsia="zh-CN" w:bidi="ar"/>
        </w:rPr>
        <w:t>（四）政府信息公开平台建设</w:t>
      </w:r>
    </w:p>
    <w:p w14:paraId="65B4BB65">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 w:hAnsi="仿宋" w:eastAsia="仿宋" w:cs="仿宋"/>
          <w:i w:val="0"/>
          <w:iCs w:val="0"/>
          <w:caps w:val="0"/>
          <w:color w:val="000000"/>
          <w:spacing w:val="0"/>
          <w:kern w:val="0"/>
          <w:sz w:val="32"/>
          <w:szCs w:val="32"/>
          <w:highlight w:val="none"/>
          <w:shd w:val="clear" w:fill="FFFFFF"/>
          <w:lang w:val="en-US" w:eastAsia="zh-CN" w:bidi="ar"/>
        </w:rPr>
      </w:pPr>
      <w:r>
        <w:rPr>
          <w:rFonts w:hint="eastAsia" w:ascii="仿宋" w:hAnsi="仿宋" w:eastAsia="仿宋" w:cs="仿宋"/>
          <w:i w:val="0"/>
          <w:iCs w:val="0"/>
          <w:caps w:val="0"/>
          <w:color w:val="000000"/>
          <w:spacing w:val="0"/>
          <w:kern w:val="0"/>
          <w:sz w:val="32"/>
          <w:szCs w:val="32"/>
          <w:highlight w:val="none"/>
          <w:shd w:val="clear" w:fill="FFFFFF"/>
          <w:lang w:val="en-US" w:eastAsia="zh-CN" w:bidi="ar"/>
        </w:rPr>
        <w:t>2025年度</w:t>
      </w:r>
      <w:r>
        <w:rPr>
          <w:rFonts w:hint="eastAsia" w:ascii="仿宋_GB2312" w:hAnsi="仿宋_GB2312" w:eastAsia="仿宋_GB2312" w:cs="仿宋_GB2312"/>
          <w:color w:val="auto"/>
          <w:sz w:val="32"/>
          <w:szCs w:val="32"/>
          <w:lang w:eastAsia="zh-CN"/>
        </w:rPr>
        <w:t>幸福社区持续</w:t>
      </w:r>
      <w:r>
        <w:rPr>
          <w:rFonts w:hint="eastAsia" w:ascii="仿宋_GB2312" w:hAnsi="仿宋_GB2312" w:eastAsia="仿宋_GB2312" w:cs="仿宋_GB2312"/>
          <w:color w:val="auto"/>
          <w:sz w:val="32"/>
          <w:szCs w:val="32"/>
        </w:rPr>
        <w:t>加强信息安全保障</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确保平台上的敏感信息得到妥善保护，防止数据泄露、篡改或丢失。严格遵循相关法律法规，确保平台上的信息公开符合法律规定，尤其是在涉及个人隐私领域。</w:t>
      </w:r>
      <w:r>
        <w:rPr>
          <w:rFonts w:hint="eastAsia" w:ascii="仿宋_GB2312" w:hAnsi="仿宋_GB2312" w:eastAsia="仿宋_GB2312" w:cs="仿宋_GB2312"/>
          <w:color w:val="auto"/>
          <w:sz w:val="32"/>
          <w:szCs w:val="32"/>
          <w:lang w:val="en-US" w:eastAsia="zh-CN"/>
        </w:rPr>
        <w:t>同时加强与上级政府部门的联系，及时传达上级要求和指导意见，确保政务公开平台建设工作统一协调、高效实施。</w:t>
      </w:r>
    </w:p>
    <w:p w14:paraId="25B60B7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640"/>
        <w:jc w:val="left"/>
        <w:textAlignment w:val="auto"/>
        <w:rPr>
          <w:rFonts w:hint="eastAsia" w:ascii="微软雅黑" w:hAnsi="微软雅黑" w:eastAsia="微软雅黑" w:cs="微软雅黑"/>
          <w:i w:val="0"/>
          <w:iCs w:val="0"/>
          <w:caps w:val="0"/>
          <w:color w:val="3D3D3D"/>
          <w:spacing w:val="0"/>
          <w:sz w:val="24"/>
          <w:szCs w:val="24"/>
          <w:highlight w:val="none"/>
        </w:rPr>
      </w:pPr>
      <w:r>
        <w:rPr>
          <w:rFonts w:hint="eastAsia" w:ascii="仿宋" w:hAnsi="仿宋" w:eastAsia="仿宋" w:cs="仿宋"/>
          <w:b/>
          <w:bCs/>
          <w:i w:val="0"/>
          <w:iCs w:val="0"/>
          <w:caps w:val="0"/>
          <w:color w:val="333333"/>
          <w:spacing w:val="0"/>
          <w:kern w:val="0"/>
          <w:sz w:val="32"/>
          <w:szCs w:val="32"/>
          <w:highlight w:val="none"/>
          <w:shd w:val="clear" w:fill="FFFFFF"/>
          <w:lang w:val="en-US" w:eastAsia="zh-CN" w:bidi="ar"/>
        </w:rPr>
        <w:t>（五）</w:t>
      </w:r>
      <w:r>
        <w:rPr>
          <w:rFonts w:hint="default" w:ascii="仿宋_GB2312" w:hAnsi="微软雅黑" w:eastAsia="仿宋_GB2312" w:cs="仿宋_GB2312"/>
          <w:b/>
          <w:bCs/>
          <w:i w:val="0"/>
          <w:iCs w:val="0"/>
          <w:caps w:val="0"/>
          <w:color w:val="000000"/>
          <w:spacing w:val="0"/>
          <w:kern w:val="0"/>
          <w:sz w:val="32"/>
          <w:szCs w:val="32"/>
          <w:highlight w:val="none"/>
          <w:shd w:val="clear" w:fill="FFFFFF"/>
          <w:lang w:val="en-US" w:eastAsia="zh-CN" w:bidi="ar"/>
        </w:rPr>
        <w:t>监督保障</w:t>
      </w:r>
    </w:p>
    <w:p w14:paraId="22CCF7C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600" w:lineRule="exact"/>
        <w:ind w:left="0" w:right="0" w:firstLine="646"/>
        <w:jc w:val="both"/>
        <w:textAlignment w:val="auto"/>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2"/>
          <w:szCs w:val="32"/>
          <w:highlight w:val="none"/>
          <w:shd w:val="clear" w:fill="FFFFFF"/>
          <w:lang w:val="en-US" w:eastAsia="zh-CN" w:bidi="ar"/>
        </w:rPr>
        <w:t>幸福社区2025年度对信息公开的内容三审三校方面，严格按制度规定执行，确保信息公开内容都准确、合法、全覆盖，杜绝随意性和不规范操作。不断加强政务公开自查整改工作，针对自查中发现的问题，落实整改责任，及时整改。为进一步确保信息及时、准确公开，2025年幸福社区接受各单位和群众的社会监督、社会评议，未发生政务公开责任追究情况。</w:t>
      </w:r>
    </w:p>
    <w:p w14:paraId="36E6957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二、主动公开政府信息情况</w:t>
      </w:r>
    </w:p>
    <w:tbl>
      <w:tblPr>
        <w:tblStyle w:val="4"/>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2435"/>
        <w:gridCol w:w="2435"/>
        <w:gridCol w:w="2435"/>
        <w:gridCol w:w="2435"/>
      </w:tblGrid>
      <w:tr w14:paraId="078D5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C621F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第二十条第（一）项</w:t>
            </w:r>
          </w:p>
        </w:tc>
      </w:tr>
      <w:tr w14:paraId="27E8F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74412B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49BD37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w:t>
            </w:r>
            <w:r>
              <w:rPr>
                <w:rFonts w:hint="eastAsia" w:ascii="仿宋_GB2312" w:hAnsi="仿宋_GB2312" w:eastAsia="仿宋_GB2312" w:cs="仿宋_GB2312"/>
                <w:kern w:val="0"/>
                <w:sz w:val="28"/>
                <w:szCs w:val="28"/>
                <w:lang w:val="en-US" w:eastAsia="zh-CN" w:bidi="ar"/>
              </w:rPr>
              <w:t>制发件数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332F49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本年废止件数</w:t>
            </w:r>
          </w:p>
        </w:tc>
        <w:tc>
          <w:tcPr>
            <w:tcW w:w="2435" w:type="dxa"/>
            <w:tcBorders>
              <w:top w:val="single" w:color="auto" w:sz="8" w:space="0"/>
              <w:left w:val="nil"/>
              <w:bottom w:val="single" w:color="auto" w:sz="8" w:space="0"/>
              <w:right w:val="single" w:color="auto" w:sz="8" w:space="0"/>
            </w:tcBorders>
            <w:noWrap w:val="0"/>
            <w:tcMar>
              <w:left w:w="57" w:type="dxa"/>
              <w:right w:w="57" w:type="dxa"/>
            </w:tcMar>
            <w:vAlign w:val="center"/>
          </w:tcPr>
          <w:p w14:paraId="196FD4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现行有效件</w:t>
            </w:r>
            <w:r>
              <w:rPr>
                <w:rFonts w:hint="eastAsia" w:ascii="仿宋_GB2312" w:hAnsi="仿宋_GB2312" w:eastAsia="仿宋_GB2312" w:cs="仿宋_GB2312"/>
                <w:kern w:val="0"/>
                <w:sz w:val="28"/>
                <w:szCs w:val="28"/>
                <w:lang w:val="en-US" w:eastAsia="zh-CN" w:bidi="ar"/>
              </w:rPr>
              <w:t>数</w:t>
            </w:r>
          </w:p>
        </w:tc>
      </w:tr>
      <w:tr w14:paraId="1310A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2CAC6B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规章</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7E6763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6EF7AD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2661FEF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14:paraId="69C05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0AE646D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行政规范性文件</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6AD418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159B245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c>
          <w:tcPr>
            <w:tcW w:w="2435" w:type="dxa"/>
            <w:tcBorders>
              <w:top w:val="nil"/>
              <w:left w:val="nil"/>
              <w:bottom w:val="single" w:color="auto" w:sz="8" w:space="0"/>
              <w:right w:val="single" w:color="auto" w:sz="8" w:space="0"/>
            </w:tcBorders>
            <w:noWrap w:val="0"/>
            <w:tcMar>
              <w:left w:w="57" w:type="dxa"/>
              <w:right w:w="57" w:type="dxa"/>
            </w:tcMar>
            <w:vAlign w:val="center"/>
          </w:tcPr>
          <w:p w14:paraId="19F220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0</w:t>
            </w:r>
          </w:p>
        </w:tc>
      </w:tr>
      <w:tr w14:paraId="776A0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noWrap w:val="0"/>
            <w:tcMar>
              <w:left w:w="57" w:type="dxa"/>
              <w:right w:w="57" w:type="dxa"/>
            </w:tcMar>
            <w:vAlign w:val="center"/>
          </w:tcPr>
          <w:p w14:paraId="58C9C3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第二十条第（五）项</w:t>
            </w:r>
          </w:p>
        </w:tc>
      </w:tr>
      <w:tr w14:paraId="28747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FFBFC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828C7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14:paraId="1A7C9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7F8FEA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行政许可</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09B56D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r>
      <w:tr w14:paraId="6D4B2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4C711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第二十条第（六）项</w:t>
            </w:r>
          </w:p>
        </w:tc>
      </w:tr>
      <w:tr w14:paraId="67C33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5C47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B967C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本年处理决定数量</w:t>
            </w:r>
          </w:p>
        </w:tc>
      </w:tr>
      <w:tr w14:paraId="0C26A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7EA9E0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行政处罚</w:t>
            </w:r>
          </w:p>
        </w:tc>
        <w:tc>
          <w:tcPr>
            <w:tcW w:w="7305" w:type="dxa"/>
            <w:gridSpan w:val="3"/>
            <w:tcBorders>
              <w:top w:val="single" w:color="auto" w:sz="8" w:space="0"/>
              <w:left w:val="nil"/>
              <w:bottom w:val="single" w:color="auto" w:sz="8" w:space="0"/>
              <w:right w:val="single" w:color="auto" w:sz="8" w:space="0"/>
            </w:tcBorders>
            <w:noWrap w:val="0"/>
            <w:tcMar>
              <w:left w:w="57" w:type="dxa"/>
              <w:right w:w="57" w:type="dxa"/>
            </w:tcMar>
            <w:vAlign w:val="center"/>
          </w:tcPr>
          <w:p w14:paraId="088B86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5DA1E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noWrap w:val="0"/>
            <w:tcMar>
              <w:left w:w="57" w:type="dxa"/>
              <w:right w:w="57" w:type="dxa"/>
            </w:tcMar>
            <w:vAlign w:val="center"/>
          </w:tcPr>
          <w:p w14:paraId="222392B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行政强制</w:t>
            </w:r>
          </w:p>
        </w:tc>
        <w:tc>
          <w:tcPr>
            <w:tcW w:w="7305" w:type="dxa"/>
            <w:gridSpan w:val="3"/>
            <w:tcBorders>
              <w:top w:val="nil"/>
              <w:left w:val="nil"/>
              <w:bottom w:val="single" w:color="auto" w:sz="8" w:space="0"/>
              <w:right w:val="single" w:color="auto" w:sz="8" w:space="0"/>
            </w:tcBorders>
            <w:noWrap w:val="0"/>
            <w:tcMar>
              <w:left w:w="57" w:type="dxa"/>
              <w:right w:w="57" w:type="dxa"/>
            </w:tcMar>
            <w:vAlign w:val="center"/>
          </w:tcPr>
          <w:p w14:paraId="3E34AF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09F64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B49D1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第二十条第（八）项</w:t>
            </w:r>
          </w:p>
        </w:tc>
      </w:tr>
      <w:tr w14:paraId="625A6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08833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信息内容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73FFD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本年收费金额（单位：万元）</w:t>
            </w:r>
          </w:p>
        </w:tc>
      </w:tr>
      <w:tr w14:paraId="05008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40" w:hRule="atLeast"/>
          <w:jc w:val="center"/>
        </w:trPr>
        <w:tc>
          <w:tcPr>
            <w:tcW w:w="2435"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E0EBC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行政事业性收费</w:t>
            </w:r>
          </w:p>
        </w:tc>
        <w:tc>
          <w:tcPr>
            <w:tcW w:w="730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7BCFA77">
            <w:pPr>
              <w:keepNext w:val="0"/>
              <w:keepLines w:val="0"/>
              <w:pageBreakBefore w:val="0"/>
              <w:kinsoku/>
              <w:wordWrap/>
              <w:overflowPunct/>
              <w:topLinePunct w:val="0"/>
              <w:autoSpaceDE/>
              <w:autoSpaceDN/>
              <w:bidi w:val="0"/>
              <w:adjustRightInd/>
              <w:snapToGrid/>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14:paraId="3C28CAE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三、收到和处理政府信息公开申请情况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959"/>
        <w:gridCol w:w="3191"/>
        <w:gridCol w:w="689"/>
        <w:gridCol w:w="689"/>
        <w:gridCol w:w="689"/>
        <w:gridCol w:w="689"/>
        <w:gridCol w:w="689"/>
        <w:gridCol w:w="689"/>
        <w:gridCol w:w="689"/>
      </w:tblGrid>
      <w:tr w14:paraId="16170F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restart"/>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36E02A7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（本列数据的勾稽关系为：第一项加第二项之和，等于第三项加第四项之和）</w:t>
            </w:r>
          </w:p>
        </w:tc>
        <w:tc>
          <w:tcPr>
            <w:tcW w:w="4823" w:type="dxa"/>
            <w:gridSpan w:val="7"/>
            <w:tcBorders>
              <w:top w:val="single" w:color="auto" w:sz="8" w:space="0"/>
              <w:left w:val="nil"/>
              <w:bottom w:val="single" w:color="auto" w:sz="8" w:space="0"/>
              <w:right w:val="single" w:color="auto" w:sz="8" w:space="0"/>
            </w:tcBorders>
            <w:noWrap w:val="0"/>
            <w:tcMar>
              <w:left w:w="57" w:type="dxa"/>
              <w:right w:w="57" w:type="dxa"/>
            </w:tcMar>
            <w:vAlign w:val="center"/>
          </w:tcPr>
          <w:p w14:paraId="212C1FD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申请人情况</w:t>
            </w:r>
          </w:p>
        </w:tc>
      </w:tr>
      <w:tr w14:paraId="2E2104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723F609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restart"/>
            <w:tcBorders>
              <w:top w:val="nil"/>
              <w:left w:val="nil"/>
              <w:bottom w:val="single" w:color="auto" w:sz="8" w:space="0"/>
              <w:right w:val="single" w:color="auto" w:sz="8" w:space="0"/>
            </w:tcBorders>
            <w:noWrap w:val="0"/>
            <w:tcMar>
              <w:left w:w="57" w:type="dxa"/>
              <w:right w:w="57" w:type="dxa"/>
            </w:tcMar>
            <w:vAlign w:val="center"/>
          </w:tcPr>
          <w:p w14:paraId="018BE3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自然人</w:t>
            </w:r>
          </w:p>
        </w:tc>
        <w:tc>
          <w:tcPr>
            <w:tcW w:w="3445" w:type="dxa"/>
            <w:gridSpan w:val="5"/>
            <w:tcBorders>
              <w:top w:val="single" w:color="auto" w:sz="8" w:space="0"/>
              <w:left w:val="nil"/>
              <w:bottom w:val="single" w:color="auto" w:sz="8" w:space="0"/>
              <w:right w:val="single" w:color="auto" w:sz="8" w:space="0"/>
            </w:tcBorders>
            <w:noWrap w:val="0"/>
            <w:tcMar>
              <w:left w:w="57" w:type="dxa"/>
              <w:right w:w="57" w:type="dxa"/>
            </w:tcMar>
            <w:vAlign w:val="center"/>
          </w:tcPr>
          <w:p w14:paraId="646DA90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noWrap w:val="0"/>
            <w:tcMar>
              <w:left w:w="57" w:type="dxa"/>
              <w:right w:w="57" w:type="dxa"/>
            </w:tcMar>
            <w:vAlign w:val="center"/>
          </w:tcPr>
          <w:p w14:paraId="61E490B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r>
      <w:tr w14:paraId="4B24E0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vMerge w:val="continue"/>
            <w:tcBorders>
              <w:top w:val="single" w:color="auto" w:sz="8" w:space="0"/>
              <w:left w:val="single" w:color="auto" w:sz="8" w:space="0"/>
              <w:bottom w:val="outset" w:color="auto" w:sz="8" w:space="0"/>
              <w:right w:val="single" w:color="auto" w:sz="8" w:space="0"/>
            </w:tcBorders>
            <w:noWrap w:val="0"/>
            <w:tcMar>
              <w:left w:w="108" w:type="dxa"/>
              <w:right w:w="108" w:type="dxa"/>
            </w:tcMar>
            <w:vAlign w:val="center"/>
          </w:tcPr>
          <w:p w14:paraId="024962A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vMerge w:val="continue"/>
            <w:tcBorders>
              <w:top w:val="nil"/>
              <w:left w:val="nil"/>
              <w:bottom w:val="single" w:color="auto" w:sz="8" w:space="0"/>
              <w:right w:val="single" w:color="auto" w:sz="8" w:space="0"/>
            </w:tcBorders>
            <w:noWrap w:val="0"/>
            <w:tcMar>
              <w:left w:w="57" w:type="dxa"/>
              <w:right w:w="57" w:type="dxa"/>
            </w:tcMar>
            <w:vAlign w:val="center"/>
          </w:tcPr>
          <w:p w14:paraId="608B165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689" w:type="dxa"/>
            <w:tcBorders>
              <w:top w:val="nil"/>
              <w:left w:val="nil"/>
              <w:bottom w:val="single" w:color="auto" w:sz="8" w:space="0"/>
              <w:right w:val="single" w:color="auto" w:sz="8" w:space="0"/>
            </w:tcBorders>
            <w:noWrap w:val="0"/>
            <w:tcMar>
              <w:left w:w="57" w:type="dxa"/>
              <w:right w:w="57" w:type="dxa"/>
            </w:tcMar>
            <w:vAlign w:val="center"/>
          </w:tcPr>
          <w:p w14:paraId="2CC4BE6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商业</w:t>
            </w:r>
          </w:p>
          <w:p w14:paraId="7EBD4A5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企业</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3F8A1E7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科研</w:t>
            </w:r>
          </w:p>
          <w:p w14:paraId="3E9F738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72B45C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社会公益组织</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58EA716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法律服务机构</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3413A5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p>
        </w:tc>
        <w:tc>
          <w:tcPr>
            <w:tcW w:w="689" w:type="dxa"/>
            <w:vMerge w:val="continue"/>
            <w:tcBorders>
              <w:top w:val="single" w:color="auto" w:sz="8" w:space="0"/>
              <w:left w:val="nil"/>
              <w:bottom w:val="outset" w:color="auto" w:sz="8" w:space="0"/>
              <w:right w:val="single" w:color="auto" w:sz="8" w:space="0"/>
            </w:tcBorders>
            <w:noWrap w:val="0"/>
            <w:tcMar>
              <w:left w:w="57" w:type="dxa"/>
              <w:right w:w="57" w:type="dxa"/>
            </w:tcMar>
            <w:vAlign w:val="center"/>
          </w:tcPr>
          <w:p w14:paraId="0673CFD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r>
      <w:tr w14:paraId="4ECC45E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3" w:hRule="atLeast"/>
          <w:jc w:val="center"/>
        </w:trPr>
        <w:tc>
          <w:tcPr>
            <w:tcW w:w="4925" w:type="dxa"/>
            <w:gridSpan w:val="3"/>
            <w:tcBorders>
              <w:top w:val="nil"/>
              <w:left w:val="single" w:color="auto" w:sz="8" w:space="0"/>
              <w:bottom w:val="single" w:color="auto" w:sz="8" w:space="0"/>
              <w:right w:val="single" w:color="auto" w:sz="8" w:space="0"/>
            </w:tcBorders>
            <w:noWrap w:val="0"/>
            <w:tcMar>
              <w:left w:w="57" w:type="dxa"/>
              <w:right w:w="57" w:type="dxa"/>
            </w:tcMar>
            <w:vAlign w:val="center"/>
          </w:tcPr>
          <w:p w14:paraId="2B1A65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一、本年新收政府信息公开申请数量</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735623E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27B5BA3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1F2D4B7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075FDD3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5A40A88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center"/>
          </w:tcPr>
          <w:p w14:paraId="2CA7D75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14:paraId="1E0811A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5433D48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545" w:hRule="atLeast"/>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8B1307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二、上年结转政府信息公开申请数量</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D84A91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BCAAF0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0157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96C44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FC7F5E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6FE6D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nil"/>
              <w:left w:val="nil"/>
              <w:bottom w:val="single" w:color="auto" w:sz="8" w:space="0"/>
              <w:right w:val="single" w:color="auto" w:sz="8" w:space="0"/>
            </w:tcBorders>
            <w:noWrap w:val="0"/>
            <w:tcMar>
              <w:left w:w="57" w:type="dxa"/>
              <w:right w:w="57" w:type="dxa"/>
            </w:tcMar>
            <w:vAlign w:val="top"/>
          </w:tcPr>
          <w:p w14:paraId="66F95A1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1D75ED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44675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三、本年度办理结果</w:t>
            </w: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57784C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（一）予以公开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DABD7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89ED4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1BE01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9DDFA9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9317C4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4C690B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CBC0DD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0FD425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E51A3A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BEB98C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（二）部分公开（区分处理的，只计这一情形，不计其他情形）</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D86C4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4F26A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C5825C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F005A3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6B54E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00FEE4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69DB02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5FBF91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C3BE78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79F8A1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（三）不予公开</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AC24C1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1.属于国家秘密</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B2CF5A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1F9E36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8A0D8B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AB682A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F286C7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BA654D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1B30BD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730614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7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5817D6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DE5EFB9">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76CED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2.其他法律行政法规禁止公开</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01D132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677517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A6F4F5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747084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1D935E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D70239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EC0C43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6FB83E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5199BF0">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A58954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A0BDCF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3.危及“三安全一稳定”</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9D1FC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1C1BB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ED05E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C942F9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3791F0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B2ADC3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C73530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48B1452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A2CB446">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753AC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F9E841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4.保护第三方合法权益</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4A1D88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9A7FEC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4ABE8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C7AF96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ED9F3B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FE471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52877E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1DCFFD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994"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712D12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8FCD00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426FCE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5.属于三类内部事务信息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ED56A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C6D620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01C1EA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E19C71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6EC4D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597F32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E0EE84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6634C9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92A1B6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109E79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0ECC2E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6.属于四类过程性信息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72BA45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0459A5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64891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488F27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A286C2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A9DF79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0E3C6E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r w14:paraId="47DABF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58E11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EE9613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47C3B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7.属于行政执法案卷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CEC35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7AF675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CE6038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07754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DA56EE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C9BFB8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CBCB62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12BBDD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60A402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55829A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ADF013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8.属于行政查询事项</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566C9D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D5BE90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509951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B9219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A23438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805E8D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3428D0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139B77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4D9870E">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70F76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（四）无法提供</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3CA8AB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1.本机关不掌握相关政府信息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27E110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ECD5D1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7ADB0C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23D155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745F84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6D6EC5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6783D7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708209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60AC6A2">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9CB61C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ABAC1B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2.没有现成信息需要另行制作</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6082D3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ACC445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C1C129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BB8653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340B4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E9169E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947CF8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019FF2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4A2949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1D251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83C5A0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3.补正后申请内容仍不明确</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7E0CB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A1A82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054B6F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2D2188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52A920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BE214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8E4D6C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65B0AEC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AE47765">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C871B5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（五）不予处理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DE3A81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1.信访举报投诉类申请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7CF4B0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9DF2DF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BF742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F65B2D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014FDF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33435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9129F8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1DA102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5E4E32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91D169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AFF6A6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B0DF21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F16F4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3A4401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8DA2B9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0E7E37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8BD700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2AEE59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1427A2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6C16718">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41A3D16">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9282B5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3.要求提供公开出版物</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7D2509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0110DB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2879B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56056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E32982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46EEF1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513CDE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5F0D67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22879BB">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56602AC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8087FA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4.无正当理由大量反复申请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78474D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27D463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45BE8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EF8249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3B5A45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0FAAAE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F8F9B5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3696D0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79" w:hRule="atLeast"/>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9E7A747">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8008FC1">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DEF41A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5.要求行政机关确认或重新出具已获取信息</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7C2D7B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3F900E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D90FD6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742A32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5FCCCA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AE1A67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377352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18656BA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A407533">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restart"/>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B2D613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（六）其他处理</w:t>
            </w: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410B0E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1.申请人无正当理由逾期不补正、行政机关不再处理其政府信息公开申请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688ADDE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28914F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2AD9CC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B19DEC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57CE7A3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E52344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D73E38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22169F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ED5699F">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1B7A44D">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357A84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2.申请人逾期未按收费通知要求缴纳费用、行政机关不再处理其政府信息公开申请</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49231FE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67A9C8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224D93A">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00C8184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D09272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35D9DEC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78F64C90">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sz w:val="28"/>
                <w:szCs w:val="28"/>
                <w:lang w:val="en-US" w:eastAsia="zh-CN"/>
              </w:rPr>
              <w:t>0</w:t>
            </w:r>
          </w:p>
        </w:tc>
      </w:tr>
      <w:tr w14:paraId="0A24C5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041AF5C">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959"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D3AC7D4">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3191"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7EC86CD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3.其他</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04BF16B">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174CB0D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CB0EE2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AE52FA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3F035EF2">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79F45A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1215956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14:paraId="0ED9966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775" w:type="dxa"/>
            <w:vMerge w:val="continue"/>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0598FAC6">
            <w:pPr>
              <w:keepNext w:val="0"/>
              <w:keepLines w:val="0"/>
              <w:pageBreakBefore w:val="0"/>
              <w:widowControl w:val="0"/>
              <w:kinsoku/>
              <w:wordWrap/>
              <w:overflowPunct/>
              <w:topLinePunct w:val="0"/>
              <w:autoSpaceDE/>
              <w:autoSpaceDN/>
              <w:bidi w:val="0"/>
              <w:adjustRightInd/>
              <w:snapToGrid/>
              <w:spacing w:line="410" w:lineRule="exact"/>
              <w:textAlignment w:val="auto"/>
              <w:rPr>
                <w:rFonts w:hint="eastAsia" w:ascii="仿宋_GB2312" w:hAnsi="仿宋_GB2312" w:eastAsia="仿宋_GB2312" w:cs="仿宋_GB2312"/>
                <w:sz w:val="28"/>
                <w:szCs w:val="28"/>
              </w:rPr>
            </w:pPr>
          </w:p>
        </w:tc>
        <w:tc>
          <w:tcPr>
            <w:tcW w:w="4150" w:type="dxa"/>
            <w:gridSpan w:val="2"/>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B8E6D7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（七）总计</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5EC100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637B4CE">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3E97CF3">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6FBA6DD9">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7BA9DBC">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4D887E67">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single" w:color="auto" w:sz="8" w:space="0"/>
              <w:bottom w:val="single" w:color="auto" w:sz="8" w:space="0"/>
              <w:right w:val="single" w:color="auto" w:sz="8" w:space="0"/>
            </w:tcBorders>
            <w:noWrap w:val="0"/>
            <w:tcMar>
              <w:left w:w="57" w:type="dxa"/>
              <w:right w:w="57" w:type="dxa"/>
            </w:tcMar>
            <w:vAlign w:val="top"/>
          </w:tcPr>
          <w:p w14:paraId="21378DE8">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r>
      <w:tr w14:paraId="714636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4925" w:type="dxa"/>
            <w:gridSpan w:val="3"/>
            <w:tcBorders>
              <w:top w:val="single" w:color="auto" w:sz="8" w:space="0"/>
              <w:left w:val="single" w:color="auto" w:sz="8" w:space="0"/>
              <w:bottom w:val="single" w:color="auto" w:sz="8" w:space="0"/>
              <w:right w:val="single" w:color="auto" w:sz="8" w:space="0"/>
            </w:tcBorders>
            <w:noWrap w:val="0"/>
            <w:tcMar>
              <w:left w:w="57" w:type="dxa"/>
              <w:right w:w="57" w:type="dxa"/>
            </w:tcMar>
            <w:vAlign w:val="center"/>
          </w:tcPr>
          <w:p w14:paraId="2430A826">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left"/>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四、结转下年度继续办理</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3085BF2D">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25D19644">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right="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2E3501B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16DE62CF">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1CA515B1">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center"/>
          </w:tcPr>
          <w:p w14:paraId="0FD02B45">
            <w:pPr>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10" w:lineRule="exact"/>
              <w:ind w:left="0" w:leftChars="0" w:right="0" w:rightChars="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w:t>
            </w:r>
          </w:p>
        </w:tc>
        <w:tc>
          <w:tcPr>
            <w:tcW w:w="689" w:type="dxa"/>
            <w:tcBorders>
              <w:top w:val="single" w:color="auto" w:sz="8" w:space="0"/>
              <w:left w:val="nil"/>
              <w:bottom w:val="single" w:color="auto" w:sz="8" w:space="0"/>
              <w:right w:val="single" w:color="auto" w:sz="8" w:space="0"/>
            </w:tcBorders>
            <w:noWrap w:val="0"/>
            <w:tcMar>
              <w:left w:w="57" w:type="dxa"/>
              <w:right w:w="57" w:type="dxa"/>
            </w:tcMar>
            <w:vAlign w:val="top"/>
          </w:tcPr>
          <w:p w14:paraId="5537D4E1">
            <w:pPr>
              <w:keepNext w:val="0"/>
              <w:keepLines w:val="0"/>
              <w:pageBreakBefore w:val="0"/>
              <w:widowControl w:val="0"/>
              <w:kinsoku/>
              <w:wordWrap/>
              <w:overflowPunct/>
              <w:topLinePunct w:val="0"/>
              <w:autoSpaceDE/>
              <w:autoSpaceDN/>
              <w:bidi w:val="0"/>
              <w:adjustRightInd/>
              <w:snapToGrid/>
              <w:spacing w:line="41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14:paraId="21C90F0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仿宋_GB2312" w:hAnsi="仿宋_GB2312" w:eastAsia="仿宋_GB2312" w:cs="仿宋_GB2312"/>
          <w:i w:val="0"/>
          <w:iCs w:val="0"/>
          <w:caps w:val="0"/>
          <w:color w:val="333333"/>
          <w:spacing w:val="0"/>
          <w:sz w:val="32"/>
          <w:szCs w:val="32"/>
        </w:rPr>
      </w:pPr>
      <w:r>
        <w:rPr>
          <w:rFonts w:hint="eastAsia" w:ascii="黑体" w:hAnsi="黑体" w:eastAsia="黑体" w:cs="黑体"/>
          <w:b w:val="0"/>
          <w:bCs w:val="0"/>
          <w:i w:val="0"/>
          <w:iCs w:val="0"/>
          <w:caps w:val="0"/>
          <w:color w:val="333333"/>
          <w:spacing w:val="0"/>
          <w:sz w:val="32"/>
          <w:szCs w:val="32"/>
          <w:shd w:val="clear" w:color="auto" w:fill="FFFFFF"/>
        </w:rPr>
        <w:t>四、政府信息公开行政复议、行政诉讼情况</w:t>
      </w:r>
    </w:p>
    <w:tbl>
      <w:tblPr>
        <w:tblStyle w:val="4"/>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8D579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CE9CD5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5EF1596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行政诉讼</w:t>
            </w:r>
          </w:p>
        </w:tc>
      </w:tr>
      <w:tr w14:paraId="6DDAD2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CCE02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结果维持</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3C2A30F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5AA0D2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4EC31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2" w:type="dxa"/>
            <w:vMerge w:val="restart"/>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01910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总计</w:t>
            </w:r>
          </w:p>
        </w:tc>
        <w:tc>
          <w:tcPr>
            <w:tcW w:w="3213" w:type="dxa"/>
            <w:gridSpan w:val="5"/>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69058EA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未经复议直接起诉</w:t>
            </w:r>
          </w:p>
        </w:tc>
        <w:tc>
          <w:tcPr>
            <w:tcW w:w="3215" w:type="dxa"/>
            <w:gridSpan w:val="5"/>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049F25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复议后起诉</w:t>
            </w:r>
          </w:p>
        </w:tc>
      </w:tr>
      <w:tr w14:paraId="2B76F6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8755D5E">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0897B516">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95808E7">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2CE4796C">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vMerge w:val="continue"/>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2DBA019">
            <w:pPr>
              <w:keepNext w:val="0"/>
              <w:keepLines w:val="0"/>
              <w:pageBreakBefore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28"/>
                <w:szCs w:val="28"/>
              </w:rPr>
            </w:pP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4364B60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2"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60AE681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19F241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其他</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结果</w:t>
            </w:r>
          </w:p>
        </w:tc>
        <w:tc>
          <w:tcPr>
            <w:tcW w:w="643"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14:paraId="731ABE3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4" w:space="0"/>
              <w:bottom w:val="single" w:color="auto" w:sz="8" w:space="0"/>
              <w:right w:val="single" w:color="auto" w:sz="8" w:space="0"/>
            </w:tcBorders>
            <w:noWrap w:val="0"/>
            <w:tcMar>
              <w:left w:w="108" w:type="dxa"/>
              <w:right w:w="108" w:type="dxa"/>
            </w:tcMar>
            <w:vAlign w:val="center"/>
          </w:tcPr>
          <w:p w14:paraId="21E7EA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12D445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36C93F8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结果</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B1672A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其他</w:t>
            </w:r>
            <w:r>
              <w:rPr>
                <w:rFonts w:hint="eastAsia" w:ascii="仿宋_GB2312" w:hAnsi="仿宋_GB2312" w:eastAsia="仿宋_GB2312" w:cs="仿宋_GB2312"/>
                <w:color w:val="000000"/>
                <w:kern w:val="0"/>
                <w:sz w:val="28"/>
                <w:szCs w:val="28"/>
                <w:lang w:val="en-US" w:eastAsia="zh-CN" w:bidi="ar"/>
              </w:rPr>
              <w:br w:type="textWrapping"/>
            </w:r>
            <w:r>
              <w:rPr>
                <w:rFonts w:hint="eastAsia" w:ascii="仿宋_GB2312" w:hAnsi="仿宋_GB2312" w:eastAsia="仿宋_GB2312" w:cs="仿宋_GB2312"/>
                <w:color w:val="000000"/>
                <w:kern w:val="0"/>
                <w:sz w:val="28"/>
                <w:szCs w:val="28"/>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6FBDA8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尚未</w:t>
            </w:r>
            <w:r>
              <w:rPr>
                <w:rFonts w:hint="eastAsia" w:ascii="仿宋_GB2312" w:hAnsi="仿宋_GB2312" w:eastAsia="仿宋_GB2312" w:cs="仿宋_GB2312"/>
                <w:kern w:val="0"/>
                <w:sz w:val="28"/>
                <w:szCs w:val="28"/>
                <w:lang w:val="en-US" w:eastAsia="zh-CN" w:bidi="ar"/>
              </w:rPr>
              <w:br w:type="textWrapping"/>
            </w:r>
            <w:r>
              <w:rPr>
                <w:rFonts w:hint="eastAsia" w:ascii="仿宋_GB2312" w:hAnsi="仿宋_GB2312" w:eastAsia="仿宋_GB2312" w:cs="仿宋_GB2312"/>
                <w:kern w:val="0"/>
                <w:sz w:val="28"/>
                <w:szCs w:val="28"/>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noWrap w:val="0"/>
            <w:tcMar>
              <w:left w:w="108" w:type="dxa"/>
              <w:right w:w="108" w:type="dxa"/>
            </w:tcMar>
            <w:vAlign w:val="center"/>
          </w:tcPr>
          <w:p w14:paraId="444F09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kern w:val="0"/>
                <w:sz w:val="28"/>
                <w:szCs w:val="28"/>
                <w:lang w:val="en-US" w:eastAsia="zh-CN" w:bidi="ar"/>
              </w:rPr>
              <w:t>总计</w:t>
            </w:r>
          </w:p>
        </w:tc>
      </w:tr>
      <w:tr w14:paraId="7E67463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72" w:hRule="atLeast"/>
          <w:jc w:val="center"/>
        </w:trPr>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540B53E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3AC413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2210E0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66A021D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54F3B99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3BC59F1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2"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769F19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75111B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single" w:color="auto" w:sz="4" w:space="0"/>
              <w:left w:val="single" w:color="auto" w:sz="8" w:space="0"/>
              <w:bottom w:val="single" w:color="auto" w:sz="8" w:space="0"/>
              <w:right w:val="single" w:color="auto" w:sz="8" w:space="0"/>
            </w:tcBorders>
            <w:noWrap w:val="0"/>
            <w:tcMar>
              <w:left w:w="108" w:type="dxa"/>
              <w:right w:w="108" w:type="dxa"/>
            </w:tcMar>
            <w:vAlign w:val="center"/>
          </w:tcPr>
          <w:p w14:paraId="0AC3903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46F8AA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87B5C7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D2EF6D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lang w:val="en-US" w:eastAsia="zh-CN" w:bidi="ar"/>
              </w:rPr>
              <w:t>0 </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3514E0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5C0407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Fonts w:hint="default" w:ascii="仿宋_GB2312" w:hAnsi="仿宋_GB2312" w:eastAsia="仿宋_GB2312" w:cs="仿宋_GB2312"/>
                <w:sz w:val="28"/>
                <w:szCs w:val="28"/>
                <w:lang w:val="en-US"/>
              </w:rPr>
            </w:pPr>
            <w:r>
              <w:rPr>
                <w:rFonts w:hint="eastAsia" w:ascii="仿宋_GB2312" w:hAnsi="仿宋_GB2312" w:eastAsia="仿宋_GB2312" w:cs="仿宋_GB2312"/>
                <w:kern w:val="0"/>
                <w:sz w:val="28"/>
                <w:szCs w:val="28"/>
                <w:lang w:val="en-US" w:eastAsia="zh-CN" w:bidi="ar"/>
              </w:rPr>
              <w:t> 0</w:t>
            </w:r>
          </w:p>
        </w:tc>
        <w:tc>
          <w:tcPr>
            <w:tcW w:w="643" w:type="dxa"/>
            <w:tcBorders>
              <w:top w:val="nil"/>
              <w:left w:val="single" w:color="auto" w:sz="8" w:space="0"/>
              <w:bottom w:val="single" w:color="auto" w:sz="8" w:space="0"/>
              <w:right w:val="single" w:color="auto" w:sz="8" w:space="0"/>
            </w:tcBorders>
            <w:noWrap w:val="0"/>
            <w:tcMar>
              <w:left w:w="108" w:type="dxa"/>
              <w:right w:w="108" w:type="dxa"/>
            </w:tcMar>
            <w:vAlign w:val="center"/>
          </w:tcPr>
          <w:p w14:paraId="675F46A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0</w:t>
            </w:r>
          </w:p>
        </w:tc>
      </w:tr>
    </w:tbl>
    <w:p w14:paraId="7DA32C2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五、存在的主要问题及改进情况</w:t>
      </w:r>
    </w:p>
    <w:p w14:paraId="44A0CDC9">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2025年社区政务公开工作仍存在一些问题，</w:t>
      </w:r>
      <w:r>
        <w:rPr>
          <w:rFonts w:hint="default" w:ascii="仿宋_GB2312" w:hAnsi="仿宋_GB2312" w:eastAsia="仿宋_GB2312" w:cs="仿宋_GB2312"/>
          <w:color w:val="auto"/>
          <w:sz w:val="32"/>
          <w:szCs w:val="32"/>
          <w:lang w:val="en-US" w:eastAsia="zh-CN"/>
        </w:rPr>
        <w:t>主要表现在：</w:t>
      </w:r>
      <w:r>
        <w:rPr>
          <w:rFonts w:hint="eastAsia" w:ascii="仿宋_GB2312" w:hAnsi="仿宋_GB2312" w:eastAsia="仿宋_GB2312" w:cs="仿宋_GB2312"/>
          <w:color w:val="auto"/>
          <w:sz w:val="32"/>
          <w:szCs w:val="32"/>
          <w:lang w:val="en-US" w:eastAsia="zh-CN"/>
        </w:rPr>
        <w:t>一是信息公开内容，数据格式不够统一，缺乏标准化；二是政务公开中关于政策解读形式亟需加强多元化。</w:t>
      </w:r>
    </w:p>
    <w:p w14:paraId="2F96917D">
      <w:pPr>
        <w:keepNext w:val="0"/>
        <w:keepLines w:val="0"/>
        <w:pageBreakBefore w:val="0"/>
        <w:widowControl w:val="0"/>
        <w:kinsoku/>
        <w:wordWrap/>
        <w:overflowPunct/>
        <w:topLinePunct w:val="0"/>
        <w:autoSpaceDE/>
        <w:autoSpaceDN/>
        <w:bidi w:val="0"/>
        <w:adjustRightInd/>
        <w:snapToGrid/>
        <w:ind w:firstLine="640" w:firstLineChars="200"/>
        <w:jc w:val="both"/>
        <w:textAlignment w:val="auto"/>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在今后的政务公开工作中，针对信息公开格式不统一问题，幸福社区将逐步统一公开内容格式规范，确保公开信息在字体、结构、排版上保持一致，方便公众查阅。针对政策解读文件形式单一问题，幸福社区将不断丰富解读形式，除传统的文字解读外，通过视频、图表、互动问答等多种形式，帮助公众更好地阅读，使政策解读更易于理解和传播。</w:t>
      </w:r>
    </w:p>
    <w:p w14:paraId="07AF488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420"/>
        <w:jc w:val="both"/>
        <w:textAlignment w:val="auto"/>
        <w:rPr>
          <w:rFonts w:hint="eastAsia" w:ascii="黑体" w:hAnsi="黑体" w:eastAsia="黑体" w:cs="黑体"/>
          <w:b w:val="0"/>
          <w:bCs w:val="0"/>
          <w:i w:val="0"/>
          <w:iCs w:val="0"/>
          <w:caps w:val="0"/>
          <w:color w:val="333333"/>
          <w:spacing w:val="0"/>
          <w:sz w:val="32"/>
          <w:szCs w:val="32"/>
          <w:shd w:val="clear" w:color="auto" w:fill="FFFFFF"/>
        </w:rPr>
      </w:pPr>
      <w:r>
        <w:rPr>
          <w:rFonts w:hint="eastAsia" w:ascii="黑体" w:hAnsi="黑体" w:eastAsia="黑体" w:cs="黑体"/>
          <w:b w:val="0"/>
          <w:bCs w:val="0"/>
          <w:i w:val="0"/>
          <w:iCs w:val="0"/>
          <w:caps w:val="0"/>
          <w:color w:val="333333"/>
          <w:spacing w:val="0"/>
          <w:sz w:val="32"/>
          <w:szCs w:val="32"/>
          <w:shd w:val="clear" w:color="auto" w:fill="FFFFFF"/>
        </w:rPr>
        <w:t>六、其他需要报告的事项</w:t>
      </w:r>
    </w:p>
    <w:p w14:paraId="6F55393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（一）依申请公开收费情况</w:t>
      </w:r>
    </w:p>
    <w:p w14:paraId="32C31B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按照《国务院办公厅关于印发〈政府信息公开信息处理费管理办法〉的通知》（国办函〔2020〕109号）规定的按件、按量收费标准，本年度没有产生信息公开处理费</w:t>
      </w:r>
      <w:r>
        <w:rPr>
          <w:rFonts w:hint="default" w:ascii="仿宋_GB2312" w:hAnsi="微软雅黑" w:eastAsia="仿宋_GB2312" w:cs="仿宋_GB2312"/>
          <w:i w:val="0"/>
          <w:iCs w:val="0"/>
          <w:caps w:val="0"/>
          <w:color w:val="000000"/>
          <w:spacing w:val="0"/>
          <w:kern w:val="0"/>
          <w:sz w:val="31"/>
          <w:szCs w:val="31"/>
          <w:highlight w:val="none"/>
          <w:shd w:val="clear" w:fill="FFFFFF"/>
          <w:lang w:val="en-US" w:eastAsia="zh-CN" w:bidi="ar"/>
        </w:rPr>
        <w:t>。</w:t>
      </w:r>
    </w:p>
    <w:p w14:paraId="17754AA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（二）年度政务公开要点落实情况</w:t>
      </w:r>
    </w:p>
    <w:p w14:paraId="08A015C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645"/>
        <w:jc w:val="both"/>
        <w:rPr>
          <w:sz w:val="32"/>
          <w:szCs w:val="32"/>
        </w:rPr>
      </w:pPr>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2025年我社区严格对照上年度政务公开工作存在的不足，聚焦“时效性”与“内容质量”两大核心问题，全力推进年度工作要点落实。针对“时效性”问题，通过梳理简化信息发布审批环节，对于非涉密工作通知、信息报道等，实行即审即发。重要通知、工作动态等均在规定时限内发布，未发生重大信息延迟发布事件。针对“内容质量”问题，突出关键领域公开，涉及财政资金方面，按时公开社区年度财政预决算信息，提升资金使用透明度。涉及民生关切方面，围绕社会救助、便民服务等领域，不仅公开政策文件，更注重公开办理结果和相关便民信息报道等。</w:t>
      </w:r>
      <w:bookmarkStart w:id="0" w:name="_GoBack"/>
      <w:bookmarkEnd w:id="0"/>
      <w:r>
        <w:rPr>
          <w:rFonts w:hint="eastAsia" w:ascii="仿宋_GB2312" w:hAnsi="微软雅黑" w:eastAsia="仿宋_GB2312" w:cs="仿宋_GB2312"/>
          <w:i w:val="0"/>
          <w:iCs w:val="0"/>
          <w:caps w:val="0"/>
          <w:color w:val="000000"/>
          <w:spacing w:val="0"/>
          <w:kern w:val="0"/>
          <w:sz w:val="31"/>
          <w:szCs w:val="31"/>
          <w:highlight w:val="none"/>
          <w:shd w:val="clear" w:fill="FFFFFF"/>
          <w:lang w:val="en-US" w:eastAsia="zh-CN" w:bidi="ar"/>
        </w:rPr>
        <w:t>线上平台保持界面友好、分类清晰、便于检索，提升居民对社区工作的知晓度和满意率。</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0NTM5ZDEwMzc2MzI4YzgzNmVjMTkxMzMwODY4MGUifQ=="/>
  </w:docVars>
  <w:rsids>
    <w:rsidRoot w:val="1C8E47D9"/>
    <w:rsid w:val="00B95943"/>
    <w:rsid w:val="06B07B82"/>
    <w:rsid w:val="06CC1FFF"/>
    <w:rsid w:val="0DF14F65"/>
    <w:rsid w:val="0F3C304E"/>
    <w:rsid w:val="10086A3E"/>
    <w:rsid w:val="16922E00"/>
    <w:rsid w:val="169935F7"/>
    <w:rsid w:val="1A9B595D"/>
    <w:rsid w:val="1C361FA8"/>
    <w:rsid w:val="1C8E47D9"/>
    <w:rsid w:val="1EC75027"/>
    <w:rsid w:val="1FB57B5F"/>
    <w:rsid w:val="216C2071"/>
    <w:rsid w:val="241C63FF"/>
    <w:rsid w:val="24BB79C6"/>
    <w:rsid w:val="2E163EBF"/>
    <w:rsid w:val="346C4A4C"/>
    <w:rsid w:val="35795F9A"/>
    <w:rsid w:val="374C0952"/>
    <w:rsid w:val="38BF0AB8"/>
    <w:rsid w:val="394144E6"/>
    <w:rsid w:val="4880135A"/>
    <w:rsid w:val="4DB83F4D"/>
    <w:rsid w:val="59777658"/>
    <w:rsid w:val="5AED2FF7"/>
    <w:rsid w:val="6A9A50A3"/>
    <w:rsid w:val="6AF01018"/>
    <w:rsid w:val="720535FB"/>
    <w:rsid w:val="73684DB6"/>
    <w:rsid w:val="75864A53"/>
    <w:rsid w:val="76AC0432"/>
    <w:rsid w:val="77321C28"/>
    <w:rsid w:val="7F765B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next w:val="1"/>
    <w:autoRedefine/>
    <w:qFormat/>
    <w:uiPriority w:val="0"/>
    <w:pPr>
      <w:keepNext/>
      <w:keepLines/>
      <w:widowControl w:val="0"/>
      <w:spacing w:line="416" w:lineRule="auto"/>
      <w:jc w:val="both"/>
      <w:outlineLvl w:val="1"/>
    </w:pPr>
    <w:rPr>
      <w:rFonts w:ascii="Cambria" w:hAnsi="Cambria" w:eastAsia="宋体" w:cs="Times New Roman"/>
      <w:b/>
      <w:bCs/>
      <w:kern w:val="2"/>
      <w:sz w:val="32"/>
      <w:szCs w:val="32"/>
      <w:lang w:val="en-US" w:eastAsia="zh-CN" w:bidi="ar-SA"/>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3">
    <w:name w:val="Normal (Web)"/>
    <w:autoRedefine/>
    <w:qFormat/>
    <w:uiPriority w:val="0"/>
    <w:pPr>
      <w:widowControl w:val="0"/>
      <w:spacing w:before="100" w:beforeAutospacing="1" w:after="100" w:afterAutospacing="1"/>
      <w:ind w:left="0" w:right="0"/>
      <w:jc w:val="left"/>
    </w:pPr>
    <w:rPr>
      <w:rFonts w:ascii="Calibri" w:hAnsi="Calibri" w:eastAsia="宋体" w:cs="Times New Roman"/>
      <w:kern w:val="0"/>
      <w:sz w:val="24"/>
      <w:szCs w:val="24"/>
      <w:lang w:val="en-US" w:eastAsia="zh-CN" w:bidi="ar"/>
    </w:rPr>
  </w:style>
  <w:style w:type="character" w:styleId="6">
    <w:name w:val="Strong"/>
    <w:basedOn w:val="5"/>
    <w:qFormat/>
    <w:uiPriority w:val="0"/>
    <w:rPr>
      <w:b/>
    </w:rPr>
  </w:style>
  <w:style w:type="character" w:styleId="7">
    <w:name w:val="Hyperlink"/>
    <w:basedOn w:val="5"/>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1410</Words>
  <Characters>1561</Characters>
  <Lines>0</Lines>
  <Paragraphs>0</Paragraphs>
  <TotalTime>9</TotalTime>
  <ScaleCrop>false</ScaleCrop>
  <LinksUpToDate>false</LinksUpToDate>
  <CharactersWithSpaces>1565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2024-01-02T09:19:00Z</dcterms:created>
  <dc:creator>Administrator</dc:creator>
  <cp:lastModifiedBy>瓷</cp:lastModifiedBy>
  <dcterms:modified xsi:type="dcterms:W3CDTF">2026-01-29T07:15:54Z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03FF657F529F4AD6B4B1AF2F8E3CC52A_13</vt:lpwstr>
  </property>
  <property fmtid="{D5CDD505-2E9C-101B-9397-08002B2CF9AE}" pid="4" name="KSOTemplateDocerSaveRecord">
    <vt:lpwstr>eyJoZGlkIjoiNjQwNzBmZjgzMDI0YTFjOWQ5NGYyZGU4YjEzZmM3ZDUiLCJ1c2VySWQiOiIzMDk0NTEzODgifQ==</vt:lpwstr>
  </property>
</Properties>
</file>