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C23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333333"/>
          <w:spacing w:val="0"/>
          <w:sz w:val="36"/>
          <w:szCs w:val="36"/>
          <w:lang w:val="en-US" w:eastAsia="zh-CN"/>
        </w:rPr>
      </w:pPr>
      <w:r>
        <w:rPr>
          <w:rFonts w:hint="eastAsia" w:ascii="方正小标宋简体" w:hAnsi="方正小标宋简体" w:eastAsia="方正小标宋简体" w:cs="方正小标宋简体"/>
          <w:i w:val="0"/>
          <w:iCs w:val="0"/>
          <w:caps w:val="0"/>
          <w:color w:val="333333"/>
          <w:spacing w:val="0"/>
          <w:sz w:val="36"/>
          <w:szCs w:val="36"/>
          <w:lang w:val="en-US" w:eastAsia="zh-CN"/>
        </w:rPr>
        <w:t>铜官区统计局2025年政府信息公开</w:t>
      </w:r>
    </w:p>
    <w:p w14:paraId="0123EC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333333"/>
          <w:spacing w:val="0"/>
          <w:sz w:val="36"/>
          <w:szCs w:val="36"/>
          <w:lang w:val="en-US" w:eastAsia="zh-CN"/>
        </w:rPr>
      </w:pPr>
      <w:r>
        <w:rPr>
          <w:rFonts w:hint="eastAsia" w:ascii="方正小标宋简体" w:hAnsi="方正小标宋简体" w:eastAsia="方正小标宋简体" w:cs="方正小标宋简体"/>
          <w:i w:val="0"/>
          <w:iCs w:val="0"/>
          <w:caps w:val="0"/>
          <w:color w:val="333333"/>
          <w:spacing w:val="0"/>
          <w:sz w:val="36"/>
          <w:szCs w:val="36"/>
          <w:lang w:val="en-US" w:eastAsia="zh-CN"/>
        </w:rPr>
        <w:t>工作年度报告</w:t>
      </w:r>
    </w:p>
    <w:p w14:paraId="2DE2C3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000000"/>
          <w:spacing w:val="0"/>
          <w:sz w:val="32"/>
          <w:szCs w:val="32"/>
          <w:shd w:val="clear" w:color="auto" w:fill="FFFFFF"/>
        </w:rPr>
      </w:pPr>
      <w:r>
        <w:rPr>
          <w:rFonts w:hint="eastAsia" w:ascii="仿宋_GB2312" w:hAnsi="仿宋_GB2312" w:eastAsia="仿宋_GB2312" w:cs="仿宋_GB2312"/>
          <w:i w:val="0"/>
          <w:iCs w:val="0"/>
          <w:caps w:val="0"/>
          <w:color w:val="000000"/>
          <w:spacing w:val="0"/>
          <w:sz w:val="32"/>
          <w:szCs w:val="32"/>
          <w:shd w:val="clear" w:color="auto" w:fill="FFFFFF"/>
        </w:rPr>
        <w:t>2025年，区统计局坚持以习近平新时代中国特色社会主义思想为指导，深入学习贯彻党的二十大及二十届三中、四中全会精神，</w:t>
      </w:r>
      <w:r>
        <w:rPr>
          <w:rFonts w:hint="eastAsia" w:ascii="仿宋_GB2312" w:hAnsi="仿宋_GB2312" w:eastAsia="仿宋_GB2312" w:cs="仿宋_GB2312"/>
          <w:i w:val="0"/>
          <w:iCs w:val="0"/>
          <w:caps w:val="0"/>
          <w:color w:val="000000"/>
          <w:spacing w:val="0"/>
          <w:sz w:val="32"/>
          <w:szCs w:val="32"/>
          <w:shd w:val="clear" w:color="auto" w:fill="FFFFFF"/>
          <w:lang w:val="en-US" w:eastAsia="zh-CN"/>
        </w:rPr>
        <w:t>按照</w:t>
      </w:r>
      <w:r>
        <w:rPr>
          <w:rFonts w:hint="eastAsia" w:ascii="仿宋_GB2312" w:hAnsi="仿宋_GB2312" w:eastAsia="仿宋_GB2312" w:cs="仿宋_GB2312"/>
          <w:i w:val="0"/>
          <w:iCs w:val="0"/>
          <w:caps w:val="0"/>
          <w:color w:val="000000"/>
          <w:spacing w:val="0"/>
          <w:sz w:val="32"/>
          <w:szCs w:val="32"/>
          <w:shd w:val="clear" w:color="auto" w:fill="FFFFFF"/>
        </w:rPr>
        <w:t>《中华人民共和国政府信息公开条例》</w:t>
      </w:r>
      <w:r>
        <w:rPr>
          <w:rFonts w:hint="eastAsia" w:ascii="仿宋_GB2312" w:hAnsi="仿宋_GB2312" w:eastAsia="仿宋_GB2312" w:cs="仿宋_GB2312"/>
          <w:i w:val="0"/>
          <w:iCs w:val="0"/>
          <w:caps w:val="0"/>
          <w:color w:val="000000"/>
          <w:spacing w:val="0"/>
          <w:sz w:val="32"/>
          <w:szCs w:val="32"/>
          <w:shd w:val="clear" w:color="auto" w:fill="FFFFFF"/>
          <w:lang w:eastAsia="zh-CN"/>
        </w:rPr>
        <w:t>的</w:t>
      </w:r>
      <w:r>
        <w:rPr>
          <w:rFonts w:hint="eastAsia" w:ascii="仿宋_GB2312" w:hAnsi="仿宋_GB2312" w:eastAsia="仿宋_GB2312" w:cs="仿宋_GB2312"/>
          <w:i w:val="0"/>
          <w:iCs w:val="0"/>
          <w:caps w:val="0"/>
          <w:color w:val="000000"/>
          <w:spacing w:val="0"/>
          <w:sz w:val="32"/>
          <w:szCs w:val="32"/>
          <w:shd w:val="clear" w:color="auto" w:fill="FFFFFF"/>
          <w:lang w:val="en-US" w:eastAsia="zh-CN"/>
        </w:rPr>
        <w:t>要求</w:t>
      </w:r>
      <w:r>
        <w:rPr>
          <w:rFonts w:hint="eastAsia" w:ascii="仿宋_GB2312" w:hAnsi="仿宋_GB2312" w:eastAsia="仿宋_GB2312" w:cs="仿宋_GB2312"/>
          <w:i w:val="0"/>
          <w:iCs w:val="0"/>
          <w:caps w:val="0"/>
          <w:color w:val="000000"/>
          <w:spacing w:val="0"/>
          <w:sz w:val="32"/>
          <w:szCs w:val="32"/>
          <w:shd w:val="clear" w:color="auto" w:fill="FFFFFF"/>
        </w:rPr>
        <w:t>，全面推进2025年政务公开工作</w:t>
      </w:r>
      <w:r>
        <w:rPr>
          <w:rFonts w:hint="eastAsia" w:ascii="仿宋_GB2312" w:hAnsi="仿宋_GB2312" w:eastAsia="仿宋_GB2312" w:cs="仿宋_GB2312"/>
          <w:i w:val="0"/>
          <w:iCs w:val="0"/>
          <w:caps w:val="0"/>
          <w:color w:val="000000"/>
          <w:spacing w:val="0"/>
          <w:sz w:val="32"/>
          <w:szCs w:val="32"/>
          <w:shd w:val="clear" w:color="auto" w:fill="FFFFFF"/>
          <w:lang w:eastAsia="zh-CN"/>
        </w:rPr>
        <w:t>，</w:t>
      </w:r>
      <w:r>
        <w:rPr>
          <w:rFonts w:hint="eastAsia" w:ascii="仿宋_GB2312" w:hAnsi="仿宋_GB2312" w:eastAsia="仿宋_GB2312" w:cs="仿宋_GB2312"/>
          <w:i w:val="0"/>
          <w:iCs w:val="0"/>
          <w:caps w:val="0"/>
          <w:color w:val="000000"/>
          <w:spacing w:val="0"/>
          <w:sz w:val="32"/>
          <w:szCs w:val="32"/>
          <w:shd w:val="clear" w:color="auto" w:fill="FFFFFF"/>
        </w:rPr>
        <w:t>现就我局202</w:t>
      </w:r>
      <w:r>
        <w:rPr>
          <w:rFonts w:hint="eastAsia" w:ascii="仿宋_GB2312" w:hAnsi="仿宋_GB2312" w:eastAsia="仿宋_GB2312" w:cs="仿宋_GB2312"/>
          <w:i w:val="0"/>
          <w:iCs w:val="0"/>
          <w:caps w:val="0"/>
          <w:color w:val="000000"/>
          <w:spacing w:val="0"/>
          <w:sz w:val="32"/>
          <w:szCs w:val="32"/>
          <w:shd w:val="clear" w:color="auto" w:fill="FFFFFF"/>
          <w:lang w:val="en-US" w:eastAsia="zh-CN"/>
        </w:rPr>
        <w:t>5</w:t>
      </w:r>
      <w:r>
        <w:rPr>
          <w:rFonts w:hint="eastAsia" w:ascii="仿宋_GB2312" w:hAnsi="仿宋_GB2312" w:eastAsia="仿宋_GB2312" w:cs="仿宋_GB2312"/>
          <w:i w:val="0"/>
          <w:iCs w:val="0"/>
          <w:caps w:val="0"/>
          <w:color w:val="000000"/>
          <w:spacing w:val="0"/>
          <w:sz w:val="32"/>
          <w:szCs w:val="32"/>
          <w:shd w:val="clear" w:color="auto" w:fill="FFFFFF"/>
        </w:rPr>
        <w:t>年政府信息公开工作报告如下。</w:t>
      </w:r>
    </w:p>
    <w:p w14:paraId="59C2C9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一、总体情况</w:t>
      </w:r>
    </w:p>
    <w:p w14:paraId="69D267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（一）主动公开</w:t>
      </w:r>
    </w:p>
    <w:p w14:paraId="63B26A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我局围绕全区经济社会发展工作，做好经济运行监测分析，做好统计服务，及时向社会发布主要经济指标相关数据情况，做好经济运行数据解读工作。在信息公开网共发布各类信息信息71条。其中：统计信息31条，工作规划1条，计划总结1条，统计执法监督信息2条，新闻发布3条。</w:t>
      </w:r>
    </w:p>
    <w:p w14:paraId="1FC760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（二）依申请公开</w:t>
      </w:r>
    </w:p>
    <w:p w14:paraId="20B787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2025年，未收到依申请公开内容。</w:t>
      </w:r>
    </w:p>
    <w:p w14:paraId="12B1D8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（三）政府信息管理</w:t>
      </w:r>
    </w:p>
    <w:p w14:paraId="0210D1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局安排专人负责信息公开工作，落实“三审”制。定期对内容进行完善，及时更新统计信息，查漏补缺，推动信息公开工作常态化。强化业务培训，提高工作人员的业务能力和水平。2025年，我局无行政审批、行政许可事项，无行政审批中介服务事项。</w:t>
      </w:r>
    </w:p>
    <w:p w14:paraId="2DA72B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sz w:val="32"/>
          <w:szCs w:val="32"/>
          <w:lang w:val="en-US" w:eastAsia="zh-CN"/>
        </w:rPr>
      </w:pPr>
      <w:bookmarkStart w:id="0" w:name="_GoBack"/>
      <w:bookmarkEnd w:id="0"/>
      <w:r>
        <w:rPr>
          <w:rFonts w:hint="eastAsia" w:ascii="仿宋_GB2312" w:hAnsi="仿宋_GB2312" w:eastAsia="仿宋_GB2312" w:cs="仿宋_GB2312"/>
          <w:sz w:val="32"/>
          <w:szCs w:val="32"/>
          <w:lang w:val="en-US" w:eastAsia="zh-CN"/>
        </w:rPr>
        <w:t>（四）政府信息平台建设</w:t>
      </w:r>
    </w:p>
    <w:p w14:paraId="1E4205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局致力于完善政务公开相关工作，做好每月统计数据数据的发布及解读工作。同时，我局积极解读相关政策，按月公布决策部署落实情况，按时召开全区经济运行情况新闻发布会并第一时间在政务公开平台进行公开发布。</w:t>
      </w:r>
    </w:p>
    <w:p w14:paraId="3BB24F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（五）监督保障</w:t>
      </w:r>
    </w:p>
    <w:p w14:paraId="5FFFD2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根据《中华人民共和国政府信息公开条例》等相关法律法规，严格落实政府公开信息发布“三审”制度，确保涉密信息不公开，公开信息不涉密，进一步提升政府信息公开规范化水平。二是指派专人对政府信息公开保密审查工作进行专项检查，未发现有涉密信息违规公开的情况。三是我局积极接受各单位和群众的社会监督、社会评议，未发生政务公开责任追究情况。四是我局接受各单位和群众的社会监督、社会评议，未发生政务公开责任追究情况。</w:t>
      </w:r>
    </w:p>
    <w:p w14:paraId="70E965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二、主动公开政府信息情况</w:t>
      </w:r>
    </w:p>
    <w:tbl>
      <w:tblPr>
        <w:tblStyle w:val="5"/>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2435"/>
        <w:gridCol w:w="2435"/>
        <w:gridCol w:w="2435"/>
        <w:gridCol w:w="2435"/>
      </w:tblGrid>
      <w:tr w14:paraId="2F6FF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FE8385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第二十条第（一）项</w:t>
            </w:r>
          </w:p>
        </w:tc>
      </w:tr>
      <w:tr w14:paraId="5D7DD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4A1A5C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14:paraId="52A7C1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w:t>
            </w:r>
            <w:r>
              <w:rPr>
                <w:rFonts w:hint="eastAsia" w:ascii="仿宋_GB2312" w:hAnsi="仿宋_GB2312" w:eastAsia="仿宋_GB2312" w:cs="仿宋_GB2312"/>
                <w:kern w:val="0"/>
                <w:sz w:val="28"/>
                <w:szCs w:val="28"/>
                <w:lang w:val="en-US" w:eastAsia="zh-CN" w:bidi="ar"/>
              </w:rPr>
              <w:t>制发件数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14:paraId="6453B7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本年废止件数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14:paraId="40BB52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现行有效件</w:t>
            </w:r>
            <w:r>
              <w:rPr>
                <w:rFonts w:hint="eastAsia" w:ascii="仿宋_GB2312" w:hAnsi="仿宋_GB2312" w:eastAsia="仿宋_GB2312" w:cs="仿宋_GB2312"/>
                <w:kern w:val="0"/>
                <w:sz w:val="28"/>
                <w:szCs w:val="28"/>
                <w:lang w:val="en-US" w:eastAsia="zh-CN" w:bidi="ar"/>
              </w:rPr>
              <w:t>数</w:t>
            </w:r>
          </w:p>
        </w:tc>
      </w:tr>
      <w:tr w14:paraId="3CE8A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3EE5C7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规章</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6F2A67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5BCF2ED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12432C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568C4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0F7F08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行政规范性文件</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3B5C2E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593BD7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3F7C66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1BEB7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noWrap w:val="0"/>
            <w:tcMar>
              <w:left w:w="57" w:type="dxa"/>
              <w:right w:w="57" w:type="dxa"/>
            </w:tcMar>
            <w:vAlign w:val="center"/>
          </w:tcPr>
          <w:p w14:paraId="78929A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第二十条第（五）项</w:t>
            </w:r>
          </w:p>
        </w:tc>
      </w:tr>
      <w:tr w14:paraId="6F2CD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DEE2D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2DF45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本年处理决定数量</w:t>
            </w:r>
          </w:p>
        </w:tc>
      </w:tr>
      <w:tr w14:paraId="7FCE8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CADED0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行政许可</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A883DD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6ADB5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5F20A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第二十条第（六）项</w:t>
            </w:r>
          </w:p>
        </w:tc>
      </w:tr>
      <w:tr w14:paraId="69B8A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9B85A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B0029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本年处理决定数量</w:t>
            </w:r>
          </w:p>
        </w:tc>
      </w:tr>
      <w:tr w14:paraId="295FC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687FC0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行政处罚</w:t>
            </w:r>
          </w:p>
        </w:tc>
        <w:tc>
          <w:tcPr>
            <w:tcW w:w="7305" w:type="dxa"/>
            <w:gridSpan w:val="3"/>
            <w:tcBorders>
              <w:top w:val="single" w:color="auto" w:sz="8" w:space="0"/>
              <w:left w:val="nil"/>
              <w:bottom w:val="single" w:color="auto" w:sz="8" w:space="0"/>
              <w:right w:val="single" w:color="auto" w:sz="8" w:space="0"/>
            </w:tcBorders>
            <w:noWrap w:val="0"/>
            <w:tcMar>
              <w:left w:w="57" w:type="dxa"/>
              <w:right w:w="57" w:type="dxa"/>
            </w:tcMar>
            <w:vAlign w:val="center"/>
          </w:tcPr>
          <w:p w14:paraId="167E50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r>
      <w:tr w14:paraId="48E3F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0F6E39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行政强制</w:t>
            </w:r>
          </w:p>
        </w:tc>
        <w:tc>
          <w:tcPr>
            <w:tcW w:w="7305" w:type="dxa"/>
            <w:gridSpan w:val="3"/>
            <w:tcBorders>
              <w:top w:val="nil"/>
              <w:left w:val="nil"/>
              <w:bottom w:val="single" w:color="auto" w:sz="8" w:space="0"/>
              <w:right w:val="single" w:color="auto" w:sz="8" w:space="0"/>
            </w:tcBorders>
            <w:noWrap w:val="0"/>
            <w:tcMar>
              <w:left w:w="57" w:type="dxa"/>
              <w:right w:w="57" w:type="dxa"/>
            </w:tcMar>
            <w:vAlign w:val="center"/>
          </w:tcPr>
          <w:p w14:paraId="0E985E5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r>
      <w:tr w14:paraId="07F28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FBD433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第二十条第（八）项</w:t>
            </w:r>
          </w:p>
        </w:tc>
      </w:tr>
      <w:tr w14:paraId="1043C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B163C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B880C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本年收费金额（单位：万元）</w:t>
            </w:r>
          </w:p>
        </w:tc>
      </w:tr>
      <w:tr w14:paraId="2956E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E9063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行政事业性收费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FDE3D92">
            <w:pPr>
              <w:keepNext w:val="0"/>
              <w:keepLines w:val="0"/>
              <w:pageBreakBefore w:val="0"/>
              <w:kinsoku/>
              <w:wordWrap/>
              <w:overflowPunct/>
              <w:topLinePunct w:val="0"/>
              <w:autoSpaceDE/>
              <w:autoSpaceDN/>
              <w:bidi w:val="0"/>
              <w:adjustRightInd/>
              <w:snapToGrid/>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14:paraId="2FE3C3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三、收到和处理政府信息公开申请情况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6"/>
        <w:gridCol w:w="959"/>
        <w:gridCol w:w="3188"/>
        <w:gridCol w:w="688"/>
        <w:gridCol w:w="688"/>
        <w:gridCol w:w="688"/>
        <w:gridCol w:w="688"/>
        <w:gridCol w:w="689"/>
        <w:gridCol w:w="689"/>
        <w:gridCol w:w="695"/>
      </w:tblGrid>
      <w:tr w14:paraId="78BD528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3" w:type="dxa"/>
            <w:gridSpan w:val="3"/>
            <w:vMerge w:val="restart"/>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6264BC3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（本列数据的勾稽关系为：第一项加第二项之和，等于第三项加第四项之和）</w:t>
            </w:r>
          </w:p>
        </w:tc>
        <w:tc>
          <w:tcPr>
            <w:tcW w:w="4825" w:type="dxa"/>
            <w:gridSpan w:val="7"/>
            <w:tcBorders>
              <w:top w:val="single" w:color="auto" w:sz="8" w:space="0"/>
              <w:left w:val="nil"/>
              <w:bottom w:val="single" w:color="auto" w:sz="8" w:space="0"/>
              <w:right w:val="single" w:color="auto" w:sz="8" w:space="0"/>
            </w:tcBorders>
            <w:noWrap w:val="0"/>
            <w:tcMar>
              <w:left w:w="57" w:type="dxa"/>
              <w:right w:w="57" w:type="dxa"/>
            </w:tcMar>
            <w:vAlign w:val="center"/>
          </w:tcPr>
          <w:p w14:paraId="3288578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申请人情况</w:t>
            </w:r>
          </w:p>
        </w:tc>
      </w:tr>
      <w:tr w14:paraId="2E643B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3"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7DA0B87B">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8" w:type="dxa"/>
            <w:vMerge w:val="restart"/>
            <w:tcBorders>
              <w:top w:val="nil"/>
              <w:left w:val="nil"/>
              <w:bottom w:val="single" w:color="auto" w:sz="8" w:space="0"/>
              <w:right w:val="single" w:color="auto" w:sz="8" w:space="0"/>
            </w:tcBorders>
            <w:noWrap w:val="0"/>
            <w:tcMar>
              <w:left w:w="57" w:type="dxa"/>
              <w:right w:w="57" w:type="dxa"/>
            </w:tcMar>
            <w:vAlign w:val="center"/>
          </w:tcPr>
          <w:p w14:paraId="1BACFCF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自然人</w:t>
            </w:r>
          </w:p>
        </w:tc>
        <w:tc>
          <w:tcPr>
            <w:tcW w:w="3442" w:type="dxa"/>
            <w:gridSpan w:val="5"/>
            <w:tcBorders>
              <w:top w:val="single" w:color="auto" w:sz="8" w:space="0"/>
              <w:left w:val="nil"/>
              <w:bottom w:val="single" w:color="auto" w:sz="8" w:space="0"/>
              <w:right w:val="single" w:color="auto" w:sz="8" w:space="0"/>
            </w:tcBorders>
            <w:noWrap w:val="0"/>
            <w:tcMar>
              <w:left w:w="57" w:type="dxa"/>
              <w:right w:w="57" w:type="dxa"/>
            </w:tcMar>
            <w:vAlign w:val="center"/>
          </w:tcPr>
          <w:p w14:paraId="5FBA450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法人或其他组织</w:t>
            </w:r>
          </w:p>
        </w:tc>
        <w:tc>
          <w:tcPr>
            <w:tcW w:w="695" w:type="dxa"/>
            <w:vMerge w:val="restart"/>
            <w:tcBorders>
              <w:top w:val="single" w:color="auto" w:sz="8" w:space="0"/>
              <w:left w:val="nil"/>
              <w:bottom w:val="outset" w:color="auto" w:sz="8" w:space="0"/>
              <w:right w:val="single" w:color="auto" w:sz="8" w:space="0"/>
            </w:tcBorders>
            <w:noWrap w:val="0"/>
            <w:tcMar>
              <w:left w:w="57" w:type="dxa"/>
              <w:right w:w="57" w:type="dxa"/>
            </w:tcMar>
            <w:vAlign w:val="center"/>
          </w:tcPr>
          <w:p w14:paraId="56E2AEB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总计</w:t>
            </w:r>
          </w:p>
        </w:tc>
      </w:tr>
      <w:tr w14:paraId="0FF34F6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3"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71FD503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8" w:type="dxa"/>
            <w:vMerge w:val="continue"/>
            <w:tcBorders>
              <w:top w:val="nil"/>
              <w:left w:val="nil"/>
              <w:bottom w:val="single" w:color="auto" w:sz="8" w:space="0"/>
              <w:right w:val="single" w:color="auto" w:sz="8" w:space="0"/>
            </w:tcBorders>
            <w:noWrap w:val="0"/>
            <w:tcMar>
              <w:left w:w="57" w:type="dxa"/>
              <w:right w:w="57" w:type="dxa"/>
            </w:tcMar>
            <w:vAlign w:val="center"/>
          </w:tcPr>
          <w:p w14:paraId="665C49E2">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8" w:type="dxa"/>
            <w:tcBorders>
              <w:top w:val="nil"/>
              <w:left w:val="nil"/>
              <w:bottom w:val="single" w:color="auto" w:sz="8" w:space="0"/>
              <w:right w:val="single" w:color="auto" w:sz="8" w:space="0"/>
            </w:tcBorders>
            <w:noWrap w:val="0"/>
            <w:tcMar>
              <w:left w:w="57" w:type="dxa"/>
              <w:right w:w="57" w:type="dxa"/>
            </w:tcMar>
            <w:vAlign w:val="center"/>
          </w:tcPr>
          <w:p w14:paraId="2F36CA9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商业</w:t>
            </w:r>
          </w:p>
          <w:p w14:paraId="571E089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企业</w:t>
            </w:r>
          </w:p>
        </w:tc>
        <w:tc>
          <w:tcPr>
            <w:tcW w:w="688" w:type="dxa"/>
            <w:tcBorders>
              <w:top w:val="nil"/>
              <w:left w:val="nil"/>
              <w:bottom w:val="single" w:color="auto" w:sz="8" w:space="0"/>
              <w:right w:val="single" w:color="auto" w:sz="8" w:space="0"/>
            </w:tcBorders>
            <w:noWrap w:val="0"/>
            <w:tcMar>
              <w:left w:w="57" w:type="dxa"/>
              <w:right w:w="57" w:type="dxa"/>
            </w:tcMar>
            <w:vAlign w:val="center"/>
          </w:tcPr>
          <w:p w14:paraId="2E0BC31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科研</w:t>
            </w:r>
          </w:p>
          <w:p w14:paraId="574D011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机构</w:t>
            </w:r>
          </w:p>
        </w:tc>
        <w:tc>
          <w:tcPr>
            <w:tcW w:w="688" w:type="dxa"/>
            <w:tcBorders>
              <w:top w:val="single" w:color="auto" w:sz="8" w:space="0"/>
              <w:left w:val="nil"/>
              <w:bottom w:val="single" w:color="auto" w:sz="8" w:space="0"/>
              <w:right w:val="single" w:color="auto" w:sz="8" w:space="0"/>
            </w:tcBorders>
            <w:noWrap w:val="0"/>
            <w:tcMar>
              <w:left w:w="57" w:type="dxa"/>
              <w:right w:w="57" w:type="dxa"/>
            </w:tcMar>
            <w:vAlign w:val="center"/>
          </w:tcPr>
          <w:p w14:paraId="3398464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社会公益组织</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3AAEE90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法律服务机构</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501AB55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p>
        </w:tc>
        <w:tc>
          <w:tcPr>
            <w:tcW w:w="695" w:type="dxa"/>
            <w:vMerge w:val="continue"/>
            <w:tcBorders>
              <w:top w:val="single" w:color="auto" w:sz="8" w:space="0"/>
              <w:left w:val="nil"/>
              <w:bottom w:val="outset" w:color="auto" w:sz="8" w:space="0"/>
              <w:right w:val="single" w:color="auto" w:sz="8" w:space="0"/>
            </w:tcBorders>
            <w:noWrap w:val="0"/>
            <w:tcMar>
              <w:left w:w="57" w:type="dxa"/>
              <w:right w:w="57" w:type="dxa"/>
            </w:tcMar>
            <w:vAlign w:val="center"/>
          </w:tcPr>
          <w:p w14:paraId="039E6DEF">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r>
      <w:tr w14:paraId="1CC279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3" w:hRule="atLeast"/>
          <w:jc w:val="center"/>
        </w:trPr>
        <w:tc>
          <w:tcPr>
            <w:tcW w:w="4923" w:type="dxa"/>
            <w:gridSpan w:val="3"/>
            <w:tcBorders>
              <w:top w:val="nil"/>
              <w:left w:val="single" w:color="auto" w:sz="8" w:space="0"/>
              <w:bottom w:val="single" w:color="auto" w:sz="8" w:space="0"/>
              <w:right w:val="single" w:color="auto" w:sz="8" w:space="0"/>
            </w:tcBorders>
            <w:noWrap w:val="0"/>
            <w:tcMar>
              <w:left w:w="57" w:type="dxa"/>
              <w:right w:w="57" w:type="dxa"/>
            </w:tcMar>
            <w:vAlign w:val="center"/>
          </w:tcPr>
          <w:p w14:paraId="663BC88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一、本年新收政府信息公开申请数量</w:t>
            </w:r>
          </w:p>
        </w:tc>
        <w:tc>
          <w:tcPr>
            <w:tcW w:w="688" w:type="dxa"/>
            <w:tcBorders>
              <w:top w:val="nil"/>
              <w:left w:val="nil"/>
              <w:bottom w:val="single" w:color="auto" w:sz="8" w:space="0"/>
              <w:right w:val="single" w:color="auto" w:sz="8" w:space="0"/>
            </w:tcBorders>
            <w:noWrap w:val="0"/>
            <w:tcMar>
              <w:left w:w="57" w:type="dxa"/>
              <w:right w:w="57" w:type="dxa"/>
            </w:tcMar>
            <w:vAlign w:val="center"/>
          </w:tcPr>
          <w:p w14:paraId="23EBB6A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8" w:type="dxa"/>
            <w:tcBorders>
              <w:top w:val="nil"/>
              <w:left w:val="nil"/>
              <w:bottom w:val="single" w:color="auto" w:sz="8" w:space="0"/>
              <w:right w:val="single" w:color="auto" w:sz="8" w:space="0"/>
            </w:tcBorders>
            <w:noWrap w:val="0"/>
            <w:tcMar>
              <w:left w:w="57" w:type="dxa"/>
              <w:right w:w="57" w:type="dxa"/>
            </w:tcMar>
            <w:vAlign w:val="center"/>
          </w:tcPr>
          <w:p w14:paraId="3DE6787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8" w:type="dxa"/>
            <w:tcBorders>
              <w:top w:val="nil"/>
              <w:left w:val="nil"/>
              <w:bottom w:val="single" w:color="auto" w:sz="8" w:space="0"/>
              <w:right w:val="single" w:color="auto" w:sz="8" w:space="0"/>
            </w:tcBorders>
            <w:noWrap w:val="0"/>
            <w:tcMar>
              <w:left w:w="57" w:type="dxa"/>
              <w:right w:w="57" w:type="dxa"/>
            </w:tcMar>
            <w:vAlign w:val="center"/>
          </w:tcPr>
          <w:p w14:paraId="1C995FD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8" w:type="dxa"/>
            <w:tcBorders>
              <w:top w:val="nil"/>
              <w:left w:val="nil"/>
              <w:bottom w:val="single" w:color="auto" w:sz="8" w:space="0"/>
              <w:right w:val="single" w:color="auto" w:sz="8" w:space="0"/>
            </w:tcBorders>
            <w:noWrap w:val="0"/>
            <w:tcMar>
              <w:left w:w="57" w:type="dxa"/>
              <w:right w:w="57" w:type="dxa"/>
            </w:tcMar>
            <w:vAlign w:val="center"/>
          </w:tcPr>
          <w:p w14:paraId="23D4BBF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32AF936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673C67B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95" w:type="dxa"/>
            <w:tcBorders>
              <w:top w:val="nil"/>
              <w:left w:val="nil"/>
              <w:bottom w:val="single" w:color="auto" w:sz="8" w:space="0"/>
              <w:right w:val="single" w:color="auto" w:sz="8" w:space="0"/>
            </w:tcBorders>
            <w:noWrap w:val="0"/>
            <w:tcMar>
              <w:left w:w="57" w:type="dxa"/>
              <w:right w:w="57" w:type="dxa"/>
            </w:tcMar>
            <w:vAlign w:val="center"/>
          </w:tcPr>
          <w:p w14:paraId="1ABDF2F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14:paraId="13290F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4923"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843AF5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二、上年结转政府信息公开申请数量</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4ECEBE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7368CC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F3EA0B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0CAD60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4A06D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ACBE1B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95" w:type="dxa"/>
            <w:tcBorders>
              <w:top w:val="nil"/>
              <w:left w:val="nil"/>
              <w:bottom w:val="single" w:color="auto" w:sz="8" w:space="0"/>
              <w:right w:val="single" w:color="auto" w:sz="8" w:space="0"/>
            </w:tcBorders>
            <w:noWrap w:val="0"/>
            <w:tcMar>
              <w:left w:w="57" w:type="dxa"/>
              <w:right w:w="57" w:type="dxa"/>
            </w:tcMar>
            <w:vAlign w:val="center"/>
          </w:tcPr>
          <w:p w14:paraId="3A71583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097DD9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35EB24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三、本年度办理结果</w:t>
            </w:r>
          </w:p>
        </w:tc>
        <w:tc>
          <w:tcPr>
            <w:tcW w:w="4147"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C8D209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（一）予以公开</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5D749F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760E02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F1B93D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93A9F5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9A7BCA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CFDCD2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4C83A1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kern w:val="0"/>
                <w:sz w:val="28"/>
                <w:szCs w:val="28"/>
                <w:lang w:val="en-US" w:eastAsia="zh-CN" w:bidi="ar"/>
              </w:rPr>
              <w:t>0</w:t>
            </w:r>
          </w:p>
        </w:tc>
      </w:tr>
      <w:tr w14:paraId="558676C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869FA6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4147"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1ACCF5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（二）部分公开（区分处理的，只计这一情形，不计其他情形）</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083C53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06AFF0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5D2774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3D8410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77AC2A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05B534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E185A1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5CAFDF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A7AB402">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9B3AEC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（三）不予公开</w:t>
            </w: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005F24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1.属于国家秘密</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D3D66A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FDD09E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F55DF8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F7A077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581204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996BEE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024CF1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6E1965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74" w:hRule="atLeast"/>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97837D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22E7AD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E3C7F5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2.其他法律行政法规禁止公开</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26A4C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6FF148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915F4C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F004CA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05EED5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8E2AC8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8DBD8F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69831E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5BF04C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106A09E">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33147D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3.危及“三安全一稳定”</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D70B10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AC87F8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BCB367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AC12CD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1E1B84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D3FC35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6AD8F1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21F4AFD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2B2BD09">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D54614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FB6168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4.保护第三方合法权益</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02411C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99862C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2A67FA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4B7EC3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478C03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DC6E21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0133F6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2C268E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94" w:hRule="atLeast"/>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59F1739">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B2311C3">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C7DF79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5.属于三类内部事务信息</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DE556B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84016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F9A01F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64D7B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AF9363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A32FCC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57F895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14:paraId="51AB05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A3CAC6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7D8CEE0">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2F96C8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6.属于四类过程性信息</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1DE158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2664D4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CB1BC4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849F08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A871C6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712438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1DEECB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78D2CF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281E059">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908D1B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6DDDE4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7.属于行政执法案卷</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26F180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5FD10A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9EAB98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3FA0E1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1F8C4F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488E6E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42BB3D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0AC33E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E80C48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9B6ABAF">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FCEF32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8.属于行政查询事项</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EBF9E5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54F2B0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1BFE14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FF0B22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D07995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BAAAA2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4AD229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6154A8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52553EA">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B5422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（四）无法提供</w:t>
            </w: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AE6B29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1.本机关不掌握相关政府信息</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104BBD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3BA9D3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149E09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D17D8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6CB368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726B8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3D81E3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1BE56D4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3FB4B8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AE26232">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E3BF07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2.没有现成信息需要另行制作</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83ED7A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C2A824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C13F68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032F7D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EE14E8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788BE9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D75C6A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30187E1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0BA78DC">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9D5B18F">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C6DD18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3.补正后申请内容仍不明确</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884EA5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F4D45D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EE0E49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D8910C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C743C1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FC283E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CCBA0B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4E70F2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BD2275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61192B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（五）不予处理</w:t>
            </w: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DE3861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1.信访举报投诉类申请</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69500B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8BCD80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F09556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5C66E6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19F6AE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16584D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32E48C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381305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9C1532B">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0BBA8B7">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FD9894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2.重复申请</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BF7F02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F9C413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5EEE90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88846A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05C2F5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9CB963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C439AA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0D098F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3263F32">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90F8B4A">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E500F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3.要求提供公开出版物</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2A10CC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C094EC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FD743C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2E245C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697958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24E589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613DA6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1745B6A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C25E1A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60AB2B3">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AC3F52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4.无正当理由大量反复申请</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94DDEC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9B59E7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8AD574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E7D0E9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BFDD96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1A4600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901CE3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1F20D32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79" w:hRule="atLeast"/>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E9EEA76">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6B8DD4E">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7E70AE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5.要求行政机关确认或重新出具已获取信息</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85A42A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70D214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54AA0B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E37D57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670B42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C54F6B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C6FFBF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14:paraId="1332BD7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494C099">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00680D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（六）其他处理</w:t>
            </w: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208E9D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1.申请人无正当理由逾期不补正、行政机关不再处理其政府信息公开申请</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451A61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BFB191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3845B7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9DDA29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4D6615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DF4AE0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CF9548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17B9DD4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A0A8F1A">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5D7DD72">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FE2E93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2.申请人逾期未按收费通知要求缴纳费用、行政机关不再处理其政府信息公开申请</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1FFC63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2BA481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2B1834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D7C6BB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240D75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9606D9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5D08BC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0</w:t>
            </w:r>
          </w:p>
        </w:tc>
      </w:tr>
      <w:tr w14:paraId="3EED883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F76A62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C51FEE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C05C24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3.其他</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9C7DC0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6F0D74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B4D2D5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B12C8A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008D63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AC390F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97A66A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7532FD4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6"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C4DB680">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4147"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E9E803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（七）总计</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616E00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B02F57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7CA24E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5AAE21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42EBD4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FDDC46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9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D0F7EB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3333F3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3"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0AF0BB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四、结转下年度继续办理</w:t>
            </w:r>
          </w:p>
        </w:tc>
        <w:tc>
          <w:tcPr>
            <w:tcW w:w="688" w:type="dxa"/>
            <w:tcBorders>
              <w:top w:val="single" w:color="auto" w:sz="8" w:space="0"/>
              <w:left w:val="nil"/>
              <w:bottom w:val="single" w:color="auto" w:sz="8" w:space="0"/>
              <w:right w:val="single" w:color="auto" w:sz="8" w:space="0"/>
            </w:tcBorders>
            <w:noWrap w:val="0"/>
            <w:tcMar>
              <w:left w:w="57" w:type="dxa"/>
              <w:right w:w="57" w:type="dxa"/>
            </w:tcMar>
            <w:vAlign w:val="center"/>
          </w:tcPr>
          <w:p w14:paraId="78C5BB9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8" w:type="dxa"/>
            <w:tcBorders>
              <w:top w:val="single" w:color="auto" w:sz="8" w:space="0"/>
              <w:left w:val="nil"/>
              <w:bottom w:val="single" w:color="auto" w:sz="8" w:space="0"/>
              <w:right w:val="single" w:color="auto" w:sz="8" w:space="0"/>
            </w:tcBorders>
            <w:noWrap w:val="0"/>
            <w:tcMar>
              <w:left w:w="57" w:type="dxa"/>
              <w:right w:w="57" w:type="dxa"/>
            </w:tcMar>
            <w:vAlign w:val="center"/>
          </w:tcPr>
          <w:p w14:paraId="589EF4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nil"/>
              <w:bottom w:val="single" w:color="auto" w:sz="8" w:space="0"/>
              <w:right w:val="single" w:color="auto" w:sz="8" w:space="0"/>
            </w:tcBorders>
            <w:noWrap w:val="0"/>
            <w:tcMar>
              <w:left w:w="57" w:type="dxa"/>
              <w:right w:w="57" w:type="dxa"/>
            </w:tcMar>
            <w:vAlign w:val="center"/>
          </w:tcPr>
          <w:p w14:paraId="65714B9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8" w:type="dxa"/>
            <w:tcBorders>
              <w:top w:val="single" w:color="auto" w:sz="8" w:space="0"/>
              <w:left w:val="nil"/>
              <w:bottom w:val="single" w:color="auto" w:sz="8" w:space="0"/>
              <w:right w:val="single" w:color="auto" w:sz="8" w:space="0"/>
            </w:tcBorders>
            <w:noWrap w:val="0"/>
            <w:tcMar>
              <w:left w:w="57" w:type="dxa"/>
              <w:right w:w="57" w:type="dxa"/>
            </w:tcMar>
            <w:vAlign w:val="center"/>
          </w:tcPr>
          <w:p w14:paraId="27DC2DD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1A05FF7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56AA44C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 xml:space="preserve"> 0 </w:t>
            </w:r>
          </w:p>
        </w:tc>
        <w:tc>
          <w:tcPr>
            <w:tcW w:w="695" w:type="dxa"/>
            <w:tcBorders>
              <w:top w:val="single" w:color="auto" w:sz="8" w:space="0"/>
              <w:left w:val="nil"/>
              <w:bottom w:val="single" w:color="auto" w:sz="8" w:space="0"/>
              <w:right w:val="single" w:color="auto" w:sz="8" w:space="0"/>
            </w:tcBorders>
            <w:noWrap w:val="0"/>
            <w:tcMar>
              <w:left w:w="57" w:type="dxa"/>
              <w:right w:w="57" w:type="dxa"/>
            </w:tcMar>
            <w:vAlign w:val="center"/>
          </w:tcPr>
          <w:p w14:paraId="21EFA3E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r>
    </w:tbl>
    <w:p w14:paraId="595C36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333333"/>
          <w:spacing w:val="0"/>
          <w:sz w:val="32"/>
          <w:szCs w:val="32"/>
        </w:rPr>
      </w:pPr>
      <w:r>
        <w:rPr>
          <w:rFonts w:hint="eastAsia" w:ascii="黑体" w:hAnsi="黑体" w:eastAsia="黑体" w:cs="黑体"/>
          <w:b w:val="0"/>
          <w:bCs w:val="0"/>
          <w:i w:val="0"/>
          <w:iCs w:val="0"/>
          <w:caps w:val="0"/>
          <w:color w:val="333333"/>
          <w:spacing w:val="0"/>
          <w:sz w:val="32"/>
          <w:szCs w:val="32"/>
          <w:shd w:val="clear" w:color="auto" w:fill="FFFFFF"/>
        </w:rPr>
        <w:t>四、政府信息公开行政复议、行政诉讼情况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29AB928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D0DA6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31309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行政诉讼</w:t>
            </w:r>
          </w:p>
        </w:tc>
      </w:tr>
      <w:tr w14:paraId="1DA666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3D30CC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结果维持</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05F7E06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纠正</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412499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结果</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BDFBA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尚未</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审结</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BDB49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总计</w:t>
            </w:r>
          </w:p>
        </w:tc>
        <w:tc>
          <w:tcPr>
            <w:tcW w:w="3213" w:type="dxa"/>
            <w:gridSpan w:val="5"/>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6F83D2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未经复议直接起诉</w:t>
            </w:r>
          </w:p>
        </w:tc>
        <w:tc>
          <w:tcPr>
            <w:tcW w:w="3215" w:type="dxa"/>
            <w:gridSpan w:val="5"/>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14:paraId="53C7635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复议后起诉</w:t>
            </w:r>
          </w:p>
        </w:tc>
      </w:tr>
      <w:tr w14:paraId="772211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F4F33AD">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2EC8A12A">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4CF444E3">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149C21A">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E0876CD">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8ED2E1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维持</w:t>
            </w: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7858902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纠正</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2AD69B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结果</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2A0CE16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尚未</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审结</w:t>
            </w:r>
          </w:p>
        </w:tc>
        <w:tc>
          <w:tcPr>
            <w:tcW w:w="643" w:type="dxa"/>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14:paraId="0D4647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5B9EF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687E3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66D11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其他</w:t>
            </w:r>
            <w:r>
              <w:rPr>
                <w:rFonts w:hint="eastAsia" w:ascii="仿宋_GB2312" w:hAnsi="仿宋_GB2312" w:eastAsia="仿宋_GB2312" w:cs="仿宋_GB2312"/>
                <w:color w:val="000000"/>
                <w:kern w:val="0"/>
                <w:sz w:val="28"/>
                <w:szCs w:val="28"/>
                <w:lang w:val="en-US" w:eastAsia="zh-CN" w:bidi="ar"/>
              </w:rPr>
              <w:br w:type="textWrapping"/>
            </w:r>
            <w:r>
              <w:rPr>
                <w:rFonts w:hint="eastAsia" w:ascii="仿宋_GB2312" w:hAnsi="仿宋_GB2312" w:eastAsia="仿宋_GB2312" w:cs="仿宋_GB2312"/>
                <w:color w:val="000000"/>
                <w:kern w:val="0"/>
                <w:sz w:val="28"/>
                <w:szCs w:val="28"/>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C4521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尚未</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E5243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总计</w:t>
            </w:r>
          </w:p>
        </w:tc>
      </w:tr>
      <w:tr w14:paraId="4AD7245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75" w:hRule="atLeast"/>
          <w:jc w:val="center"/>
        </w:trPr>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0DFC0F3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69AD3C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448697A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461125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57E89E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07346B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5503DD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4BB3899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25E9697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14C32B1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65CB84A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12C4F5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4C2F06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06AA9A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3F5DE5C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kern w:val="0"/>
                <w:sz w:val="28"/>
                <w:szCs w:val="28"/>
                <w:lang w:val="en-US" w:eastAsia="zh-CN" w:bidi="ar"/>
              </w:rPr>
              <w:t>0</w:t>
            </w:r>
          </w:p>
        </w:tc>
      </w:tr>
    </w:tbl>
    <w:p w14:paraId="305B08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五、存在的主要问题及改进情况</w:t>
      </w:r>
    </w:p>
    <w:p w14:paraId="7C8882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i w:val="0"/>
          <w:iCs w:val="0"/>
          <w:caps w:val="0"/>
          <w:color w:val="333333"/>
          <w:spacing w:val="0"/>
          <w:sz w:val="32"/>
          <w:szCs w:val="32"/>
          <w:shd w:val="clear" w:color="auto" w:fill="FFFFFF"/>
        </w:rPr>
        <w:t>（一）存在的问题</w:t>
      </w:r>
    </w:p>
    <w:p w14:paraId="5A9ED3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i w:val="0"/>
          <w:iCs w:val="0"/>
          <w:caps w:val="0"/>
          <w:color w:val="333333"/>
          <w:spacing w:val="0"/>
          <w:sz w:val="32"/>
          <w:szCs w:val="32"/>
          <w:shd w:val="clear" w:color="auto" w:fill="FFFFFF"/>
        </w:rPr>
        <w:t>一是公开内容需进一步完善，政策文件解读较少，解读形式困囿于文字。二是个别内容公开不及时，公开渠道较为单一。</w:t>
      </w:r>
    </w:p>
    <w:p w14:paraId="0E339A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i w:val="0"/>
          <w:iCs w:val="0"/>
          <w:caps w:val="0"/>
          <w:color w:val="333333"/>
          <w:spacing w:val="0"/>
          <w:sz w:val="32"/>
          <w:szCs w:val="32"/>
          <w:shd w:val="clear" w:color="auto" w:fill="FFFFFF"/>
        </w:rPr>
        <w:t>（二）改进措施</w:t>
      </w:r>
    </w:p>
    <w:p w14:paraId="63054A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333333"/>
          <w:spacing w:val="0"/>
          <w:sz w:val="32"/>
          <w:szCs w:val="32"/>
          <w:shd w:val="clear" w:color="auto" w:fill="FFFFFF"/>
        </w:rPr>
      </w:pPr>
      <w:r>
        <w:rPr>
          <w:rFonts w:hint="eastAsia" w:ascii="仿宋_GB2312" w:hAnsi="仿宋_GB2312" w:eastAsia="仿宋_GB2312" w:cs="仿宋_GB2312"/>
          <w:i w:val="0"/>
          <w:iCs w:val="0"/>
          <w:caps w:val="0"/>
          <w:color w:val="333333"/>
          <w:spacing w:val="0"/>
          <w:sz w:val="32"/>
          <w:szCs w:val="32"/>
          <w:shd w:val="clear" w:color="auto" w:fill="FFFFFF"/>
        </w:rPr>
        <w:t>一是提高业务水平，加大业务知识的学习和培训，明确要求全局所有工作人员要积极协助配合，及时上报公开内容。二是加强政策解读深度，丰富解读形式。三是多发布热点信息，如多发布涉及民生热点的重要政策、统计分析，加强数据解读工作。</w:t>
      </w:r>
    </w:p>
    <w:p w14:paraId="705317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六、其他需要报告的事项</w:t>
      </w:r>
    </w:p>
    <w:p w14:paraId="6CF382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left"/>
        <w:textAlignment w:val="auto"/>
      </w:pPr>
      <w:r>
        <w:rPr>
          <w:rFonts w:hint="eastAsia" w:ascii="仿宋_GB2312" w:hAnsi="仿宋_GB2312" w:eastAsia="仿宋_GB2312" w:cs="仿宋_GB2312"/>
          <w:i w:val="0"/>
          <w:iCs w:val="0"/>
          <w:caps w:val="0"/>
          <w:color w:val="333333"/>
          <w:spacing w:val="0"/>
          <w:sz w:val="32"/>
          <w:szCs w:val="32"/>
          <w:shd w:val="clear" w:color="auto" w:fill="FFFFFF"/>
        </w:rPr>
        <w:t>按照《国务院办公厅关于印发〈政府信息公开信息处理费管理办法〉的通知》（国办函〔2020〕109号）规定的按件、按量收费标准，本年度没有产生信息公开处理费。</w:t>
      </w:r>
    </w:p>
    <w:p w14:paraId="746763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left"/>
        <w:textAlignment w:val="auto"/>
      </w:pPr>
    </w:p>
    <w:p w14:paraId="4D25B2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right"/>
        <w:textAlignment w:val="auto"/>
      </w:pPr>
    </w:p>
    <w:p w14:paraId="4FA4E7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right"/>
        <w:textAlignment w:val="auto"/>
        <w:rPr>
          <w:rFonts w:hint="eastAsia" w:ascii="仿宋_GB2312" w:hAnsi="仿宋_GB2312" w:eastAsia="仿宋_GB2312" w:cs="仿宋_GB2312"/>
          <w:i w:val="0"/>
          <w:iCs w:val="0"/>
          <w:caps w:val="0"/>
          <w:color w:val="333333"/>
          <w:spacing w:val="0"/>
          <w:sz w:val="32"/>
          <w:szCs w:val="32"/>
          <w:shd w:val="clear" w:color="auto" w:fill="FFFFFF"/>
          <w:lang w:val="en-US" w:eastAsia="zh-CN"/>
        </w:rPr>
      </w:pPr>
      <w:r>
        <w:rPr>
          <w:rFonts w:hint="eastAsia" w:ascii="仿宋_GB2312" w:hAnsi="仿宋_GB2312" w:eastAsia="仿宋_GB2312" w:cs="仿宋_GB2312"/>
          <w:i w:val="0"/>
          <w:iCs w:val="0"/>
          <w:caps w:val="0"/>
          <w:color w:val="333333"/>
          <w:spacing w:val="0"/>
          <w:sz w:val="32"/>
          <w:szCs w:val="32"/>
          <w:shd w:val="clear" w:color="auto" w:fill="FFFFFF"/>
          <w:lang w:val="en-US" w:eastAsia="zh-CN"/>
        </w:rPr>
        <w:t>铜官区统计局</w:t>
      </w:r>
    </w:p>
    <w:p w14:paraId="691C44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right"/>
        <w:textAlignment w:val="auto"/>
        <w:rPr>
          <w:rFonts w:hint="default" w:ascii="仿宋_GB2312" w:hAnsi="仿宋_GB2312" w:eastAsia="仿宋_GB2312" w:cs="仿宋_GB2312"/>
          <w:i w:val="0"/>
          <w:iCs w:val="0"/>
          <w:caps w:val="0"/>
          <w:color w:val="333333"/>
          <w:spacing w:val="0"/>
          <w:sz w:val="32"/>
          <w:szCs w:val="32"/>
          <w:shd w:val="clear" w:color="auto" w:fill="FFFFFF"/>
          <w:lang w:val="en-US" w:eastAsia="zh-CN"/>
        </w:rPr>
      </w:pPr>
      <w:r>
        <w:rPr>
          <w:rFonts w:hint="eastAsia" w:ascii="仿宋_GB2312" w:hAnsi="仿宋_GB2312" w:eastAsia="仿宋_GB2312" w:cs="仿宋_GB2312"/>
          <w:i w:val="0"/>
          <w:iCs w:val="0"/>
          <w:caps w:val="0"/>
          <w:color w:val="333333"/>
          <w:spacing w:val="0"/>
          <w:sz w:val="32"/>
          <w:szCs w:val="32"/>
          <w:shd w:val="clear" w:color="auto" w:fill="FFFFFF"/>
          <w:lang w:val="en-US" w:eastAsia="zh-CN"/>
        </w:rPr>
        <w:t>2025年1月13日</w:t>
      </w:r>
    </w:p>
    <w:p w14:paraId="17EC80D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lMWJmOWNkNjU5ZWVkNTYxNjgyOTExYzE2YWM3Y2QifQ=="/>
    <w:docVar w:name="KSO_WPS_MARK_KEY" w:val="cb7b14c1-7f6a-432f-a53e-c319dee3d6a2"/>
  </w:docVars>
  <w:rsids>
    <w:rsidRoot w:val="00000000"/>
    <w:rsid w:val="007A5626"/>
    <w:rsid w:val="070C0FCE"/>
    <w:rsid w:val="0B294D42"/>
    <w:rsid w:val="0C2C7CAB"/>
    <w:rsid w:val="0C914889"/>
    <w:rsid w:val="10391DAD"/>
    <w:rsid w:val="17263548"/>
    <w:rsid w:val="176C3FEE"/>
    <w:rsid w:val="1B0C7AD6"/>
    <w:rsid w:val="21280111"/>
    <w:rsid w:val="23BF7AAF"/>
    <w:rsid w:val="2C414C55"/>
    <w:rsid w:val="31A950A7"/>
    <w:rsid w:val="331533CF"/>
    <w:rsid w:val="38AA06AD"/>
    <w:rsid w:val="428A6BAD"/>
    <w:rsid w:val="439E26D4"/>
    <w:rsid w:val="4FBF25F2"/>
    <w:rsid w:val="52875775"/>
    <w:rsid w:val="5A3D1CD5"/>
    <w:rsid w:val="5ABB5323"/>
    <w:rsid w:val="5DA0717E"/>
    <w:rsid w:val="5E785A05"/>
    <w:rsid w:val="5E873E9A"/>
    <w:rsid w:val="62BB4653"/>
    <w:rsid w:val="6370709D"/>
    <w:rsid w:val="69217DC8"/>
    <w:rsid w:val="70334E1F"/>
    <w:rsid w:val="7552369F"/>
    <w:rsid w:val="7C0970FA"/>
    <w:rsid w:val="7C664845"/>
    <w:rsid w:val="7CF17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spacing w:line="416" w:lineRule="auto"/>
      <w:outlineLvl w:val="1"/>
    </w:pPr>
    <w:rPr>
      <w:rFonts w:ascii="Cambria" w:hAnsi="Cambria"/>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1168</Words>
  <Characters>1196</Characters>
  <Lines>0</Lines>
  <Paragraphs>0</Paragraphs>
  <TotalTime>37</TotalTime>
  <ScaleCrop>false</ScaleCrop>
  <LinksUpToDate>false</LinksUpToDate>
  <CharactersWithSpaces>1254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2024-01-09T03:46:00Z</dcterms:created>
  <dc:creator>Lenovo</dc:creator>
  <cp:lastModifiedBy>飘逸离殇KiKi</cp:lastModifiedBy>
  <dcterms:modified xsi:type="dcterms:W3CDTF">2026-01-23T01:56:38Z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FA89687FF0FF42748D2EE6BB8D5621B3_12</vt:lpwstr>
  </property>
  <property fmtid="{D5CDD505-2E9C-101B-9397-08002B2CF9AE}" pid="4" name="KSOTemplateDocerSaveRecord">
    <vt:lpwstr>eyJoZGlkIjoiNDIzOGFiZWIzZWI2OWU1NWU1ZjcyNDVjODg4MWM2OWYiLCJ1c2VySWQiOiIyNDg3NDI5MjAifQ==</vt:lpwstr>
  </property>
</Properties>
</file>