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79117F">
      <w:pPr>
        <w:jc w:val="center"/>
        <w:rPr>
          <w:rFonts w:hint="eastAsia" w:ascii="仿宋_GB2312" w:hAnsi="仿宋_GB2312" w:eastAsia="仿宋_GB2312" w:cs="仿宋_GB2312"/>
          <w:sz w:val="32"/>
        </w:rPr>
      </w:pPr>
      <mc:AlternateContent>
        <mc:Choice Requires="wpsCustomData">
          <wpsCustomData:docfieldStart id="0" docfieldname="strDocTitle" hidden="0" print="1" readonly="0" index="5"/>
        </mc:Choice>
      </mc:AlternateContent>
      <w:bookmarkStart w:id="0" w:name="strDocTitle"/>
    </w:p>
    <w:p w14:paraId="4FA29E2F">
      <w:pPr>
        <w:jc w:val="center"/>
        <w:rPr>
          <w:rFonts w:hint="eastAsia" w:ascii="仿宋_GB2312" w:hAnsi="仿宋_GB2312" w:eastAsia="仿宋_GB2312" w:cs="仿宋_GB2312"/>
          <w:sz w:val="32"/>
        </w:rPr>
      </w:pPr>
    </w:p>
    <w:p w14:paraId="4341A0D3">
      <w:pPr>
        <w:jc w:val="center"/>
        <w:rPr>
          <w:rFonts w:hint="eastAsia" w:ascii="仿宋_GB2312" w:hAnsi="仿宋_GB2312" w:eastAsia="仿宋_GB2312" w:cs="仿宋_GB2312"/>
          <w:sz w:val="32"/>
        </w:rPr>
      </w:pPr>
    </w:p>
    <w:p w14:paraId="1D02F6CB">
      <w:pPr>
        <w:jc w:val="center"/>
        <w:rPr>
          <w:rFonts w:hint="eastAsia" w:ascii="仿宋_GB2312" w:hAnsi="仿宋_GB2312" w:eastAsia="仿宋_GB2312" w:cs="仿宋_GB2312"/>
          <w:sz w:val="32"/>
        </w:rPr>
      </w:pPr>
    </w:p>
    <w:p w14:paraId="178AF5FC">
      <w:pPr>
        <w:jc w:val="center"/>
        <w:rPr>
          <w:rFonts w:hint="eastAsia" w:ascii="仿宋_GB2312" w:hAnsi="仿宋_GB2312" w:eastAsia="仿宋_GB2312" w:cs="仿宋_GB2312"/>
          <w:sz w:val="32"/>
        </w:rPr>
      </w:pPr>
    </w:p>
    <w:p w14:paraId="44BE4934">
      <w:pPr>
        <w:jc w:val="center"/>
        <w:rPr>
          <w:rFonts w:hint="eastAsia" w:ascii="仿宋_GB2312" w:hAnsi="仿宋_GB2312" w:eastAsia="仿宋_GB2312" w:cs="仿宋_GB2312"/>
          <w:sz w:val="32"/>
        </w:rPr>
      </w:pPr>
    </w:p>
    <w:p w14:paraId="5391EC79">
      <w:pPr>
        <w:jc w:val="center"/>
        <w:rPr>
          <w:rFonts w:hint="eastAsia" w:ascii="仿宋_GB2312" w:hAnsi="仿宋_GB2312" w:eastAsia="仿宋_GB2312" w:cs="仿宋_GB2312"/>
          <w:sz w:val="44"/>
        </w:rPr>
      </w:pPr>
      <w:r>
        <w:rPr>
          <w:rFonts w:hint="eastAsia" w:ascii="仿宋_GB2312" w:hAnsi="仿宋_GB2312" w:eastAsia="仿宋_GB2312" w:cs="仿宋_GB2312"/>
          <w:sz w:val="32"/>
        </w:rPr>
        <w:t>铜官市监〔20</w:t>
      </w:r>
      <w:r>
        <w:rPr>
          <w:rFonts w:hint="eastAsia" w:ascii="仿宋_GB2312" w:hAnsi="仿宋_GB2312" w:eastAsia="仿宋_GB2312" w:cs="仿宋_GB2312"/>
          <w:sz w:val="32"/>
          <w:lang w:val="en-US" w:eastAsia="zh-CN"/>
        </w:rPr>
        <w:t>2</w:t>
      </w:r>
      <w:r>
        <w:rPr>
          <w:rFonts w:hint="eastAsia" w:ascii="仿宋_GB2312" w:hAnsi="仿宋_GB2312" w:cs="仿宋_GB2312"/>
          <w:sz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</w:rPr>
        <w:t>〕</w:t>
      </w:r>
      <w:r>
        <w:rPr>
          <w:rFonts w:hint="eastAsia" w:ascii="仿宋_GB2312" w:hAnsi="仿宋_GB2312" w:cs="仿宋_GB2312"/>
          <w:sz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</w:rPr>
        <w:t>号</w:t>
      </w:r>
    </w:p>
    <w:p w14:paraId="45A2017D">
      <w:pPr>
        <w:spacing w:line="570" w:lineRule="exact"/>
        <w:jc w:val="center"/>
        <w:rPr>
          <w:rFonts w:hint="eastAsia" w:ascii="方正小标宋简体" w:eastAsia="方正小标宋简体"/>
          <w:snapToGrid w:val="0"/>
          <w:sz w:val="44"/>
          <w:szCs w:val="44"/>
          <w:lang w:eastAsia="zh-CN"/>
        </w:rPr>
      </w:pPr>
    </w:p>
    <w:p w14:paraId="2906A028">
      <w:pPr>
        <w:spacing w:line="570" w:lineRule="exact"/>
        <w:jc w:val="center"/>
        <w:rPr>
          <w:rFonts w:hint="eastAsia" w:ascii="方正小标宋_GBK" w:hAnsi="方正小标宋_GBK" w:eastAsia="方正小标宋_GBK" w:cs="方正小标宋_GBK"/>
          <w:snapToGrid w:val="0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napToGrid w:val="0"/>
          <w:sz w:val="44"/>
          <w:szCs w:val="44"/>
          <w:lang w:eastAsia="zh-CN"/>
        </w:rPr>
        <w:t>关于开展今冬明春市场监管领域安全隐患排查整治工作的通知</w:t>
      </w:r>
      <w:bookmarkEnd w:id="0"/>
      <mc:AlternateContent>
        <mc:Choice Requires="wpsCustomData">
          <wpsCustomData:docfieldEnd id="0"/>
        </mc:Choice>
      </mc:AlternateContent>
    </w:p>
    <w:p w14:paraId="6B3B9B80">
      <w:pPr>
        <w:pStyle w:val="3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sz w:val="32"/>
          <w:szCs w:val="32"/>
        </w:rPr>
      </w:pPr>
      <w:r>
        <w:br w:type="textWrapping"/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各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  <w:t>市场监督管理所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：</w:t>
      </w:r>
    </w:p>
    <w:p w14:paraId="39345EB4">
      <w:pPr>
        <w:pStyle w:val="3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依据</w:t>
      </w:r>
      <w:r>
        <w:rPr>
          <w:rFonts w:hint="default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习近平总书记关于安全防范重要指示精神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及市局《关于开展今冬明春市场监管领域安全隐患排查整治工作的通知》（</w:t>
      </w:r>
      <mc:AlternateContent>
        <mc:Choice Requires="wpsCustomData">
          <wpsCustomData:docfieldStart id="1" docfieldname="strDocNo" hidden="0" print="1" readonly="0" index="1"/>
        </mc:Choice>
      </mc:AlternateContent>
      <w:bookmarkStart w:id="1" w:name="strDocNo"/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铜市监办函〔2024〕283</w:t>
      </w:r>
      <mc:AlternateContent>
        <mc:Choice Requires="wpsCustomData">
          <wpsCustomData:docfieldEnd id="1"/>
        </mc:Choice>
      </mc:AlternateContent>
      <w:bookmarkEnd w:id="1"/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号）等文件要求</w:t>
      </w:r>
      <w:r>
        <w:rPr>
          <w:rFonts w:hint="default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结合</w:t>
      </w:r>
      <w:r>
        <w:rPr>
          <w:rFonts w:hint="default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岁末年初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的</w:t>
      </w:r>
      <w:r>
        <w:rPr>
          <w:rFonts w:hint="default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安全风险特点，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铜官区将开展市场监管领域</w:t>
      </w:r>
      <w:r>
        <w:rPr>
          <w:rFonts w:hint="default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安全隐患排查整治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专项行动</w:t>
      </w:r>
      <w:r>
        <w:rPr>
          <w:rFonts w:hint="default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。现就有关事项通知如下。</w:t>
      </w:r>
    </w:p>
    <w:p w14:paraId="485E3E0E">
      <w:pPr>
        <w:pStyle w:val="3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/>
        <w:jc w:val="both"/>
        <w:textAlignment w:val="auto"/>
        <w:rPr>
          <w:color w:val="auto"/>
          <w:sz w:val="32"/>
          <w:szCs w:val="32"/>
        </w:rPr>
      </w:pPr>
      <w:r>
        <w:rPr>
          <w:rFonts w:ascii="方正黑体_GBK" w:hAnsi="方正黑体_GBK" w:eastAsia="方正黑体_GBK" w:cs="方正黑体_GBK"/>
          <w:color w:val="auto"/>
          <w:sz w:val="32"/>
          <w:szCs w:val="32"/>
        </w:rPr>
        <w:t>一、时间安排</w:t>
      </w:r>
    </w:p>
    <w:p w14:paraId="243905D6">
      <w:pPr>
        <w:pStyle w:val="3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2025年1月9日-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2025年3月底，</w:t>
      </w:r>
    </w:p>
    <w:p w14:paraId="1FA2E52A">
      <w:pPr>
        <w:pStyle w:val="3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/>
        <w:jc w:val="both"/>
        <w:textAlignment w:val="auto"/>
        <w:rPr>
          <w:color w:val="auto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</w:rPr>
        <w:t>二、工作任务</w:t>
      </w:r>
    </w:p>
    <w:p w14:paraId="0E6884AB">
      <w:pPr>
        <w:pStyle w:val="3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/>
        <w:jc w:val="both"/>
        <w:textAlignment w:val="auto"/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32"/>
        </w:rPr>
        <w:t>（一）加强特种设备安全隐患排查整治</w:t>
      </w:r>
    </w:p>
    <w:p w14:paraId="4896345B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3" w:firstLineChars="200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</w:rPr>
        <w:t>1.加强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lang w:val="en-US" w:eastAsia="zh-CN"/>
        </w:rPr>
        <w:t>超期特种设备监管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临近春节，各所要及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时对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辖区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特种设备使用单位发出提示，督促运营使用单位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及时申报检验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，避免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因节假日临近导致特种设备超期未检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。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对于已经超期的特种设备，各所要及时进</w:t>
      </w:r>
      <w:bookmarkStart w:id="2" w:name="_GoBack"/>
      <w:bookmarkEnd w:id="2"/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行现场检查，杜绝超期设备在用现象。检查发现的超期在用的特种设备使用单位，应现场下达特种设备安全监察指令书并及时移交市局支队，严格查处违法违规行为。</w:t>
      </w:r>
    </w:p>
    <w:p w14:paraId="49496B15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3" w:firstLineChars="200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</w:rPr>
        <w:t>2.深入开展特种设备安全隐患排查整治。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以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商场、医院、宾馆、游乐场所等人员密集场所特种设备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为重点，深化治本攻坚三年行动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、</w:t>
      </w: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val="en-US" w:eastAsia="zh-CN"/>
        </w:rPr>
        <w:t>电梯安全筑底三年行动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，持续推进电梯、化工企业特种设备隐患排查治理。以强化使用安全管理、加强维保监管执法为重点，持续推进住宅老旧电梯维修改造更新专项行动，推动解决电梯安全领域重点难点问题。持续推进化工企业特种设备隐患排查整治，切实消除事故隐患。深入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企业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排查整治重大事故隐患，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确保重大事故隐患判定准则宣贯落实年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。要督促相关企业加强节后复工复产期间特种设备的维护和保养，要实时组织复工复产安全检查，确保复工复产期间特种设备安全运行。</w:t>
      </w:r>
    </w:p>
    <w:p w14:paraId="7312B08C">
      <w:pPr>
        <w:pStyle w:val="3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/>
        <w:jc w:val="both"/>
        <w:textAlignment w:val="auto"/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32"/>
        </w:rPr>
        <w:t>（二）加强工业产品质量安全隐患排查整治</w:t>
      </w:r>
    </w:p>
    <w:p w14:paraId="43C30E53">
      <w:pPr>
        <w:pStyle w:val="3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</w:rPr>
        <w:t>3.全面加强烟花爆竹产品质量安全监管。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将烟花爆竹纳入重点产品监管目录，加大销售领域监督抽查力度，严格不合格产品后处理工作，涉及外省的及时移送当地市场监管部门，涉嫌犯罪的及时移送公安机关，确保问题隐患闭环整改处置。加强部门协作，积极配合应急管理、公安等部门开展联合检查，督促销售单位合规经营，依法查处制售假冒伪劣产品等质量违法行为。大力宣传引导，通过发布消费提示、发放宣传资料等方式强化线上线下一体化宣传，普及烟花爆竹安全常识，引导群众提升质量安全意识。</w:t>
      </w:r>
    </w:p>
    <w:p w14:paraId="7507564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</w:rPr>
        <w:t>4.持续推进电动自行车安全隐患全链条整治行动。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开展电动自行车经营户检查，主要检查是否</w:t>
      </w:r>
      <w:r>
        <w:rPr>
          <w:rFonts w:hint="eastAsia" w:ascii="方正仿宋_GBK" w:hAnsi="方正仿宋_GBK" w:eastAsia="方正仿宋_GBK" w:cs="方正仿宋_GBK"/>
          <w:color w:val="auto"/>
          <w:spacing w:val="-5"/>
          <w:sz w:val="32"/>
          <w:szCs w:val="32"/>
        </w:rPr>
        <w:t>存在无质量合格证、无</w:t>
      </w:r>
      <w:r>
        <w:rPr>
          <w:rFonts w:hint="eastAsia" w:ascii="方正仿宋_GBK" w:hAnsi="方正仿宋_GBK" w:eastAsia="方正仿宋_GBK" w:cs="方正仿宋_GBK"/>
          <w:color w:val="auto"/>
          <w:spacing w:val="-68"/>
          <w:sz w:val="32"/>
          <w:szCs w:val="32"/>
        </w:rPr>
        <w:t xml:space="preserve"> </w:t>
      </w:r>
      <w:r>
        <w:rPr>
          <w:rFonts w:hint="eastAsia" w:ascii="方正仿宋_GBK" w:hAnsi="方正仿宋_GBK" w:eastAsia="方正仿宋_GBK" w:cs="方正仿宋_GBK"/>
          <w:color w:val="auto"/>
          <w:spacing w:val="-5"/>
          <w:sz w:val="32"/>
          <w:szCs w:val="32"/>
        </w:rPr>
        <w:t>CCC</w:t>
      </w:r>
      <w:r>
        <w:rPr>
          <w:rFonts w:hint="eastAsia" w:ascii="方正仿宋_GBK" w:hAnsi="方正仿宋_GBK" w:eastAsia="方正仿宋_GBK" w:cs="方正仿宋_GBK"/>
          <w:color w:val="auto"/>
          <w:spacing w:val="-53"/>
          <w:sz w:val="32"/>
          <w:szCs w:val="32"/>
        </w:rPr>
        <w:t xml:space="preserve"> </w:t>
      </w:r>
      <w:r>
        <w:rPr>
          <w:rFonts w:hint="eastAsia" w:ascii="方正仿宋_GBK" w:hAnsi="方正仿宋_GBK" w:eastAsia="方正仿宋_GBK" w:cs="方正仿宋_GBK"/>
          <w:color w:val="auto"/>
          <w:spacing w:val="-5"/>
          <w:sz w:val="32"/>
          <w:szCs w:val="32"/>
        </w:rPr>
        <w:t>认证、无厂名厂址、不符合新标准</w:t>
      </w:r>
      <w:r>
        <w:rPr>
          <w:rFonts w:hint="eastAsia" w:ascii="方正仿宋_GBK" w:hAnsi="方正仿宋_GBK" w:eastAsia="方正仿宋_GBK" w:cs="方正仿宋_GBK"/>
          <w:color w:val="auto"/>
          <w:spacing w:val="-1"/>
          <w:sz w:val="32"/>
          <w:szCs w:val="32"/>
        </w:rPr>
        <w:t>安全规范要求</w:t>
      </w:r>
      <w:r>
        <w:rPr>
          <w:rFonts w:hint="eastAsia" w:ascii="方正仿宋_GBK" w:hAnsi="方正仿宋_GBK" w:eastAsia="方正仿宋_GBK" w:cs="方正仿宋_GBK"/>
          <w:color w:val="auto"/>
          <w:spacing w:val="-1"/>
          <w:sz w:val="32"/>
          <w:szCs w:val="32"/>
          <w:lang w:val="en-US" w:eastAsia="zh-CN"/>
        </w:rPr>
        <w:t>以及提供非法改装拼装、拆改限速、更换大容量蓄电池等违法违规行为，要求销售单位建立完善的进货出库台账，规范经营行为，促进新国标落实。利用检查行动和约谈，强化销售单位安全意识，普及新国标标准。开展质量安全宣传活动，通过发放标语手册、消费提示等，提升群众对电动自行车等相关产品质量辨别、选购要点、注意事项的认识。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鼓励即时配送企业给配送员统一配发电动自行车，推行共享换电模式。通过投诉举报、巡查检查、监督抽查等渠道，严厉打击非法拼装改装、制售假冒伪劣产品等行为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对于发现的违法行为，立即移交市局执法支队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。</w:t>
      </w:r>
    </w:p>
    <w:p w14:paraId="450FB3BC">
      <w:pPr>
        <w:pStyle w:val="3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</w:rPr>
        <w:t>5.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lang w:val="en-US" w:eastAsia="zh-CN"/>
        </w:rPr>
        <w:t>强化市场监管领域城镇燃气安全监管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结合城市燃气管道带病运行治理，持续推进市场监管系统城镇燃气安全专项整治，完善市场监管领域城镇燃气安全监管长效机制。</w:t>
      </w: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pacing w:val="-6"/>
          <w:kern w:val="2"/>
          <w:sz w:val="32"/>
          <w:szCs w:val="32"/>
          <w:highlight w:val="none"/>
          <w:u w:val="none"/>
          <w:lang w:val="en-US" w:eastAsia="zh-CN" w:bidi="ar-SA"/>
        </w:rPr>
        <w:t>从源头端发力，开展全覆盖检查，并定期组织第三方检验机构开展监督抽检，严厉打击销售不合格燃气器具行为，从源头杜绝“问题产品”流入市场。强化部门协同，配合燃气专班定期开展住建、商务、消防等多部门开展联合行动，形成监管合力。</w:t>
      </w:r>
    </w:p>
    <w:p w14:paraId="76037F4A">
      <w:pPr>
        <w:pStyle w:val="3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/>
        <w:jc w:val="both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</w:rPr>
        <w:t>6.着力加强重点工业产品隐患排查治理。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聚焦建筑保温材料、燃气用具、电动汽车充电桩等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产品质量安全监管，加大产品质量监督抽查和隐患排查力度，严格不合格产品后处理工作，坚持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  <w:t>发现一起，移交一起，及时移交市局执法支队，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整改复查和立案调查并举，确保问题隐患得到有效处置。提升部门协作监管水平，建立健全问题产品信息共享、协同处理机制，及时合力消除产品质量安全隐患。</w:t>
      </w:r>
    </w:p>
    <w:p w14:paraId="34EE5F49">
      <w:pPr>
        <w:pStyle w:val="3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/>
        <w:jc w:val="both"/>
        <w:textAlignment w:val="auto"/>
        <w:rPr>
          <w:rFonts w:hint="eastAsia" w:ascii="方正楷体_GBK" w:hAnsi="方正楷体_GBK" w:eastAsia="方正楷体_GBK" w:cs="方正楷体_GBK"/>
          <w:b/>
          <w:bCs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/>
          <w:bCs/>
          <w:color w:val="000000"/>
          <w:sz w:val="32"/>
          <w:szCs w:val="32"/>
        </w:rPr>
        <w:t>（三）加强无照经营查处工作</w:t>
      </w:r>
    </w:p>
    <w:p w14:paraId="582D3690">
      <w:pPr>
        <w:pStyle w:val="3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</w:rPr>
        <w:t>7.强化事故警示作用。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对照滁州来安“6.29”较大爆燃事故反映出的问题，结合落实殡葬领域专项整治、未成年人违法犯罪预防等有关工作，举一反三，不断加强对各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辖区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无照经营行为查处工作指导、传导工作压力，扎实做好查处无照经营行为各项工作。</w:t>
      </w:r>
    </w:p>
    <w:p w14:paraId="65A2BFE7">
      <w:pPr>
        <w:pStyle w:val="3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/>
        <w:jc w:val="both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</w:rPr>
        <w:t>8.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lang w:val="en-US" w:eastAsia="zh-CN"/>
        </w:rPr>
        <w:t>规范经营引导与跨部门线索联合处置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各所应主动引导相关经营者依规申领证照，确保符合条件的经营主体证照应发尽发，督促其合法规范开展经营活动。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日常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在受理群众投诉举报或日常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监管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过程中，若发现无证无照经营行为超出本部门查处权限，需第一时间通报相关部门跟进处置。</w:t>
      </w:r>
    </w:p>
    <w:p w14:paraId="6FE71EB5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1"/>
        <w:jc w:val="both"/>
        <w:textAlignment w:val="auto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</w:rPr>
        <w:t>9.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lang w:val="en-US" w:eastAsia="zh-CN"/>
        </w:rPr>
        <w:t>及时移送案件线索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因铜陵市市场监管综合行政执法改革要求，对在监管中发现的案件线索应及时报送相关部门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 w14:paraId="241247C0">
      <w:pPr>
        <w:pStyle w:val="3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/>
        <w:jc w:val="both"/>
        <w:textAlignment w:val="auto"/>
        <w:rPr>
          <w:rFonts w:ascii="楷体_GB2312" w:hAnsi="楷体_GB2312" w:eastAsia="楷体_GB2312" w:cs="楷体_GB2312"/>
          <w:color w:val="auto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32"/>
        </w:rPr>
        <w:t>（四）加强重点时段安全保障</w:t>
      </w:r>
    </w:p>
    <w:p w14:paraId="19FDA21C">
      <w:pPr>
        <w:pStyle w:val="3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/>
        <w:jc w:val="both"/>
        <w:textAlignment w:val="auto"/>
        <w:rPr>
          <w:rFonts w:hint="eastAsia" w:ascii="Times New Roman" w:hAnsi="Times New Roman" w:eastAsia="方正仿宋_GBK" w:cs="方正仿宋_GBK"/>
          <w:color w:val="auto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b/>
          <w:bCs/>
          <w:color w:val="auto"/>
          <w:sz w:val="32"/>
          <w:szCs w:val="32"/>
        </w:rPr>
        <w:t>10.强化重点时段安全保障和值班值守。</w:t>
      </w:r>
      <w:r>
        <w:rPr>
          <w:rFonts w:hint="eastAsia" w:ascii="Times New Roman" w:hAnsi="Times New Roman" w:eastAsia="方正仿宋_GBK" w:cs="方正仿宋_GBK"/>
          <w:b w:val="0"/>
          <w:bCs w:val="0"/>
          <w:color w:val="auto"/>
          <w:sz w:val="32"/>
          <w:szCs w:val="32"/>
          <w:lang w:val="en-US" w:eastAsia="zh-CN"/>
        </w:rPr>
        <w:t>正值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</w:rPr>
        <w:t>岁末年初时段，单位抢工期、抢效益意愿强烈，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  <w:lang w:val="en-US" w:eastAsia="zh-CN"/>
        </w:rPr>
        <w:t>易出现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</w:rPr>
        <w:t>从业人员疲劳、违章作业，设备超负荷运转等现象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</w:rPr>
        <w:t>安全风险增加。各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  <w:lang w:val="en-US" w:eastAsia="zh-CN"/>
        </w:rPr>
        <w:t>所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</w:rPr>
        <w:t>要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  <w:lang w:val="en-US" w:eastAsia="zh-CN"/>
        </w:rPr>
        <w:t>保持高度重视，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</w:rPr>
        <w:t>加强对重点设备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  <w:lang w:val="en-US" w:eastAsia="zh-CN"/>
        </w:rPr>
        <w:t>的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</w:rPr>
        <w:t>监督检查，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  <w:lang w:val="en-US" w:eastAsia="zh-CN"/>
        </w:rPr>
        <w:t>严厉查处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</w:rPr>
        <w:t>无证操作、关键岗位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  <w:lang w:val="en-US" w:eastAsia="zh-CN"/>
        </w:rPr>
        <w:t>脱岗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</w:rPr>
        <w:t>、设备维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  <w:lang w:val="en-US" w:eastAsia="zh-CN"/>
        </w:rPr>
        <w:t>保缺位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</w:rPr>
        <w:t>等违规行为，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  <w:lang w:val="en-US" w:eastAsia="zh-CN"/>
        </w:rPr>
        <w:t>守牢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</w:rPr>
        <w:t>安全底线。坚持线上线下一体化监管，加强对烟花爆竹、燃气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  <w:lang w:val="en-US" w:eastAsia="zh-CN"/>
        </w:rPr>
        <w:t>器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</w:rPr>
        <w:t>具、“一老一小”用品、电动自行车和冬季取暖用品等节日重点消费品的监督检查，加大对质量安全违法行为打击力度。加强值班值守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  <w:lang w:eastAsia="zh-CN"/>
        </w:rPr>
        <w:t>，在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</w:rPr>
        <w:t>元旦、春节及两会等重要时段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  <w:lang w:val="en-US" w:eastAsia="zh-CN"/>
        </w:rPr>
        <w:t>强化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</w:rPr>
        <w:t>值班值守，严格执行领导干部在岗带班制度，加强舆情监测和信息报送，对重大突发事件和重要敏感舆情事件落实1小时内信息报送要求，坚决杜绝迟报漏报谎报瞒报。</w:t>
      </w:r>
    </w:p>
    <w:p w14:paraId="5A3ADD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_GBK" w:cs="方正仿宋_GBK"/>
          <w:color w:val="000000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color w:val="auto"/>
          <w:sz w:val="32"/>
          <w:szCs w:val="32"/>
        </w:rPr>
        <w:t>各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  <w:lang w:val="en-US" w:eastAsia="zh-CN"/>
        </w:rPr>
        <w:t>所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</w:rPr>
        <w:t>要加强组织领导，结合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  <w:lang w:val="en-US" w:eastAsia="zh-CN"/>
        </w:rPr>
        <w:t>辖区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</w:rPr>
        <w:t>实际针对性明确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  <w:lang w:val="en-US" w:eastAsia="zh-CN"/>
        </w:rPr>
        <w:t>检查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</w:rPr>
        <w:t>重点、任务措施、实施方式，全面排查整治重大风险隐患，确保市场监管领域安全生产形势持续稳定。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  <w:lang w:val="en-US" w:eastAsia="zh-CN"/>
        </w:rPr>
        <w:t>同时</w:t>
      </w:r>
      <w:r>
        <w:rPr>
          <w:rFonts w:hint="eastAsia" w:ascii="Times New Roman" w:hAnsi="Times New Roman" w:eastAsia="方正仿宋_GBK" w:cs="方正仿宋_GBK"/>
          <w:color w:val="auto"/>
          <w:sz w:val="32"/>
          <w:szCs w:val="32"/>
        </w:rPr>
        <w:t>加强工作调度，层层压实责任，推动各项任务措施</w:t>
      </w:r>
      <w:r>
        <w:rPr>
          <w:rFonts w:hint="eastAsia" w:ascii="Times New Roman" w:hAnsi="Times New Roman" w:eastAsia="方正仿宋_GBK" w:cs="方正仿宋_GBK"/>
          <w:color w:val="000000"/>
          <w:sz w:val="32"/>
          <w:szCs w:val="32"/>
        </w:rPr>
        <w:t>落地见效，严防漏管失控的问题发生。</w:t>
      </w:r>
    </w:p>
    <w:p w14:paraId="1DACAF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_GBK" w:cs="方正仿宋_GBK"/>
          <w:color w:val="000000"/>
          <w:kern w:val="0"/>
          <w:sz w:val="32"/>
          <w:szCs w:val="32"/>
          <w:lang w:bidi="ar"/>
        </w:rPr>
      </w:pPr>
      <w:r>
        <w:rPr>
          <w:rFonts w:hint="eastAsia" w:ascii="Times New Roman" w:hAnsi="Times New Roman" w:eastAsia="方正仿宋_GBK" w:cs="方正仿宋_GBK"/>
          <w:color w:val="000000"/>
          <w:kern w:val="0"/>
          <w:sz w:val="32"/>
          <w:szCs w:val="32"/>
          <w:lang w:bidi="ar"/>
        </w:rPr>
        <w:t>联系人：</w:t>
      </w:r>
      <w:r>
        <w:rPr>
          <w:rFonts w:hint="eastAsia" w:ascii="Times New Roman" w:hAnsi="Times New Roman" w:eastAsia="方正仿宋_GBK" w:cs="方正仿宋_GBK"/>
          <w:color w:val="000000"/>
          <w:kern w:val="0"/>
          <w:sz w:val="32"/>
          <w:szCs w:val="32"/>
          <w:lang w:val="en-US" w:eastAsia="zh-CN" w:bidi="ar"/>
        </w:rPr>
        <w:t>牛瑜</w:t>
      </w:r>
      <w:r>
        <w:rPr>
          <w:rFonts w:hint="eastAsia" w:ascii="Times New Roman" w:hAnsi="Times New Roman" w:eastAsia="方正仿宋_GBK" w:cs="方正仿宋_GBK"/>
          <w:color w:val="000000"/>
          <w:kern w:val="0"/>
          <w:sz w:val="32"/>
          <w:szCs w:val="32"/>
          <w:lang w:bidi="ar"/>
        </w:rPr>
        <w:t>，0562</w:t>
      </w:r>
      <w:r>
        <w:rPr>
          <w:rFonts w:hint="eastAsia" w:ascii="Times New Roman" w:hAnsi="Times New Roman" w:eastAsia="方正仿宋_GBK" w:cs="方正仿宋_GBK"/>
          <w:color w:val="000000"/>
          <w:kern w:val="0"/>
          <w:sz w:val="32"/>
          <w:szCs w:val="32"/>
          <w:lang w:val="en-US" w:eastAsia="zh-CN" w:bidi="ar"/>
        </w:rPr>
        <w:t>-</w:t>
      </w:r>
      <w:r>
        <w:rPr>
          <w:rFonts w:hint="eastAsia" w:ascii="Times New Roman" w:hAnsi="Times New Roman" w:eastAsia="方正仿宋_GBK" w:cs="方正仿宋_GBK"/>
          <w:color w:val="000000"/>
          <w:kern w:val="0"/>
          <w:sz w:val="32"/>
          <w:szCs w:val="32"/>
          <w:lang w:bidi="ar"/>
        </w:rPr>
        <w:t>2213991</w:t>
      </w:r>
    </w:p>
    <w:p w14:paraId="077793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_GBK" w:cs="方正仿宋_GBK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方正仿宋_GBK" w:cs="方正仿宋_GBK"/>
          <w:color w:val="000000"/>
          <w:kern w:val="0"/>
          <w:sz w:val="32"/>
          <w:szCs w:val="32"/>
          <w:lang w:bidi="ar"/>
        </w:rPr>
        <w:t>邮箱:</w:t>
      </w:r>
      <w:r>
        <w:rPr>
          <w:rFonts w:hint="eastAsia" w:ascii="Times New Roman" w:hAnsi="Times New Roman" w:eastAsia="方正仿宋_GBK" w:cs="方正仿宋_GBK"/>
          <w:color w:val="000000"/>
          <w:kern w:val="0"/>
          <w:sz w:val="32"/>
          <w:szCs w:val="32"/>
          <w:lang w:val="en-US" w:eastAsia="zh-CN" w:bidi="ar"/>
        </w:rPr>
        <w:t>tgqsjjzjg@126.com</w:t>
      </w:r>
    </w:p>
    <w:p w14:paraId="73150F1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51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66B21A3">
      <w:pPr>
        <w:pStyle w:val="2"/>
        <w:rPr>
          <w:rFonts w:hint="eastAsia"/>
        </w:rPr>
      </w:pPr>
    </w:p>
    <w:p w14:paraId="6F286B0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510"/>
        <w:jc w:val="center"/>
        <w:textAlignment w:val="auto"/>
        <w:rPr>
          <w:rFonts w:hint="eastAsia" w:ascii="仿宋" w:hAnsi="仿宋" w:eastAsia="仿宋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kern w:val="0"/>
          <w:sz w:val="32"/>
          <w:szCs w:val="32"/>
          <w:lang w:val="en-US" w:eastAsia="zh-CN"/>
        </w:rPr>
        <w:t xml:space="preserve">                          铜官区市场监督管理局</w:t>
      </w:r>
    </w:p>
    <w:p w14:paraId="4708F55C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0" w:firstLineChars="1700"/>
        <w:textAlignment w:val="auto"/>
      </w:pP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年1月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日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7E3960"/>
    <w:rsid w:val="0E4954D5"/>
    <w:rsid w:val="117E3960"/>
    <w:rsid w:val="45A25CA0"/>
    <w:rsid w:val="47EC0873"/>
    <w:rsid w:val="48363056"/>
    <w:rsid w:val="59521201"/>
    <w:rsid w:val="6AB35369"/>
    <w:rsid w:val="7B681AE0"/>
    <w:rsid w:val="7F263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eastAsia="等线" w:cs="Times New Roman"/>
      <w:szCs w:val="22"/>
    </w:rPr>
  </w:style>
  <w:style w:type="paragraph" w:styleId="3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2317</Words>
  <Characters>2379</Characters>
  <Lines>0</Lines>
  <Paragraphs>0</Paragraphs>
  <TotalTime>10</TotalTime>
  <ScaleCrop>false</ScaleCrop>
  <LinksUpToDate>false</LinksUpToDate>
  <CharactersWithSpaces>2409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2025-01-09T01:24:00Z</dcterms:created>
  <dc:creator>somnambulist</dc:creator>
  <cp:lastModifiedBy>ZL</cp:lastModifiedBy>
  <dcterms:modified xsi:type="dcterms:W3CDTF">2025-12-19T07:12:30Z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EF09453FF55B4F968006CC65D31AC289_13</vt:lpwstr>
  </property>
  <property fmtid="{D5CDD505-2E9C-101B-9397-08002B2CF9AE}" pid="4" name="KSOTemplateDocerSaveRecord">
    <vt:lpwstr>eyJoZGlkIjoiMGYzNDUwNDMzZmZhMTMwOGVmNGI5MmRlYTEyNjMxODQiLCJ1c2VySWQiOiI1NjQyNzQ5OTUifQ==</vt:lpwstr>
  </property>
</Properties>
</file>