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A3B07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auto"/>
          <w:spacing w:val="0"/>
          <w:sz w:val="36"/>
          <w:szCs w:val="36"/>
          <w:lang w:val="en-US" w:eastAsia="zh-CN"/>
        </w:rPr>
      </w:pPr>
      <w:r>
        <w:rPr>
          <w:rFonts w:hint="eastAsia" w:ascii="方正小标宋简体" w:hAnsi="方正小标宋简体" w:eastAsia="方正小标宋简体" w:cs="方正小标宋简体"/>
          <w:i w:val="0"/>
          <w:iCs w:val="0"/>
          <w:caps w:val="0"/>
          <w:color w:val="auto"/>
          <w:spacing w:val="0"/>
          <w:sz w:val="36"/>
          <w:szCs w:val="36"/>
          <w:lang w:val="en-US" w:eastAsia="zh-CN"/>
        </w:rPr>
        <w:t>铜官区幸福社区2024年政府信息公开</w:t>
      </w:r>
    </w:p>
    <w:p w14:paraId="59B87BE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auto"/>
          <w:spacing w:val="0"/>
          <w:sz w:val="36"/>
          <w:szCs w:val="36"/>
          <w:lang w:val="en-US" w:eastAsia="zh-CN"/>
        </w:rPr>
      </w:pPr>
      <w:r>
        <w:rPr>
          <w:rFonts w:hint="eastAsia" w:ascii="方正小标宋简体" w:hAnsi="方正小标宋简体" w:eastAsia="方正小标宋简体" w:cs="方正小标宋简体"/>
          <w:i w:val="0"/>
          <w:iCs w:val="0"/>
          <w:caps w:val="0"/>
          <w:color w:val="auto"/>
          <w:spacing w:val="0"/>
          <w:sz w:val="36"/>
          <w:szCs w:val="36"/>
          <w:lang w:val="en-US" w:eastAsia="zh-CN"/>
        </w:rPr>
        <w:t>工作年度报告</w:t>
      </w:r>
    </w:p>
    <w:p w14:paraId="2E4A419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auto"/>
          <w:spacing w:val="0"/>
          <w:sz w:val="32"/>
          <w:szCs w:val="32"/>
          <w:shd w:val="clear" w:color="auto" w:fill="FFFFFF"/>
        </w:rPr>
      </w:pPr>
      <w:r>
        <w:rPr>
          <w:rFonts w:hint="eastAsia" w:ascii="仿宋_GB2312" w:hAnsi="仿宋_GB2312" w:eastAsia="仿宋_GB2312" w:cs="仿宋_GB2312"/>
          <w:i w:val="0"/>
          <w:iCs w:val="0"/>
          <w:caps w:val="0"/>
          <w:color w:val="auto"/>
          <w:spacing w:val="0"/>
          <w:sz w:val="32"/>
          <w:szCs w:val="32"/>
          <w:shd w:val="clear" w:color="auto" w:fill="FFFFFF"/>
        </w:rPr>
        <w:t>根据《中华人民共和国政府信息公开条例》（国务院令第711号）和《国务院办公厅政府信息与政务公开办公室关于印发〈中华人民共和国政府信息公开工作年度报告格式〉的通知》（国办公开办函〔2021〕30号）要求，编制本年度报告。</w:t>
      </w:r>
    </w:p>
    <w:p w14:paraId="3111612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jc w:val="both"/>
        <w:textAlignment w:val="auto"/>
        <w:rPr>
          <w:rFonts w:hint="eastAsia" w:ascii="仿宋_GB2312" w:hAnsi="微软雅黑" w:eastAsia="仿宋_GB2312" w:cs="仿宋_GB2312"/>
          <w:i w:val="0"/>
          <w:iCs w:val="0"/>
          <w:caps w:val="0"/>
          <w:color w:val="auto"/>
          <w:spacing w:val="0"/>
          <w:kern w:val="0"/>
          <w:sz w:val="32"/>
          <w:szCs w:val="32"/>
          <w:shd w:val="clear" w:fill="FFFFFF"/>
          <w:lang w:val="en-US" w:eastAsia="zh-CN" w:bidi="ar"/>
        </w:rPr>
      </w:pP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本报告所列数据的统计期限自202</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4</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年1月1日至202</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4</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年12月31日。本报告由总体情况、主动公开政府信息情况、收到和处理政府信息公开申请情况、政府信息公开行政复议、行政诉讼情况、存在的主要问题及改进情况以及其他需要报告的事项等六个部分组成。</w:t>
      </w:r>
    </w:p>
    <w:p w14:paraId="3B95B6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jc w:val="both"/>
        <w:textAlignment w:val="auto"/>
        <w:rPr>
          <w:rFonts w:hint="eastAsia" w:ascii="仿宋_GB2312" w:hAnsi="微软雅黑" w:eastAsia="仿宋_GB2312" w:cs="仿宋_GB2312"/>
          <w:i w:val="0"/>
          <w:iCs w:val="0"/>
          <w:caps w:val="0"/>
          <w:color w:val="auto"/>
          <w:spacing w:val="0"/>
          <w:kern w:val="0"/>
          <w:sz w:val="32"/>
          <w:szCs w:val="32"/>
          <w:shd w:val="clear" w:fill="FFFFFF"/>
          <w:lang w:val="en-US" w:eastAsia="zh-CN" w:bidi="ar"/>
        </w:rPr>
      </w:pP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如对本年度报告有任何疑问，请与安徽省铜陵市铜官区幸福社区联系（地址：安徽省铜陵市铜官区幸福社区</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商北34栋</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二楼；邮编：244000；电话：0562--</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2606610</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；邮箱：</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tgq</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xfsq</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w:t>
      </w:r>
      <w:r>
        <w:rPr>
          <w:rFonts w:hint="default" w:ascii="仿宋_GB2312" w:hAnsi="微软雅黑" w:eastAsia="仿宋_GB2312" w:cs="仿宋_GB2312"/>
          <w:i w:val="0"/>
          <w:iCs w:val="0"/>
          <w:caps w:val="0"/>
          <w:color w:val="auto"/>
          <w:spacing w:val="0"/>
          <w:kern w:val="0"/>
          <w:sz w:val="32"/>
          <w:szCs w:val="32"/>
          <w:shd w:val="clear" w:fill="FFFFFF"/>
          <w:lang w:val="en-US" w:eastAsia="zh-CN" w:bidi="ar"/>
        </w:rPr>
        <w:t>163.com）</w:t>
      </w:r>
    </w:p>
    <w:p w14:paraId="166422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黑体" w:hAnsi="黑体" w:eastAsia="黑体" w:cs="黑体"/>
          <w:b w:val="0"/>
          <w:bCs w:val="0"/>
          <w:i w:val="0"/>
          <w:iCs w:val="0"/>
          <w:caps w:val="0"/>
          <w:color w:val="auto"/>
          <w:spacing w:val="0"/>
          <w:sz w:val="32"/>
          <w:szCs w:val="32"/>
          <w:shd w:val="clear" w:color="auto" w:fill="FFFFFF"/>
        </w:rPr>
      </w:pPr>
      <w:r>
        <w:rPr>
          <w:rFonts w:hint="eastAsia" w:ascii="黑体" w:hAnsi="黑体" w:eastAsia="黑体" w:cs="黑体"/>
          <w:b w:val="0"/>
          <w:bCs w:val="0"/>
          <w:i w:val="0"/>
          <w:iCs w:val="0"/>
          <w:caps w:val="0"/>
          <w:color w:val="auto"/>
          <w:spacing w:val="0"/>
          <w:sz w:val="32"/>
          <w:szCs w:val="32"/>
          <w:shd w:val="clear" w:color="auto" w:fill="FFFFFF"/>
        </w:rPr>
        <w:t>一、总体情况</w:t>
      </w:r>
    </w:p>
    <w:p w14:paraId="4255A91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jc w:val="both"/>
        <w:textAlignment w:val="auto"/>
        <w:rPr>
          <w:rFonts w:hint="default" w:ascii="仿宋_GB2312" w:hAnsi="微软雅黑" w:eastAsia="仿宋_GB2312" w:cs="仿宋_GB2312"/>
          <w:i w:val="0"/>
          <w:iCs w:val="0"/>
          <w:caps w:val="0"/>
          <w:color w:val="auto"/>
          <w:spacing w:val="0"/>
          <w:kern w:val="0"/>
          <w:sz w:val="32"/>
          <w:szCs w:val="32"/>
          <w:shd w:val="clear" w:fill="FFFFFF"/>
          <w:lang w:val="en-US" w:eastAsia="zh-CN" w:bidi="ar"/>
        </w:rPr>
      </w:pP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2024年度，幸福社区继续依据政务公开主动公开制度，按照区政府的要求和统一部署，积极落实政务公开工作</w:t>
      </w:r>
      <w:r>
        <w:rPr>
          <w:rFonts w:hint="eastAsia" w:ascii="仿宋" w:hAnsi="仿宋" w:eastAsia="仿宋" w:cs="仿宋"/>
          <w:i w:val="0"/>
          <w:iCs w:val="0"/>
          <w:caps w:val="0"/>
          <w:color w:val="auto"/>
          <w:spacing w:val="0"/>
          <w:kern w:val="0"/>
          <w:sz w:val="32"/>
          <w:szCs w:val="32"/>
          <w:shd w:val="clear" w:fill="FFFFFF"/>
          <w:lang w:val="en-US" w:eastAsia="zh-CN" w:bidi="ar"/>
        </w:rPr>
        <w:t>，</w:t>
      </w:r>
      <w:r>
        <w:rPr>
          <w:rFonts w:hint="eastAsia" w:ascii="仿宋_GB2312" w:hAnsi="微软雅黑" w:eastAsia="仿宋_GB2312" w:cs="仿宋_GB2312"/>
          <w:i w:val="0"/>
          <w:iCs w:val="0"/>
          <w:caps w:val="0"/>
          <w:color w:val="auto"/>
          <w:spacing w:val="0"/>
          <w:kern w:val="0"/>
          <w:sz w:val="32"/>
          <w:szCs w:val="32"/>
          <w:shd w:val="clear" w:fill="FFFFFF"/>
          <w:lang w:val="en-US" w:eastAsia="zh-CN" w:bidi="ar"/>
        </w:rPr>
        <w:t>全面推进政务公开工作，确保做到“依法公开，真实公正，注重实效，有利监督”。</w:t>
      </w:r>
    </w:p>
    <w:p w14:paraId="4C4A95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both"/>
        <w:rPr>
          <w:rFonts w:hint="eastAsia" w:ascii="微软雅黑" w:hAnsi="微软雅黑" w:eastAsia="微软雅黑" w:cs="微软雅黑"/>
          <w:i w:val="0"/>
          <w:iCs w:val="0"/>
          <w:caps w:val="0"/>
          <w:color w:val="auto"/>
          <w:spacing w:val="0"/>
          <w:sz w:val="24"/>
          <w:szCs w:val="24"/>
          <w:highlight w:val="none"/>
        </w:rPr>
      </w:pPr>
      <w:r>
        <w:rPr>
          <w:rFonts w:ascii="仿宋" w:hAnsi="仿宋" w:eastAsia="仿宋" w:cs="仿宋"/>
          <w:b/>
          <w:bCs/>
          <w:i w:val="0"/>
          <w:iCs w:val="0"/>
          <w:caps w:val="0"/>
          <w:color w:val="auto"/>
          <w:spacing w:val="0"/>
          <w:kern w:val="0"/>
          <w:sz w:val="32"/>
          <w:szCs w:val="32"/>
          <w:highlight w:val="none"/>
          <w:shd w:val="clear" w:fill="FFFFFF"/>
          <w:lang w:val="en-US" w:eastAsia="zh-CN" w:bidi="ar"/>
        </w:rPr>
        <w:t>（一）</w:t>
      </w:r>
      <w:r>
        <w:rPr>
          <w:rFonts w:hint="eastAsia" w:ascii="仿宋" w:hAnsi="仿宋" w:eastAsia="仿宋" w:cs="仿宋"/>
          <w:b/>
          <w:bCs/>
          <w:i w:val="0"/>
          <w:iCs w:val="0"/>
          <w:caps w:val="0"/>
          <w:color w:val="auto"/>
          <w:spacing w:val="0"/>
          <w:kern w:val="0"/>
          <w:sz w:val="32"/>
          <w:szCs w:val="32"/>
          <w:highlight w:val="none"/>
          <w:shd w:val="clear" w:fill="FFFFFF"/>
          <w:lang w:val="en-US" w:eastAsia="zh-CN" w:bidi="ar"/>
        </w:rPr>
        <w:t>主动公开情况 </w:t>
      </w:r>
    </w:p>
    <w:p w14:paraId="6D2DCCC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6"/>
        <w:jc w:val="both"/>
        <w:rPr>
          <w:rFonts w:hint="eastAsia" w:ascii="仿宋" w:hAnsi="仿宋" w:eastAsia="仿宋" w:cs="仿宋"/>
          <w:i w:val="0"/>
          <w:iCs w:val="0"/>
          <w:caps w:val="0"/>
          <w:color w:val="auto"/>
          <w:spacing w:val="0"/>
          <w:kern w:val="0"/>
          <w:sz w:val="32"/>
          <w:szCs w:val="32"/>
          <w:highlight w:val="none"/>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2024年，幸福社区在政务公开工作中继续严格落实“三审制”公开原则，依据上级有关文件要求和区政府的统一部署，积极推进政务公开工作，全年主动公开政府信息共计411条。其中政策文件23件次，发布财政预决算、“三公”经费、债权债务信息7件次；社会救助信息60次件，其他工作类信息合计321件次。</w:t>
      </w:r>
      <w:r>
        <w:rPr>
          <w:rFonts w:hint="eastAsia" w:ascii="仿宋" w:hAnsi="仿宋" w:eastAsia="仿宋" w:cs="仿宋"/>
          <w:i w:val="0"/>
          <w:iCs w:val="0"/>
          <w:caps w:val="0"/>
          <w:color w:val="auto"/>
          <w:spacing w:val="0"/>
          <w:kern w:val="0"/>
          <w:sz w:val="32"/>
          <w:szCs w:val="32"/>
          <w:highlight w:val="none"/>
          <w:shd w:val="clear" w:fill="FFFFFF"/>
          <w:lang w:val="en-US" w:eastAsia="zh-CN" w:bidi="ar"/>
        </w:rPr>
        <w:t>可登录“铜官区幸福社区服务中心政府信息公开平台，（https://www.tltg.gov.cn/openness/OpennessContent/showList/1307/0/page_1.html）”查阅。</w:t>
      </w:r>
    </w:p>
    <w:p w14:paraId="714B8081">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auto"/>
          <w:spacing w:val="0"/>
          <w:sz w:val="24"/>
          <w:szCs w:val="24"/>
          <w:highlight w:val="none"/>
        </w:rPr>
      </w:pPr>
      <w:r>
        <w:rPr>
          <w:rFonts w:hint="eastAsia" w:ascii="仿宋" w:hAnsi="仿宋" w:eastAsia="仿宋" w:cs="仿宋"/>
          <w:b/>
          <w:bCs/>
          <w:i w:val="0"/>
          <w:iCs w:val="0"/>
          <w:caps w:val="0"/>
          <w:color w:val="auto"/>
          <w:spacing w:val="0"/>
          <w:kern w:val="0"/>
          <w:sz w:val="32"/>
          <w:szCs w:val="32"/>
          <w:highlight w:val="none"/>
          <w:shd w:val="clear" w:fill="FFFFFF"/>
          <w:lang w:val="en-US" w:eastAsia="zh-CN" w:bidi="ar"/>
        </w:rPr>
        <w:t>（二）</w:t>
      </w:r>
      <w:r>
        <w:rPr>
          <w:rFonts w:hint="eastAsia" w:ascii="仿宋" w:hAnsi="仿宋" w:eastAsia="仿宋" w:cs="仿宋"/>
          <w:b/>
          <w:bCs/>
          <w:i w:val="0"/>
          <w:iCs w:val="0"/>
          <w:caps w:val="0"/>
          <w:color w:val="auto"/>
          <w:spacing w:val="0"/>
          <w:kern w:val="0"/>
          <w:sz w:val="32"/>
          <w:szCs w:val="32"/>
          <w:highlight w:val="none"/>
          <w:shd w:val="clear" w:fill="FFFFFF"/>
          <w:lang w:val="en-US" w:eastAsia="zh-CN" w:bidi="ar"/>
        </w:rPr>
        <w:t>依申请公开</w:t>
      </w:r>
      <w:r>
        <w:rPr>
          <w:rFonts w:hint="eastAsia" w:ascii="仿宋" w:hAnsi="仿宋" w:eastAsia="仿宋" w:cs="仿宋"/>
          <w:b/>
          <w:bCs/>
          <w:i w:val="0"/>
          <w:iCs w:val="0"/>
          <w:caps w:val="0"/>
          <w:color w:val="auto"/>
          <w:spacing w:val="0"/>
          <w:kern w:val="0"/>
          <w:sz w:val="32"/>
          <w:szCs w:val="32"/>
          <w:highlight w:val="none"/>
          <w:shd w:val="clear" w:fill="FFFFFF"/>
          <w:lang w:val="en-US" w:eastAsia="zh-CN" w:bidi="ar"/>
        </w:rPr>
        <w:t>情况</w:t>
      </w:r>
    </w:p>
    <w:p w14:paraId="6AAD0F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仿宋_GB2312" w:hAnsi="微软雅黑" w:eastAsia="仿宋_GB2312" w:cs="仿宋_GB2312"/>
          <w:i w:val="0"/>
          <w:iCs w:val="0"/>
          <w:caps w:val="0"/>
          <w:color w:val="auto"/>
          <w:spacing w:val="0"/>
          <w:kern w:val="0"/>
          <w:sz w:val="32"/>
          <w:szCs w:val="32"/>
          <w:highlight w:val="none"/>
          <w:shd w:val="clear" w:fill="FFFFFF"/>
          <w:lang w:val="en-US" w:eastAsia="zh-CN" w:bidi="ar"/>
        </w:rPr>
      </w:pPr>
      <w:r>
        <w:rPr>
          <w:rFonts w:hint="eastAsia" w:ascii="仿宋_GB2312" w:hAnsi="微软雅黑" w:eastAsia="仿宋_GB2312" w:cs="仿宋_GB2312"/>
          <w:i w:val="0"/>
          <w:iCs w:val="0"/>
          <w:caps w:val="0"/>
          <w:color w:val="auto"/>
          <w:spacing w:val="0"/>
          <w:kern w:val="0"/>
          <w:sz w:val="32"/>
          <w:szCs w:val="32"/>
          <w:highlight w:val="none"/>
          <w:shd w:val="clear" w:fill="FFFFFF"/>
          <w:lang w:val="en-US" w:eastAsia="zh-CN" w:bidi="ar"/>
        </w:rPr>
        <w:t>2024年，幸福社区收到政府信息公开申请0件。</w:t>
      </w:r>
    </w:p>
    <w:p w14:paraId="0EAE5BC4">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auto"/>
          <w:spacing w:val="0"/>
          <w:sz w:val="24"/>
          <w:szCs w:val="24"/>
          <w:highlight w:val="none"/>
        </w:rPr>
      </w:pPr>
      <w:r>
        <w:rPr>
          <w:rFonts w:hint="eastAsia" w:ascii="仿宋" w:hAnsi="仿宋" w:eastAsia="仿宋" w:cs="仿宋"/>
          <w:b/>
          <w:bCs/>
          <w:i w:val="0"/>
          <w:iCs w:val="0"/>
          <w:caps w:val="0"/>
          <w:color w:val="auto"/>
          <w:spacing w:val="0"/>
          <w:kern w:val="0"/>
          <w:sz w:val="32"/>
          <w:szCs w:val="32"/>
          <w:highlight w:val="none"/>
          <w:shd w:val="clear" w:fill="FFFFFF"/>
          <w:lang w:val="en-US" w:eastAsia="zh-CN" w:bidi="ar"/>
        </w:rPr>
        <w:t>（三）</w:t>
      </w:r>
      <w:r>
        <w:rPr>
          <w:rFonts w:hint="eastAsia" w:ascii="仿宋" w:hAnsi="仿宋" w:eastAsia="仿宋" w:cs="仿宋"/>
          <w:b/>
          <w:bCs/>
          <w:i w:val="0"/>
          <w:iCs w:val="0"/>
          <w:caps w:val="0"/>
          <w:color w:val="auto"/>
          <w:spacing w:val="0"/>
          <w:kern w:val="0"/>
          <w:sz w:val="32"/>
          <w:szCs w:val="32"/>
          <w:highlight w:val="none"/>
          <w:shd w:val="clear" w:fill="FFFFFF"/>
          <w:lang w:val="en-US" w:eastAsia="zh-CN" w:bidi="ar"/>
        </w:rPr>
        <w:t>政府信息管理情况</w:t>
      </w:r>
    </w:p>
    <w:p w14:paraId="32E1220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6"/>
        <w:jc w:val="both"/>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highlight w:val="none"/>
          <w:shd w:val="clear" w:fill="FFFFFF"/>
          <w:lang w:val="en-US" w:eastAsia="zh-CN" w:bidi="ar"/>
        </w:rPr>
        <w:t>幸福社区进一</w:t>
      </w:r>
      <w:r>
        <w:rPr>
          <w:rFonts w:hint="eastAsia" w:ascii="仿宋" w:hAnsi="仿宋" w:eastAsia="仿宋" w:cs="仿宋"/>
          <w:i w:val="0"/>
          <w:iCs w:val="0"/>
          <w:caps w:val="0"/>
          <w:color w:val="auto"/>
          <w:spacing w:val="0"/>
          <w:kern w:val="0"/>
          <w:sz w:val="32"/>
          <w:szCs w:val="32"/>
          <w:shd w:val="clear" w:fill="FFFFFF"/>
          <w:lang w:val="en-US" w:eastAsia="zh-CN" w:bidi="ar"/>
        </w:rPr>
        <w:t>步强化了政府信息的日常管理，严格落实了专人负责制度，确保信息管理工作有序推进。通过强化公示制度的执行，进一步提升了信息公开的透明度和准确性。社区积极参与市、区有关部门举办的业务培训会和工作整改会，不断加强政务公开专员的业务能力，确保了信息发布的规范性和时效性。整体上，政府信息管理工作得到了有效优化，信息公开流程更加高效，为社区的治理和居民的知情权保障提供了有力支持。</w:t>
      </w:r>
    </w:p>
    <w:p w14:paraId="2817A0E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jc w:val="both"/>
        <w:textAlignment w:val="auto"/>
        <w:rPr>
          <w:rFonts w:hint="eastAsia" w:ascii="仿宋" w:hAnsi="仿宋" w:eastAsia="仿宋" w:cs="仿宋"/>
          <w:b/>
          <w:bCs/>
          <w:i w:val="0"/>
          <w:iCs w:val="0"/>
          <w:caps w:val="0"/>
          <w:color w:val="auto"/>
          <w:spacing w:val="0"/>
          <w:kern w:val="0"/>
          <w:sz w:val="32"/>
          <w:szCs w:val="32"/>
          <w:highlight w:val="none"/>
          <w:shd w:val="clear" w:fill="FFFFFF"/>
          <w:lang w:val="en-US" w:eastAsia="zh-CN" w:bidi="ar"/>
        </w:rPr>
      </w:pPr>
      <w:r>
        <w:rPr>
          <w:rFonts w:hint="eastAsia" w:ascii="仿宋" w:hAnsi="仿宋" w:eastAsia="仿宋" w:cs="仿宋"/>
          <w:b/>
          <w:bCs/>
          <w:i w:val="0"/>
          <w:iCs w:val="0"/>
          <w:caps w:val="0"/>
          <w:color w:val="auto"/>
          <w:spacing w:val="0"/>
          <w:kern w:val="0"/>
          <w:sz w:val="32"/>
          <w:szCs w:val="32"/>
          <w:highlight w:val="none"/>
          <w:shd w:val="clear" w:fill="FFFFFF"/>
          <w:lang w:val="en-US" w:eastAsia="zh-CN" w:bidi="ar"/>
        </w:rPr>
        <w:t>（四）政府信息公开平台建设</w:t>
      </w:r>
    </w:p>
    <w:p w14:paraId="41C55CC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highlight w:val="none"/>
          <w:shd w:val="clear" w:fill="FFFFFF"/>
          <w:lang w:val="en-US" w:eastAsia="zh-CN" w:bidi="ar"/>
        </w:rPr>
        <w:t>2024年度，幸福社区</w:t>
      </w:r>
      <w:r>
        <w:rPr>
          <w:rFonts w:hint="eastAsia" w:ascii="仿宋" w:hAnsi="仿宋" w:eastAsia="仿宋" w:cs="仿宋"/>
          <w:i w:val="0"/>
          <w:iCs w:val="0"/>
          <w:caps w:val="0"/>
          <w:color w:val="auto"/>
          <w:spacing w:val="0"/>
          <w:kern w:val="0"/>
          <w:sz w:val="32"/>
          <w:szCs w:val="32"/>
          <w:shd w:val="clear" w:fill="FFFFFF"/>
          <w:lang w:val="en-US" w:eastAsia="zh-CN" w:bidi="ar"/>
        </w:rPr>
        <w:t>在政府信息公开平台建设方面持续强化，深入落实三审制公开原则，并严格遵循政务公开主动公开制度，推动政务公开工作向更高水平发展。为了确保信息公开的合法性、真实性和公正性，社区进一步加强了线上平台的建设，通过石城广场智慧大屏与社区室内小屏的联动，扩大了信息传播的覆盖面，提升了传播效率和影响力。同时，线下政务公开专区也得到了进一步完善，不仅有效宣传了铜官区的民生政策，还推动了线下服务向线上延伸。通过这一举措，信息公开服务更加精准化、人性化、智能化，显著提高了社区治理的透明度和居民参与度。</w:t>
      </w:r>
    </w:p>
    <w:p w14:paraId="46A2454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微软雅黑" w:hAnsi="微软雅黑" w:eastAsia="微软雅黑" w:cs="微软雅黑"/>
          <w:i w:val="0"/>
          <w:iCs w:val="0"/>
          <w:caps w:val="0"/>
          <w:color w:val="auto"/>
          <w:spacing w:val="0"/>
          <w:sz w:val="24"/>
          <w:szCs w:val="24"/>
          <w:highlight w:val="none"/>
        </w:rPr>
      </w:pPr>
      <w:r>
        <w:rPr>
          <w:rFonts w:hint="eastAsia" w:ascii="仿宋" w:hAnsi="仿宋" w:eastAsia="仿宋" w:cs="仿宋"/>
          <w:b/>
          <w:bCs/>
          <w:i w:val="0"/>
          <w:iCs w:val="0"/>
          <w:caps w:val="0"/>
          <w:color w:val="auto"/>
          <w:spacing w:val="0"/>
          <w:kern w:val="0"/>
          <w:sz w:val="32"/>
          <w:szCs w:val="32"/>
          <w:highlight w:val="none"/>
          <w:shd w:val="clear" w:fill="FFFFFF"/>
          <w:lang w:val="en-US" w:eastAsia="zh-CN" w:bidi="ar"/>
        </w:rPr>
        <w:t>（五）</w:t>
      </w:r>
      <w:r>
        <w:rPr>
          <w:rFonts w:hint="default" w:ascii="仿宋_GB2312" w:hAnsi="微软雅黑" w:eastAsia="仿宋_GB2312" w:cs="仿宋_GB2312"/>
          <w:b/>
          <w:bCs/>
          <w:i w:val="0"/>
          <w:iCs w:val="0"/>
          <w:caps w:val="0"/>
          <w:color w:val="auto"/>
          <w:spacing w:val="0"/>
          <w:kern w:val="0"/>
          <w:sz w:val="32"/>
          <w:szCs w:val="32"/>
          <w:highlight w:val="none"/>
          <w:shd w:val="clear" w:fill="FFFFFF"/>
          <w:lang w:val="en-US" w:eastAsia="zh-CN" w:bidi="ar"/>
        </w:rPr>
        <w:t>监督保障</w:t>
      </w:r>
    </w:p>
    <w:p w14:paraId="7AA9093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6"/>
        <w:jc w:val="both"/>
        <w:rPr>
          <w:rFonts w:hint="eastAsia" w:ascii="仿宋" w:hAnsi="仿宋" w:eastAsia="仿宋" w:cs="仿宋"/>
          <w:i w:val="0"/>
          <w:iCs w:val="0"/>
          <w:caps w:val="0"/>
          <w:color w:val="auto"/>
          <w:spacing w:val="0"/>
          <w:kern w:val="0"/>
          <w:sz w:val="32"/>
          <w:szCs w:val="32"/>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2024年，</w:t>
      </w:r>
      <w:r>
        <w:rPr>
          <w:rFonts w:hint="eastAsia" w:ascii="仿宋" w:hAnsi="仿宋" w:eastAsia="仿宋" w:cs="仿宋"/>
          <w:i w:val="0"/>
          <w:iCs w:val="0"/>
          <w:caps w:val="0"/>
          <w:color w:val="auto"/>
          <w:spacing w:val="0"/>
          <w:kern w:val="0"/>
          <w:sz w:val="32"/>
          <w:szCs w:val="32"/>
          <w:shd w:val="clear" w:fill="FFFFFF"/>
          <w:lang w:val="en-US" w:eastAsia="zh-CN" w:bidi="ar"/>
        </w:rPr>
        <w:t>幸福社区持续推进政务公开规范化建设，通过建立健全常态化监督机制，着力提升信息公开工作质效</w:t>
      </w:r>
      <w:r>
        <w:rPr>
          <w:rFonts w:hint="eastAsia" w:ascii="仿宋" w:hAnsi="仿宋" w:eastAsia="仿宋" w:cs="仿宋"/>
          <w:i w:val="0"/>
          <w:iCs w:val="0"/>
          <w:caps w:val="0"/>
          <w:color w:val="auto"/>
          <w:spacing w:val="0"/>
          <w:kern w:val="0"/>
          <w:sz w:val="32"/>
          <w:szCs w:val="32"/>
          <w:shd w:val="clear" w:fill="FFFFFF"/>
          <w:lang w:val="en-US" w:eastAsia="zh-CN" w:bidi="ar"/>
        </w:rPr>
        <w:t>。社区加强对政务公开工作的监督，定期开展自查和整改，</w:t>
      </w:r>
      <w:r>
        <w:rPr>
          <w:rFonts w:hint="eastAsia" w:ascii="仿宋" w:hAnsi="仿宋" w:eastAsia="仿宋" w:cs="仿宋"/>
          <w:i w:val="0"/>
          <w:iCs w:val="0"/>
          <w:caps w:val="0"/>
          <w:color w:val="auto"/>
          <w:spacing w:val="0"/>
          <w:kern w:val="0"/>
          <w:sz w:val="32"/>
          <w:szCs w:val="32"/>
          <w:shd w:val="clear" w:fill="FFFFFF"/>
          <w:lang w:val="en-US" w:eastAsia="zh-CN" w:bidi="ar"/>
        </w:rPr>
        <w:t>重点排查信息公开的及时性、准确性和完整性，对发现的问题立即落实整改，</w:t>
      </w:r>
      <w:r>
        <w:rPr>
          <w:rFonts w:hint="eastAsia" w:ascii="仿宋" w:hAnsi="仿宋" w:eastAsia="仿宋" w:cs="仿宋"/>
          <w:i w:val="0"/>
          <w:iCs w:val="0"/>
          <w:caps w:val="0"/>
          <w:color w:val="auto"/>
          <w:spacing w:val="0"/>
          <w:kern w:val="0"/>
          <w:sz w:val="32"/>
          <w:szCs w:val="32"/>
          <w:shd w:val="clear" w:fill="FFFFFF"/>
          <w:lang w:val="en-US" w:eastAsia="zh-CN" w:bidi="ar"/>
        </w:rPr>
        <w:t>确保信息公开的规范性和有效性。社区积极接受社会监督，未发生政务公开责任追究情况，增强了居民的信任感。</w:t>
      </w:r>
    </w:p>
    <w:p w14:paraId="7D5BD2A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auto"/>
          <w:spacing w:val="0"/>
          <w:sz w:val="32"/>
          <w:szCs w:val="32"/>
          <w:shd w:val="clear" w:color="auto" w:fill="FFFFFF"/>
        </w:rPr>
      </w:pPr>
      <w:r>
        <w:rPr>
          <w:rFonts w:hint="eastAsia" w:ascii="黑体" w:hAnsi="黑体" w:eastAsia="黑体" w:cs="黑体"/>
          <w:b w:val="0"/>
          <w:bCs w:val="0"/>
          <w:i w:val="0"/>
          <w:iCs w:val="0"/>
          <w:caps w:val="0"/>
          <w:color w:val="auto"/>
          <w:spacing w:val="0"/>
          <w:sz w:val="32"/>
          <w:szCs w:val="32"/>
          <w:shd w:val="clear" w:color="auto" w:fill="FFFFFF"/>
        </w:rPr>
        <w:t>二、主动公开政府信息情况</w:t>
      </w:r>
    </w:p>
    <w:tbl>
      <w:tblPr>
        <w:tblStyle w:val="4"/>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2435"/>
        <w:gridCol w:w="2435"/>
        <w:gridCol w:w="2435"/>
        <w:gridCol w:w="2435"/>
      </w:tblGrid>
      <w:tr w14:paraId="58084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62994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第二十条第（一）项</w:t>
            </w:r>
          </w:p>
        </w:tc>
      </w:tr>
      <w:tr w14:paraId="2A61B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1A098B8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信息内容</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14:paraId="105223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本年</w:t>
            </w:r>
            <w:r>
              <w:rPr>
                <w:rFonts w:hint="eastAsia" w:ascii="仿宋_GB2312" w:hAnsi="仿宋_GB2312" w:eastAsia="仿宋_GB2312" w:cs="仿宋_GB2312"/>
                <w:color w:val="auto"/>
                <w:kern w:val="0"/>
                <w:sz w:val="28"/>
                <w:szCs w:val="28"/>
                <w:lang w:val="en-US" w:eastAsia="zh-CN" w:bidi="ar"/>
              </w:rPr>
              <w:t>制发件数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14:paraId="72E992A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本年废止件数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14:paraId="467362C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现行有效件</w:t>
            </w:r>
            <w:r>
              <w:rPr>
                <w:rFonts w:hint="eastAsia" w:ascii="仿宋_GB2312" w:hAnsi="仿宋_GB2312" w:eastAsia="仿宋_GB2312" w:cs="仿宋_GB2312"/>
                <w:color w:val="auto"/>
                <w:kern w:val="0"/>
                <w:sz w:val="28"/>
                <w:szCs w:val="28"/>
                <w:lang w:val="en-US" w:eastAsia="zh-CN" w:bidi="ar"/>
              </w:rPr>
              <w:t>数</w:t>
            </w:r>
          </w:p>
        </w:tc>
      </w:tr>
      <w:tr w14:paraId="3100CE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1A158D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规章</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309493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7D63F8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56644A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r>
      <w:tr w14:paraId="2370C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0BA611D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行政规范性文件</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65C0295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72DF48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0DF5052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r>
      <w:tr w14:paraId="00006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noWrap w:val="0"/>
            <w:tcMar>
              <w:left w:w="57" w:type="dxa"/>
              <w:right w:w="57" w:type="dxa"/>
            </w:tcMar>
            <w:vAlign w:val="center"/>
          </w:tcPr>
          <w:p w14:paraId="44F8CD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第二十条第（五）项</w:t>
            </w:r>
          </w:p>
        </w:tc>
      </w:tr>
      <w:tr w14:paraId="1DAE7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AA4293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16D1D0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本年处理决定数量</w:t>
            </w:r>
          </w:p>
        </w:tc>
      </w:tr>
      <w:tr w14:paraId="3283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33372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行政许可</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C6268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0</w:t>
            </w:r>
          </w:p>
        </w:tc>
      </w:tr>
      <w:tr w14:paraId="2FD93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FD929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第二十条第（六）项</w:t>
            </w:r>
          </w:p>
        </w:tc>
      </w:tr>
      <w:tr w14:paraId="6A609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751F4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59B7F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本年处理决定数量</w:t>
            </w:r>
          </w:p>
        </w:tc>
      </w:tr>
      <w:tr w14:paraId="600AC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4E784B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行政处罚</w:t>
            </w:r>
          </w:p>
        </w:tc>
        <w:tc>
          <w:tcPr>
            <w:tcW w:w="7305" w:type="dxa"/>
            <w:gridSpan w:val="3"/>
            <w:tcBorders>
              <w:top w:val="single" w:color="auto" w:sz="8" w:space="0"/>
              <w:left w:val="nil"/>
              <w:bottom w:val="single" w:color="auto" w:sz="8" w:space="0"/>
              <w:right w:val="single" w:color="auto" w:sz="8" w:space="0"/>
            </w:tcBorders>
            <w:noWrap w:val="0"/>
            <w:tcMar>
              <w:left w:w="57" w:type="dxa"/>
              <w:right w:w="57" w:type="dxa"/>
            </w:tcMar>
            <w:vAlign w:val="center"/>
          </w:tcPr>
          <w:p w14:paraId="743E22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6F2B5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0666CEC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行政强制</w:t>
            </w:r>
          </w:p>
        </w:tc>
        <w:tc>
          <w:tcPr>
            <w:tcW w:w="7305" w:type="dxa"/>
            <w:gridSpan w:val="3"/>
            <w:tcBorders>
              <w:top w:val="nil"/>
              <w:left w:val="nil"/>
              <w:bottom w:val="single" w:color="auto" w:sz="8" w:space="0"/>
              <w:right w:val="single" w:color="auto" w:sz="8" w:space="0"/>
            </w:tcBorders>
            <w:noWrap w:val="0"/>
            <w:tcMar>
              <w:left w:w="57" w:type="dxa"/>
              <w:right w:w="57" w:type="dxa"/>
            </w:tcMar>
            <w:vAlign w:val="center"/>
          </w:tcPr>
          <w:p w14:paraId="612A28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58DB2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98F74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第二十条第（八）项</w:t>
            </w:r>
          </w:p>
        </w:tc>
      </w:tr>
      <w:tr w14:paraId="6267B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0AD29B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80D6C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本年收费金额（单位：万元）</w:t>
            </w:r>
          </w:p>
        </w:tc>
      </w:tr>
      <w:tr w14:paraId="5E549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EB0828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行政事业性收费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BDEDC6E">
            <w:pPr>
              <w:keepNext w:val="0"/>
              <w:keepLines w:val="0"/>
              <w:pageBreakBefore w:val="0"/>
              <w:kinsoku/>
              <w:wordWrap/>
              <w:overflowPunct/>
              <w:topLinePunct w:val="0"/>
              <w:autoSpaceDE/>
              <w:autoSpaceDN/>
              <w:bidi w:val="0"/>
              <w:adjustRightInd/>
              <w:snapToGrid/>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bl>
    <w:p w14:paraId="50918E2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auto"/>
          <w:spacing w:val="0"/>
          <w:sz w:val="32"/>
          <w:szCs w:val="32"/>
          <w:shd w:val="clear" w:color="auto" w:fill="FFFFFF"/>
        </w:rPr>
      </w:pPr>
      <w:r>
        <w:rPr>
          <w:rFonts w:hint="eastAsia" w:ascii="黑体" w:hAnsi="黑体" w:eastAsia="黑体" w:cs="黑体"/>
          <w:b w:val="0"/>
          <w:bCs w:val="0"/>
          <w:i w:val="0"/>
          <w:iCs w:val="0"/>
          <w:caps w:val="0"/>
          <w:color w:val="auto"/>
          <w:spacing w:val="0"/>
          <w:sz w:val="32"/>
          <w:szCs w:val="32"/>
          <w:shd w:val="clear" w:color="auto" w:fill="FFFFFF"/>
        </w:rPr>
        <w:t>三、收到和处理政府信息公开申请情况</w:t>
      </w: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5"/>
        <w:gridCol w:w="959"/>
        <w:gridCol w:w="3191"/>
        <w:gridCol w:w="689"/>
        <w:gridCol w:w="689"/>
        <w:gridCol w:w="689"/>
        <w:gridCol w:w="689"/>
        <w:gridCol w:w="689"/>
        <w:gridCol w:w="689"/>
        <w:gridCol w:w="689"/>
      </w:tblGrid>
      <w:tr w14:paraId="6724533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restart"/>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50A93DF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（本列数据的勾稽关系为：第一项加第二项之和，等于第三项加第四项之和）</w:t>
            </w:r>
          </w:p>
        </w:tc>
        <w:tc>
          <w:tcPr>
            <w:tcW w:w="4823" w:type="dxa"/>
            <w:gridSpan w:val="7"/>
            <w:tcBorders>
              <w:top w:val="single" w:color="auto" w:sz="8" w:space="0"/>
              <w:left w:val="nil"/>
              <w:bottom w:val="single" w:color="auto" w:sz="8" w:space="0"/>
              <w:right w:val="single" w:color="auto" w:sz="8" w:space="0"/>
            </w:tcBorders>
            <w:noWrap w:val="0"/>
            <w:tcMar>
              <w:left w:w="57" w:type="dxa"/>
              <w:right w:w="57" w:type="dxa"/>
            </w:tcMar>
            <w:vAlign w:val="center"/>
          </w:tcPr>
          <w:p w14:paraId="59A531C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申请人情况</w:t>
            </w:r>
          </w:p>
        </w:tc>
      </w:tr>
      <w:tr w14:paraId="60DB16D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1C54086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689" w:type="dxa"/>
            <w:vMerge w:val="restart"/>
            <w:tcBorders>
              <w:top w:val="nil"/>
              <w:left w:val="nil"/>
              <w:bottom w:val="single" w:color="auto" w:sz="8" w:space="0"/>
              <w:right w:val="single" w:color="auto" w:sz="8" w:space="0"/>
            </w:tcBorders>
            <w:noWrap w:val="0"/>
            <w:tcMar>
              <w:left w:w="57" w:type="dxa"/>
              <w:right w:w="57" w:type="dxa"/>
            </w:tcMar>
            <w:vAlign w:val="center"/>
          </w:tcPr>
          <w:p w14:paraId="6A74474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自然人</w:t>
            </w:r>
          </w:p>
        </w:tc>
        <w:tc>
          <w:tcPr>
            <w:tcW w:w="3445" w:type="dxa"/>
            <w:gridSpan w:val="5"/>
            <w:tcBorders>
              <w:top w:val="single" w:color="auto" w:sz="8" w:space="0"/>
              <w:left w:val="nil"/>
              <w:bottom w:val="single" w:color="auto" w:sz="8" w:space="0"/>
              <w:right w:val="single" w:color="auto" w:sz="8" w:space="0"/>
            </w:tcBorders>
            <w:noWrap w:val="0"/>
            <w:tcMar>
              <w:left w:w="57" w:type="dxa"/>
              <w:right w:w="57" w:type="dxa"/>
            </w:tcMar>
            <w:vAlign w:val="center"/>
          </w:tcPr>
          <w:p w14:paraId="720E8C3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法人或其他组织</w:t>
            </w:r>
          </w:p>
        </w:tc>
        <w:tc>
          <w:tcPr>
            <w:tcW w:w="689" w:type="dxa"/>
            <w:vMerge w:val="restart"/>
            <w:tcBorders>
              <w:top w:val="single" w:color="auto" w:sz="8" w:space="0"/>
              <w:left w:val="nil"/>
              <w:bottom w:val="outset" w:color="auto" w:sz="8" w:space="0"/>
              <w:right w:val="single" w:color="auto" w:sz="8" w:space="0"/>
            </w:tcBorders>
            <w:noWrap w:val="0"/>
            <w:tcMar>
              <w:left w:w="57" w:type="dxa"/>
              <w:right w:w="57" w:type="dxa"/>
            </w:tcMar>
            <w:vAlign w:val="center"/>
          </w:tcPr>
          <w:p w14:paraId="26B0758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总计</w:t>
            </w:r>
          </w:p>
        </w:tc>
      </w:tr>
      <w:tr w14:paraId="19D1CE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676F7B7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689" w:type="dxa"/>
            <w:vMerge w:val="continue"/>
            <w:tcBorders>
              <w:top w:val="nil"/>
              <w:left w:val="nil"/>
              <w:bottom w:val="single" w:color="auto" w:sz="8" w:space="0"/>
              <w:right w:val="single" w:color="auto" w:sz="8" w:space="0"/>
            </w:tcBorders>
            <w:noWrap w:val="0"/>
            <w:tcMar>
              <w:left w:w="57" w:type="dxa"/>
              <w:right w:w="57" w:type="dxa"/>
            </w:tcMar>
            <w:vAlign w:val="center"/>
          </w:tcPr>
          <w:p w14:paraId="7CBCA3EF">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689" w:type="dxa"/>
            <w:tcBorders>
              <w:top w:val="nil"/>
              <w:left w:val="nil"/>
              <w:bottom w:val="single" w:color="auto" w:sz="8" w:space="0"/>
              <w:right w:val="single" w:color="auto" w:sz="8" w:space="0"/>
            </w:tcBorders>
            <w:noWrap w:val="0"/>
            <w:tcMar>
              <w:left w:w="57" w:type="dxa"/>
              <w:right w:w="57" w:type="dxa"/>
            </w:tcMar>
            <w:vAlign w:val="center"/>
          </w:tcPr>
          <w:p w14:paraId="6B9DF6D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商业</w:t>
            </w:r>
          </w:p>
          <w:p w14:paraId="387E93D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企业</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1997A5E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科研</w:t>
            </w:r>
          </w:p>
          <w:p w14:paraId="1E5BF04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机构</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0FDD263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社会公益组织</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54E94A9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法律服务机构</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22CE6A3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其他</w:t>
            </w:r>
          </w:p>
        </w:tc>
        <w:tc>
          <w:tcPr>
            <w:tcW w:w="689" w:type="dxa"/>
            <w:vMerge w:val="continue"/>
            <w:tcBorders>
              <w:top w:val="single" w:color="auto" w:sz="8" w:space="0"/>
              <w:left w:val="nil"/>
              <w:bottom w:val="outset" w:color="auto" w:sz="8" w:space="0"/>
              <w:right w:val="single" w:color="auto" w:sz="8" w:space="0"/>
            </w:tcBorders>
            <w:noWrap w:val="0"/>
            <w:tcMar>
              <w:left w:w="57" w:type="dxa"/>
              <w:right w:w="57" w:type="dxa"/>
            </w:tcMar>
            <w:vAlign w:val="center"/>
          </w:tcPr>
          <w:p w14:paraId="63082EE7">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r>
      <w:tr w14:paraId="5DFD119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3" w:hRule="atLeast"/>
          <w:jc w:val="center"/>
        </w:trPr>
        <w:tc>
          <w:tcPr>
            <w:tcW w:w="4925" w:type="dxa"/>
            <w:gridSpan w:val="3"/>
            <w:tcBorders>
              <w:top w:val="nil"/>
              <w:left w:val="single" w:color="auto" w:sz="8" w:space="0"/>
              <w:bottom w:val="single" w:color="auto" w:sz="8" w:space="0"/>
              <w:right w:val="single" w:color="auto" w:sz="8" w:space="0"/>
            </w:tcBorders>
            <w:noWrap w:val="0"/>
            <w:tcMar>
              <w:left w:w="57" w:type="dxa"/>
              <w:right w:w="57" w:type="dxa"/>
            </w:tcMar>
            <w:vAlign w:val="center"/>
          </w:tcPr>
          <w:p w14:paraId="6168C5B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一、本年新收政府信息公开申请数量</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25DCE53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7B25AD1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08EA421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496FB6A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5DEC5FB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09102A3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top"/>
          </w:tcPr>
          <w:p w14:paraId="56A5341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349FD7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3DD195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二、上年结转政府信息公开申请数量</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2F12D9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DC749D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494CD5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4C8544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DCE45F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3AF46D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top"/>
          </w:tcPr>
          <w:p w14:paraId="3960184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1A04E13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CF21DD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三、本年度办理结果</w:t>
            </w: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A8902C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（一）予以公开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D1F048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5642C1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0CEBBB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E0A898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9148FE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F22470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AE6642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6C4E142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75A5FB3">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5A1583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（二）部分公开（区分处理的，只计这一情形，不计其他情形）</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7CC22B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580F2A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8EBA2A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2BBA77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878180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7AD6C1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D083F3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30CF5C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B7E4CC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7814FF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（三）不予公开</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334933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1.属于国家秘密</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EEA3A9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A47966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A7E5DF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59B299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CDE2BA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071C8E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8520E1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1B2151F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7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25FDAA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4BE913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E7D385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2.其他法律行政法规禁止公开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ACC183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D1E105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68131E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4AA311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57398F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4B0A02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3C5A5C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1EA135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309989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BA580D7">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3DBCB2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3.危及“三安全一稳定”</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3EAB03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F3D067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98C532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2A9E6C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DE8EDB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39C6A2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33A1E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3BAB00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77A3723">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9B8F9F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8E0D7B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4.保护第三方合法权益</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4F690D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E7E72B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F76175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EEA165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13E632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9DC0BD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5F95F8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085BFB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9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A0B89F7">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262D360">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CA07C6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5.属于三类内部事务信息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0DA386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2E9FD0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898960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60BA83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687448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410182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A10337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23F4A2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F733D1B">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BF97C5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649CCB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6.属于四类过程性信息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75B34B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CF2F1B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96849C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861B51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E31649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6B4155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554226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r w14:paraId="1AF8ABC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50E2F29">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CEA74E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F9CDEB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7.属于行政执法案卷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F23905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550106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1EC9AA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D93191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639893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DAD3FC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BFE99C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35A8657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4717C8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1E2093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A5D1A4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8.属于行政查询事项</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B00D70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35230B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BAF1EE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885034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FE5974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1A62EC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42378E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7DF1D7D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DE7F0FE">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1891AE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（四）无法提供</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76C1E0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1.本机关不掌握相关政府信息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CE95C6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0BE5D5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58AB1A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DAD332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01727A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6DD41E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E873D5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5868B77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353681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B4139E3">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C3A6A9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2.没有现成信息需要另行制作</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2EFF8E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4D3DA3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4A9CA6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521F0E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417435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9A3E2D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03AAEC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42D821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54D5353">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874F24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840FA8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3.补正后申请内容仍不明确</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700809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09F8AD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0563E4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CE9D72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D0EDAF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234F5D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3DBF47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22D467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E4F6F7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572E36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（五）不予处理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21CC2A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1.信访举报投诉类申请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6AB714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7DB080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7BD88F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E4A615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9F6F79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09AD4B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8D00E0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6BBFBEF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BC5D0BC">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ADAE69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975F5C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2.重复申请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C71F9F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30DB95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103C20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724E78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263187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BC990F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B07931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6690B8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F38D94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7DC784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4428F6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3.要求提供公开出版物</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D04F17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FA7D15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6239E4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9228CD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CE76E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825350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A0CC3A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774FC6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41E3B6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E257BA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0D998F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4.无正当理由大量反复申请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5ECD97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381621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47F851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814B6F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793455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6B6F73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FAC8C7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4ECB0F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79"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0DB4682">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C5A3DEB">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D53A99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5.要求行政机关确认或重新出具已获取信息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27FD57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AC701D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D4B57C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1309B8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947E50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2285CA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14351D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20E118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E559763">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A145B4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（六）其他处理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ACC4B7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1.申请人无正当理由逾期不补正、行政机关不再处理其政府信息公开申请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D81D69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C76C7A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ED88E2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6225D6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150DD5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CB7F5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390046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54E1E9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31E39FC">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5001CD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1D06A2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2.申请人逾期未按收费通知要求缴纳费用、行政机关不再处理其政府信息公开申请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14640F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18D1CD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D385EB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6A6CC2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0BE43D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C3535E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AE3B8A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sz w:val="28"/>
                <w:szCs w:val="28"/>
                <w:lang w:val="en-US" w:eastAsia="zh-CN"/>
              </w:rPr>
              <w:t>0</w:t>
            </w:r>
          </w:p>
        </w:tc>
      </w:tr>
      <w:tr w14:paraId="27F06B8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AF7292A">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278C5F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AE63D0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3.其他</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F8D8F4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5CD41E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1E5CA6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43D443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3497DE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5E71BE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278F7B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r>
      <w:tr w14:paraId="4546B3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DF07BAE">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color w:val="auto"/>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E7A6F4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（七）总计</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F4C655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0DF093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65D1F9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0F77B5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9EEF35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4597BD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4414D5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r>
      <w:tr w14:paraId="2D035E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951CB8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四、结转下年度继续办理</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7153F60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429FA40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25C45EA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4350C52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5467A0F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2A3AC95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top"/>
          </w:tcPr>
          <w:p w14:paraId="197FE265">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bl>
    <w:p w14:paraId="2F1BB24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auto"/>
          <w:spacing w:val="0"/>
          <w:sz w:val="32"/>
          <w:szCs w:val="32"/>
        </w:rPr>
      </w:pPr>
      <w:r>
        <w:rPr>
          <w:rFonts w:hint="eastAsia" w:ascii="黑体" w:hAnsi="黑体" w:eastAsia="黑体" w:cs="黑体"/>
          <w:b w:val="0"/>
          <w:bCs w:val="0"/>
          <w:i w:val="0"/>
          <w:iCs w:val="0"/>
          <w:caps w:val="0"/>
          <w:color w:val="auto"/>
          <w:spacing w:val="0"/>
          <w:sz w:val="32"/>
          <w:szCs w:val="32"/>
          <w:shd w:val="clear" w:color="auto" w:fill="FFFFFF"/>
        </w:rPr>
        <w:t>四、政府信息公开行政复议、行政诉讼情况</w:t>
      </w: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7BB6240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210"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70F89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2F5807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行政诉讼</w:t>
            </w:r>
          </w:p>
        </w:tc>
      </w:tr>
      <w:tr w14:paraId="3EC923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52C9EF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结果维持</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4E289D8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结果</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纠正</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2E40A64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其他</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结果</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732663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尚未</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审结</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06D0BD3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总计</w:t>
            </w:r>
          </w:p>
        </w:tc>
        <w:tc>
          <w:tcPr>
            <w:tcW w:w="3213" w:type="dxa"/>
            <w:gridSpan w:val="5"/>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6D8A4FD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未经复议直接起诉</w:t>
            </w:r>
          </w:p>
        </w:tc>
        <w:tc>
          <w:tcPr>
            <w:tcW w:w="3215" w:type="dxa"/>
            <w:gridSpan w:val="5"/>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14:paraId="20A09B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复议后起诉</w:t>
            </w:r>
          </w:p>
        </w:tc>
      </w:tr>
      <w:tr w14:paraId="526289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09DAABE2">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auto"/>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77115BE2">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auto"/>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0430130F">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auto"/>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27EE6C93">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auto"/>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034175A4">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color w:val="auto"/>
                <w:sz w:val="28"/>
                <w:szCs w:val="28"/>
              </w:rPr>
            </w:pP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529444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结果</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维持</w:t>
            </w: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D236D7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结果</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纠正</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781E1A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其他</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结果</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45549F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尚未</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审结</w:t>
            </w:r>
          </w:p>
        </w:tc>
        <w:tc>
          <w:tcPr>
            <w:tcW w:w="643" w:type="dxa"/>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14:paraId="1E42CE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4B13BE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结果</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E780EC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结果</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048EDB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其他</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5A424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尚未</w:t>
            </w:r>
            <w:r>
              <w:rPr>
                <w:rFonts w:hint="eastAsia" w:ascii="仿宋_GB2312" w:hAnsi="仿宋_GB2312" w:eastAsia="仿宋_GB2312" w:cs="仿宋_GB2312"/>
                <w:color w:val="auto"/>
                <w:kern w:val="0"/>
                <w:sz w:val="28"/>
                <w:szCs w:val="28"/>
                <w:lang w:val="en-US" w:eastAsia="zh-CN" w:bidi="ar"/>
              </w:rPr>
              <w:br w:type="textWrapping"/>
            </w:r>
            <w:r>
              <w:rPr>
                <w:rFonts w:hint="eastAsia" w:ascii="仿宋_GB2312" w:hAnsi="仿宋_GB2312" w:eastAsia="仿宋_GB2312" w:cs="仿宋_GB2312"/>
                <w:color w:val="auto"/>
                <w:kern w:val="0"/>
                <w:sz w:val="28"/>
                <w:szCs w:val="28"/>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7103DB5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总计</w:t>
            </w:r>
          </w:p>
        </w:tc>
      </w:tr>
      <w:tr w14:paraId="653289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72" w:hRule="atLeast"/>
          <w:jc w:val="center"/>
        </w:trPr>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37FDC9D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6612CB5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0 </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7D0F85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0 </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2242D9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645990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694EFF1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5EB42E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0 </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3F22387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0 </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3E290E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4622004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255C88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681258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0"/>
                <w:sz w:val="28"/>
                <w:szCs w:val="28"/>
                <w:lang w:val="en-US" w:eastAsia="zh-CN" w:bidi="ar"/>
              </w:rPr>
              <w:t>0 </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77AEC5F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527D04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color w:val="auto"/>
                <w:sz w:val="28"/>
                <w:szCs w:val="28"/>
                <w:lang w:val="en-US"/>
              </w:rPr>
            </w:pPr>
            <w:r>
              <w:rPr>
                <w:rFonts w:hint="eastAsia" w:ascii="仿宋_GB2312" w:hAnsi="仿宋_GB2312" w:eastAsia="仿宋_GB2312" w:cs="仿宋_GB2312"/>
                <w:color w:val="auto"/>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5BBD249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lang w:val="en-US" w:eastAsia="zh-CN"/>
              </w:rPr>
              <w:t>0</w:t>
            </w:r>
          </w:p>
        </w:tc>
      </w:tr>
    </w:tbl>
    <w:p w14:paraId="0DEA72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auto"/>
          <w:spacing w:val="0"/>
          <w:sz w:val="32"/>
          <w:szCs w:val="32"/>
          <w:shd w:val="clear" w:color="auto" w:fill="FFFFFF"/>
        </w:rPr>
      </w:pPr>
      <w:r>
        <w:rPr>
          <w:rFonts w:hint="eastAsia" w:ascii="黑体" w:hAnsi="黑体" w:eastAsia="黑体" w:cs="黑体"/>
          <w:b w:val="0"/>
          <w:bCs w:val="0"/>
          <w:i w:val="0"/>
          <w:iCs w:val="0"/>
          <w:caps w:val="0"/>
          <w:color w:val="auto"/>
          <w:spacing w:val="0"/>
          <w:sz w:val="32"/>
          <w:szCs w:val="32"/>
          <w:shd w:val="clear" w:color="auto" w:fill="FFFFFF"/>
        </w:rPr>
        <w:t>五、存在的主要问题及改进情况</w:t>
      </w:r>
    </w:p>
    <w:p w14:paraId="3CDAAB7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6"/>
        <w:jc w:val="both"/>
        <w:rPr>
          <w:rFonts w:hint="eastAsia" w:ascii="仿宋" w:hAnsi="仿宋" w:eastAsia="仿宋" w:cs="仿宋"/>
          <w:i w:val="0"/>
          <w:iCs w:val="0"/>
          <w:caps w:val="0"/>
          <w:color w:val="auto"/>
          <w:spacing w:val="0"/>
          <w:kern w:val="0"/>
          <w:sz w:val="32"/>
          <w:szCs w:val="32"/>
          <w:highlight w:val="none"/>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2024年，社区政务公开尽管取得了一定成效，但仍面临以下问题：一是信息公开的及时性仍需进一步提高，部分信息发布存在延迟。</w:t>
      </w:r>
      <w:r>
        <w:rPr>
          <w:rFonts w:hint="eastAsia" w:ascii="仿宋" w:hAnsi="仿宋" w:eastAsia="仿宋" w:cs="仿宋"/>
          <w:i w:val="0"/>
          <w:iCs w:val="0"/>
          <w:caps w:val="0"/>
          <w:color w:val="auto"/>
          <w:spacing w:val="0"/>
          <w:kern w:val="0"/>
          <w:sz w:val="32"/>
          <w:szCs w:val="32"/>
          <w:highlight w:val="none"/>
          <w:shd w:val="clear" w:fill="FFFFFF"/>
          <w:lang w:val="en-US" w:eastAsia="zh-CN" w:bidi="ar"/>
        </w:rPr>
        <w:t>二是信息公开内容不够全面，深度和广度还有待提高。</w:t>
      </w:r>
    </w:p>
    <w:p w14:paraId="131E9EC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6"/>
        <w:jc w:val="both"/>
        <w:rPr>
          <w:rFonts w:hint="eastAsia" w:ascii="仿宋_GB2312" w:hAnsi="微软雅黑" w:eastAsia="仿宋_GB2312" w:cs="仿宋_GB2312"/>
          <w:i w:val="0"/>
          <w:iCs w:val="0"/>
          <w:caps w:val="0"/>
          <w:color w:val="auto"/>
          <w:spacing w:val="0"/>
          <w:kern w:val="0"/>
          <w:sz w:val="31"/>
          <w:szCs w:val="31"/>
          <w:highlight w:val="none"/>
          <w:shd w:val="clear" w:fill="FFFFFF"/>
          <w:lang w:val="en-US" w:eastAsia="zh-CN" w:bidi="ar"/>
        </w:rPr>
      </w:pPr>
      <w:r>
        <w:rPr>
          <w:rFonts w:hint="eastAsia" w:ascii="仿宋" w:hAnsi="仿宋" w:eastAsia="仿宋" w:cs="仿宋"/>
          <w:i w:val="0"/>
          <w:iCs w:val="0"/>
          <w:caps w:val="0"/>
          <w:color w:val="auto"/>
          <w:spacing w:val="0"/>
          <w:kern w:val="0"/>
          <w:sz w:val="32"/>
          <w:szCs w:val="32"/>
          <w:shd w:val="clear" w:fill="FFFFFF"/>
          <w:lang w:val="en-US" w:eastAsia="zh-CN" w:bidi="ar"/>
        </w:rPr>
        <w:t>针对信息公开时效性问题</w:t>
      </w:r>
      <w:bookmarkStart w:id="0" w:name="_GoBack"/>
      <w:bookmarkEnd w:id="0"/>
      <w:r>
        <w:rPr>
          <w:rFonts w:hint="eastAsia" w:ascii="仿宋" w:hAnsi="仿宋" w:eastAsia="仿宋" w:cs="仿宋"/>
          <w:i w:val="0"/>
          <w:iCs w:val="0"/>
          <w:caps w:val="0"/>
          <w:color w:val="auto"/>
          <w:spacing w:val="0"/>
          <w:kern w:val="0"/>
          <w:sz w:val="32"/>
          <w:szCs w:val="32"/>
          <w:shd w:val="clear" w:fill="FFFFFF"/>
          <w:lang w:val="en-US" w:eastAsia="zh-CN" w:bidi="ar"/>
        </w:rPr>
        <w:t>，在今后工作中我社区将持续加强督查力度，将政务公开工作纳入常态化考核，确保信息的及时发布。</w:t>
      </w:r>
      <w:r>
        <w:rPr>
          <w:rFonts w:hint="eastAsia" w:ascii="仿宋" w:hAnsi="仿宋" w:eastAsia="仿宋" w:cs="仿宋"/>
          <w:i w:val="0"/>
          <w:iCs w:val="0"/>
          <w:caps w:val="0"/>
          <w:color w:val="auto"/>
          <w:spacing w:val="0"/>
          <w:kern w:val="0"/>
          <w:sz w:val="32"/>
          <w:szCs w:val="32"/>
          <w:shd w:val="clear" w:fill="FFFFFF"/>
          <w:lang w:val="en-US" w:eastAsia="zh-CN" w:bidi="ar"/>
        </w:rPr>
        <w:t>针对信息公开的内容方面，重点加强财政资金、民生热点等信息公开。</w:t>
      </w:r>
      <w:r>
        <w:rPr>
          <w:rFonts w:hint="eastAsia" w:ascii="仿宋" w:hAnsi="仿宋" w:eastAsia="仿宋" w:cs="仿宋"/>
          <w:i w:val="0"/>
          <w:iCs w:val="0"/>
          <w:caps w:val="0"/>
          <w:color w:val="auto"/>
          <w:spacing w:val="0"/>
          <w:kern w:val="0"/>
          <w:sz w:val="32"/>
          <w:szCs w:val="32"/>
          <w:shd w:val="clear" w:fill="FFFFFF"/>
          <w:lang w:val="en-US" w:eastAsia="zh-CN" w:bidi="ar"/>
        </w:rPr>
        <w:t>继续加强培训工作人员，提升政策解读和信息发布的能力，</w:t>
      </w:r>
      <w:r>
        <w:rPr>
          <w:rFonts w:hint="eastAsia" w:ascii="仿宋" w:hAnsi="仿宋" w:eastAsia="仿宋" w:cs="仿宋"/>
          <w:i w:val="0"/>
          <w:iCs w:val="0"/>
          <w:caps w:val="0"/>
          <w:color w:val="auto"/>
          <w:spacing w:val="0"/>
          <w:kern w:val="0"/>
          <w:sz w:val="32"/>
          <w:szCs w:val="32"/>
          <w:shd w:val="clear" w:fill="FFFFFF"/>
          <w:lang w:val="en-US" w:eastAsia="zh-CN" w:bidi="ar"/>
        </w:rPr>
        <w:t>在完善现有渠道基础上，充分利用政务公开查询点，为居民提供一站式信息服务。针对老年人等特殊群体，开展“帮办代办”服务，确保信息获取无障碍。</w:t>
      </w:r>
      <w:r>
        <w:rPr>
          <w:rFonts w:hint="eastAsia" w:ascii="仿宋" w:hAnsi="仿宋" w:eastAsia="仿宋" w:cs="仿宋"/>
          <w:i w:val="0"/>
          <w:iCs w:val="0"/>
          <w:caps w:val="0"/>
          <w:color w:val="auto"/>
          <w:spacing w:val="0"/>
          <w:kern w:val="0"/>
          <w:sz w:val="32"/>
          <w:szCs w:val="32"/>
          <w:shd w:val="clear" w:fill="FFFFFF"/>
          <w:lang w:val="en-US" w:eastAsia="zh-CN" w:bidi="ar"/>
        </w:rPr>
        <w:t>推动政务公开工作深入开展，不断提升政务公开工作的水平，增强居民的获得感和满意度，努力建设更加透明、高效的社区治理体系。</w:t>
      </w:r>
    </w:p>
    <w:p w14:paraId="13DBD96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黑体" w:hAnsi="黑体" w:eastAsia="黑体" w:cs="黑体"/>
          <w:b w:val="0"/>
          <w:bCs w:val="0"/>
          <w:i w:val="0"/>
          <w:iCs w:val="0"/>
          <w:caps w:val="0"/>
          <w:color w:val="auto"/>
          <w:spacing w:val="0"/>
          <w:sz w:val="32"/>
          <w:szCs w:val="32"/>
          <w:shd w:val="clear" w:color="auto" w:fill="FFFFFF"/>
        </w:rPr>
      </w:pPr>
      <w:r>
        <w:rPr>
          <w:rFonts w:hint="eastAsia" w:ascii="黑体" w:hAnsi="黑体" w:eastAsia="黑体" w:cs="黑体"/>
          <w:b w:val="0"/>
          <w:bCs w:val="0"/>
          <w:i w:val="0"/>
          <w:iCs w:val="0"/>
          <w:caps w:val="0"/>
          <w:color w:val="auto"/>
          <w:spacing w:val="0"/>
          <w:sz w:val="32"/>
          <w:szCs w:val="32"/>
          <w:shd w:val="clear" w:color="auto" w:fill="FFFFFF"/>
        </w:rPr>
        <w:t>六、其他需要报告的事项</w:t>
      </w:r>
    </w:p>
    <w:p w14:paraId="44C9310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仿宋_GB2312" w:hAnsi="微软雅黑" w:eastAsia="仿宋_GB2312" w:cs="仿宋_GB2312"/>
          <w:i w:val="0"/>
          <w:iCs w:val="0"/>
          <w:caps w:val="0"/>
          <w:color w:val="auto"/>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auto"/>
          <w:spacing w:val="0"/>
          <w:kern w:val="0"/>
          <w:sz w:val="31"/>
          <w:szCs w:val="31"/>
          <w:highlight w:val="none"/>
          <w:shd w:val="clear" w:fill="FFFFFF"/>
          <w:lang w:val="en-US" w:eastAsia="zh-CN" w:bidi="ar"/>
        </w:rPr>
        <w:t>按照《国务院办公厅关于印发〈政府信息公开信息处理费管理办法〉的通知》（国办函〔2020〕109号）规定的按件、按量收费标准，本年度没有产生信息公开处理费</w:t>
      </w:r>
      <w:r>
        <w:rPr>
          <w:rFonts w:hint="default" w:ascii="仿宋_GB2312" w:hAnsi="微软雅黑" w:eastAsia="仿宋_GB2312" w:cs="仿宋_GB2312"/>
          <w:i w:val="0"/>
          <w:iCs w:val="0"/>
          <w:caps w:val="0"/>
          <w:color w:val="auto"/>
          <w:spacing w:val="0"/>
          <w:kern w:val="0"/>
          <w:sz w:val="31"/>
          <w:szCs w:val="31"/>
          <w:highlight w:val="none"/>
          <w:shd w:val="clear" w:fill="FFFFFF"/>
          <w:lang w:val="en-US" w:eastAsia="zh-CN" w:bidi="ar"/>
        </w:rPr>
        <w:t>。</w:t>
      </w:r>
    </w:p>
    <w:p w14:paraId="3C819B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right"/>
        <w:rPr>
          <w:rFonts w:hint="eastAsia" w:ascii="仿宋" w:hAnsi="仿宋" w:eastAsia="仿宋" w:cs="仿宋"/>
          <w:b/>
          <w:bCs/>
          <w:i w:val="0"/>
          <w:iCs w:val="0"/>
          <w:caps w:val="0"/>
          <w:color w:val="auto"/>
          <w:spacing w:val="0"/>
          <w:kern w:val="0"/>
          <w:sz w:val="32"/>
          <w:szCs w:val="32"/>
          <w:shd w:val="clear" w:fill="FFFFFF"/>
          <w:lang w:val="en-US" w:eastAsia="zh-CN" w:bidi="ar"/>
        </w:rPr>
      </w:pPr>
    </w:p>
    <w:p w14:paraId="44FD65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right"/>
        <w:rPr>
          <w:rFonts w:hint="eastAsia" w:ascii="仿宋" w:hAnsi="仿宋" w:eastAsia="仿宋" w:cs="仿宋"/>
          <w:b/>
          <w:bCs/>
          <w:i w:val="0"/>
          <w:iCs w:val="0"/>
          <w:caps w:val="0"/>
          <w:color w:val="auto"/>
          <w:spacing w:val="0"/>
          <w:kern w:val="0"/>
          <w:sz w:val="32"/>
          <w:szCs w:val="32"/>
          <w:shd w:val="clear" w:fill="FFFFFF"/>
          <w:lang w:val="en-US" w:eastAsia="zh-CN" w:bidi="ar"/>
        </w:rPr>
      </w:pPr>
    </w:p>
    <w:p w14:paraId="4DCD47C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jc w:val="right"/>
        <w:rPr>
          <w:rFonts w:hint="eastAsia" w:ascii="仿宋_GB2312" w:hAnsi="微软雅黑" w:eastAsia="仿宋_GB2312" w:cs="仿宋_GB2312"/>
          <w:i w:val="0"/>
          <w:iCs w:val="0"/>
          <w:caps w:val="0"/>
          <w:color w:val="auto"/>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auto"/>
          <w:spacing w:val="0"/>
          <w:kern w:val="0"/>
          <w:sz w:val="31"/>
          <w:szCs w:val="31"/>
          <w:highlight w:val="none"/>
          <w:shd w:val="clear" w:fill="FFFFFF"/>
          <w:lang w:val="en-US" w:eastAsia="zh-CN" w:bidi="ar"/>
        </w:rPr>
        <w:t>铜官区幸福社区</w:t>
      </w:r>
    </w:p>
    <w:p w14:paraId="6DA54DB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right="0"/>
        <w:jc w:val="right"/>
        <w:rPr>
          <w:rFonts w:hint="eastAsia" w:ascii="仿宋_GB2312" w:hAnsi="微软雅黑" w:eastAsia="仿宋_GB2312" w:cs="仿宋_GB2312"/>
          <w:i w:val="0"/>
          <w:iCs w:val="0"/>
          <w:caps w:val="0"/>
          <w:color w:val="auto"/>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auto"/>
          <w:spacing w:val="0"/>
          <w:kern w:val="0"/>
          <w:sz w:val="31"/>
          <w:szCs w:val="31"/>
          <w:highlight w:val="none"/>
          <w:shd w:val="clear" w:fill="FFFFFF"/>
          <w:lang w:val="en-US" w:eastAsia="zh-CN" w:bidi="ar"/>
        </w:rPr>
        <w:t>2025年1月23日</w:t>
      </w:r>
    </w:p>
    <w:p w14:paraId="72E2058E">
      <w:pPr>
        <w:rPr>
          <w:color w:val="auto"/>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0NTM5ZDEwMzc2MzI4YzgzNmVjMTkxMzMwODY4MGUifQ=="/>
  </w:docVars>
  <w:rsids>
    <w:rsidRoot w:val="1C8E47D9"/>
    <w:rsid w:val="00B95943"/>
    <w:rsid w:val="06B07B82"/>
    <w:rsid w:val="07DD6AB3"/>
    <w:rsid w:val="092771C6"/>
    <w:rsid w:val="0A470E54"/>
    <w:rsid w:val="0B5E54F2"/>
    <w:rsid w:val="0DF14F65"/>
    <w:rsid w:val="16922E00"/>
    <w:rsid w:val="169935F7"/>
    <w:rsid w:val="1C361FA8"/>
    <w:rsid w:val="1C832F6E"/>
    <w:rsid w:val="1C8E47D9"/>
    <w:rsid w:val="1EC75027"/>
    <w:rsid w:val="1FB57B5F"/>
    <w:rsid w:val="241C63FF"/>
    <w:rsid w:val="24BB79C6"/>
    <w:rsid w:val="24CF32D1"/>
    <w:rsid w:val="2A3374D6"/>
    <w:rsid w:val="2B6E5962"/>
    <w:rsid w:val="2E163EBF"/>
    <w:rsid w:val="346C4A4C"/>
    <w:rsid w:val="35795F9A"/>
    <w:rsid w:val="374C0952"/>
    <w:rsid w:val="38BF0AB8"/>
    <w:rsid w:val="394144E6"/>
    <w:rsid w:val="3D2A34E3"/>
    <w:rsid w:val="3F135136"/>
    <w:rsid w:val="4E382409"/>
    <w:rsid w:val="525A23A2"/>
    <w:rsid w:val="59777658"/>
    <w:rsid w:val="5AED2FF7"/>
    <w:rsid w:val="636F4AE3"/>
    <w:rsid w:val="6A9A50A3"/>
    <w:rsid w:val="6AF01018"/>
    <w:rsid w:val="720535FB"/>
    <w:rsid w:val="72484BF7"/>
    <w:rsid w:val="75864A53"/>
    <w:rsid w:val="77321C28"/>
    <w:rsid w:val="7F765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autoRedefine/>
    <w:qFormat/>
    <w:uiPriority w:val="0"/>
    <w:pPr>
      <w:keepNext/>
      <w:keepLines/>
      <w:widowControl w:val="0"/>
      <w:spacing w:line="416" w:lineRule="auto"/>
      <w:jc w:val="both"/>
      <w:outlineLvl w:val="1"/>
    </w:pPr>
    <w:rPr>
      <w:rFonts w:ascii="Cambria" w:hAnsi="Cambria" w:eastAsia="宋体" w:cs="Times New Roman"/>
      <w:b/>
      <w:bCs/>
      <w:kern w:val="2"/>
      <w:sz w:val="32"/>
      <w:szCs w:val="32"/>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Normal (Web)"/>
    <w:basedOn w:val="1"/>
    <w:autoRedefine/>
    <w:qFormat/>
    <w:uiPriority w:val="0"/>
    <w:pPr>
      <w:widowControl w:val="0"/>
      <w:spacing w:before="100" w:beforeAutospacing="1" w:after="100" w:afterAutospacing="1"/>
      <w:ind w:left="0" w:right="0"/>
      <w:jc w:val="left"/>
    </w:pPr>
    <w:rPr>
      <w:rFonts w:ascii="Calibri" w:hAnsi="Calibri" w:eastAsia="宋体" w:cs="Times New Roman"/>
      <w:kern w:val="0"/>
      <w:sz w:val="24"/>
      <w:szCs w:val="24"/>
      <w:lang w:val="en-US" w:eastAsia="zh-CN" w:bidi="ar"/>
    </w:rPr>
  </w:style>
  <w:style w:type="character" w:styleId="6">
    <w:name w:val="Hyperlink"/>
    <w:basedOn w:val="5"/>
    <w:autoRedefine/>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1446</Words>
  <Characters>1591</Characters>
  <Lines>0</Lines>
  <Paragraphs>0</Paragraphs>
  <TotalTime>9</TotalTime>
  <ScaleCrop>false</ScaleCrop>
  <LinksUpToDate>false</LinksUpToDate>
  <CharactersWithSpaces>1592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2024-01-02T09:19:00Z</dcterms:created>
  <dc:creator>Administrator</dc:creator>
  <cp:lastModifiedBy>瓷</cp:lastModifiedBy>
  <dcterms:modified xsi:type="dcterms:W3CDTF">2025-11-06T01:11:15Z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C562A453C2634DA9A4DB628E6536CB3C_13</vt:lpwstr>
  </property>
  <property fmtid="{D5CDD505-2E9C-101B-9397-08002B2CF9AE}" pid="4" name="KSOTemplateDocerSaveRecord">
    <vt:lpwstr>eyJoZGlkIjoiNjQwNzBmZjgzMDI0YTFjOWQ5NGYyZGU4YjEzZmM3ZDUiLCJ1c2VySWQiOiIzMDk0NTEzODgifQ==</vt:lpwstr>
  </property>
</Properties>
</file>