
<file path=[Content_Types].xml><?xml version="1.0" encoding="utf-8"?>
<Types xmlns="http://schemas.openxmlformats.org/package/2006/content-types">
  <Default ContentType="application/vnd.openxmlformats-package.relationships+xml" Extension="rels"/>
  <Default ContentType="image/x-wmf" Extension="wmf"/>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FZXiaoBiaoSong-B05" w:hAnsi="Times New Roman" w:cs="方正小标宋简体" w:hint="eastAsia"/>
          <w:sz w:val="44"/>
          <w:szCs w:val="44"/>
          <w:lang w:val="en-US"/>
        </w:rPr>
      </w:pPr>
      <w:r>
        <w:rPr>
          <w:rFonts w:ascii="Times New Roman" w:eastAsia="FZXiaoBiaoSong-B05" w:hAnsi="Times New Roman" w:cs="方正小标宋简体" w:hint="eastAsia"/>
          <w:sz w:val="44"/>
          <w:szCs w:val="44"/>
        </w:rPr>
        <w:t>铜陵市铜官区新城办事处2024</w:t>
      </w:r>
      <w:r>
        <w:rPr>
          <w:rFonts w:ascii="Times New Roman" w:eastAsia="FZXiaoBiaoSong-B05" w:hAnsi="Times New Roman" w:cs="方正小标宋简体" w:hint="eastAsia"/>
          <w:sz w:val="44"/>
          <w:szCs w:val="44"/>
          <w:lang w:val="en-US"/>
        </w:rPr>
        <w:t>年度</w:t>
      </w:r>
      <w:r>
        <w:rPr>
          <w:rFonts w:ascii="Times New Roman" w:eastAsia="FZXiaoBiaoSong-B05" w:hAnsi="Times New Roman" w:cs="方正小标宋简体" w:hint="eastAsia"/>
          <w:sz w:val="44"/>
          <w:szCs w:val="44"/>
        </w:rPr>
        <w:t>部门</w:t>
      </w:r>
      <w:r>
        <w:rPr>
          <w:rFonts w:ascii="Times New Roman" w:eastAsia="FZXiaoBiaoSong-B05" w:hAnsi="Times New Roman" w:cs="方正小标宋简体" w:hint="eastAsia"/>
          <w:sz w:val="44"/>
          <w:szCs w:val="44"/>
          <w:lang w:val="en-US"/>
        </w:rPr>
        <w:t>决算</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方正小标宋简体" w:hAnsi="Times New Roman" w:cs="方正小标宋简体" w:hint="eastAsia"/>
          <w:sz w:val="44"/>
          <w:szCs w:val="44"/>
          <w:lang w:val="en-US"/>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黑体" w:hAnsi="Times New Roman" w:cs="黑体" w:hint="eastAsia"/>
          <w:sz w:val="44"/>
          <w:szCs w:val="44"/>
          <w:lang w:val="en-US"/>
        </w:rPr>
        <w:sectPr>
          <w:pgSz w:w="11906" w:h="16838"/>
          <w:pgMar w:top="1440" w:right="1800" w:bottom="1440" w:left="1800" w:header="851" w:footer="992" w:gutter="0"/>
          <w:cols w:num="1" w:space="425"/>
          <w:docGrid w:type="lines" w:linePitch="312" w:charSpace="0"/>
        </w:sectPr>
      </w:pPr>
      <w:r>
        <w:rPr>
          <w:rFonts w:ascii="Times New Roman" w:eastAsia="黑体" w:hAnsi="Times New Roman" w:cs="黑体" w:hint="default"/>
          <w:sz w:val="44"/>
          <w:szCs w:val="44"/>
        </w:rPr>
        <w:t>202</w:t>
      </w:r>
      <w:r>
        <w:rPr>
          <w:rFonts w:ascii="Times New Roman" w:eastAsia="黑体" w:hAnsi="Times New Roman" w:cs="黑体" w:hint="eastAsia"/>
          <w:sz w:val="44"/>
          <w:szCs w:val="44"/>
          <w:lang w:val="en-US" w:eastAsia="zh-CN"/>
        </w:rPr>
        <w:t>5</w:t>
      </w:r>
      <w:r>
        <w:rPr>
          <w:rFonts w:ascii="Times New Roman" w:eastAsia="黑体" w:hAnsi="Times New Roman" w:cs="黑体" w:hint="eastAsia"/>
          <w:sz w:val="44"/>
          <w:szCs w:val="44"/>
          <w:lang w:val="en-US"/>
        </w:rPr>
        <w:t>年</w:t>
      </w:r>
      <w:r>
        <w:rPr>
          <w:rFonts w:ascii="Times New Roman" w:eastAsia="黑体" w:hAnsi="Times New Roman" w:cs="黑体" w:hint="eastAsia"/>
          <w:sz w:val="44"/>
          <w:szCs w:val="44"/>
          <w:lang w:val="en-US" w:eastAsia="zh-CN"/>
        </w:rPr>
        <w:t>9</w:t>
      </w:r>
      <w:bookmarkStart w:id="0" w:name="_GoBack"/>
      <w:bookmarkEnd w:id="0"/>
      <w:r>
        <w:rPr>
          <w:rFonts w:ascii="Times New Roman" w:eastAsia="黑体" w:hAnsi="Times New Roman" w:cs="黑体" w:hint="eastAsia"/>
          <w:sz w:val="44"/>
          <w:szCs w:val="44"/>
          <w:lang w:val="en-US"/>
        </w:rPr>
        <w:t>月</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黑体" w:hAnsi="Times New Roman" w:cs="黑体" w:hint="eastAsia"/>
          <w:sz w:val="48"/>
          <w:szCs w:val="48"/>
          <w:lang w:val="en-US"/>
        </w:rPr>
      </w:pPr>
      <w:r>
        <w:rPr>
          <w:rFonts w:ascii="Times New Roman" w:eastAsia="黑体" w:hAnsi="Times New Roman" w:cs="黑体" w:hint="eastAsia"/>
          <w:sz w:val="48"/>
          <w:szCs w:val="48"/>
          <w:lang w:val="en-US"/>
        </w:rPr>
        <w:t>目</w:t>
      </w:r>
      <w:r>
        <w:rPr>
          <w:rFonts w:ascii="Times New Roman" w:eastAsia="黑体" w:hAnsi="Times New Roman" w:cs="黑体" w:hint="default"/>
          <w:sz w:val="48"/>
          <w:szCs w:val="48"/>
        </w:rPr>
        <w:t xml:space="preserve">  </w:t>
      </w:r>
      <w:r>
        <w:rPr>
          <w:rFonts w:ascii="Times New Roman" w:eastAsia="黑体" w:hAnsi="Times New Roman" w:cs="黑体" w:hint="eastAsia"/>
          <w:sz w:val="48"/>
          <w:szCs w:val="48"/>
          <w:lang w:val="en-US"/>
        </w:rPr>
        <w:t>录</w:t>
      </w:r>
    </w:p>
    <w:p>
      <w:pPr>
        <w:keepNext w:val="0"/>
        <w:keepLines w:val="0"/>
        <w:pageBreakBefore w:val="0"/>
        <w:widowControl w:val="0"/>
        <w:kinsoku/>
        <w:wordWrap/>
        <w:overflowPunct/>
        <w:topLinePunct w:val="0"/>
        <w:autoSpaceDE/>
        <w:autoSpaceDN/>
        <w:bidi w:val="0"/>
        <w:adjustRightInd/>
        <w:snapToGrid/>
        <w:spacing w:before="156" w:beforeLines="50" w:line="360" w:lineRule="auto"/>
        <w:jc w:val="both"/>
        <w:textAlignment w:val="auto"/>
        <w:rPr>
          <w:rFonts w:ascii="Times New Roman" w:eastAsia="仿宋" w:hAnsi="Times New Roman" w:cs="仿宋_GB2312" w:hint="eastAsia"/>
          <w:b/>
          <w:bCs/>
          <w:sz w:val="36"/>
          <w:szCs w:val="36"/>
          <w:lang w:val="en-US"/>
        </w:rPr>
      </w:pPr>
      <w:r>
        <w:rPr>
          <w:rFonts w:ascii="Times New Roman" w:eastAsia="仿宋" w:hAnsi="Times New Roman" w:cs="仿宋_GB2312" w:hint="eastAsia"/>
          <w:b/>
          <w:bCs/>
          <w:sz w:val="36"/>
          <w:szCs w:val="36"/>
          <w:lang w:val="en-US"/>
        </w:rPr>
        <w:t>第一部分</w:t>
      </w:r>
      <w:r>
        <w:rPr>
          <w:rFonts w:ascii="Times New Roman" w:eastAsia="仿宋" w:hAnsi="Times New Roman" w:cs="仿宋_GB2312" w:hint="default"/>
          <w:b/>
          <w:bCs/>
          <w:sz w:val="36"/>
          <w:szCs w:val="36"/>
        </w:rPr>
        <w:t xml:space="preserve"> 铜陵市铜官区新城办事处</w:t>
      </w:r>
      <w:r>
        <w:rPr>
          <w:rFonts w:ascii="Times New Roman" w:eastAsia="仿宋" w:hAnsi="Times New Roman" w:cs="仿宋_GB2312" w:hint="eastAsia"/>
          <w:b/>
          <w:bCs/>
          <w:sz w:val="36"/>
          <w:szCs w:val="36"/>
          <w:lang w:val="en-US"/>
        </w:rPr>
        <w:t>概况</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eastAsia"/>
          <w:sz w:val="36"/>
          <w:szCs w:val="36"/>
          <w:lang w:val="en-US"/>
        </w:rPr>
      </w:pPr>
      <w:r>
        <w:rPr>
          <w:rFonts w:ascii="Times New Roman" w:eastAsia="仿宋" w:hAnsi="Times New Roman" w:cs="仿宋" w:hint="eastAsia"/>
          <w:sz w:val="36"/>
          <w:szCs w:val="36"/>
          <w:lang w:val="en-US"/>
        </w:rPr>
        <w:t>一</w:t>
      </w:r>
      <w:r>
        <w:rPr>
          <w:rFonts w:ascii="Times New Roman" w:eastAsia="仿宋" w:hAnsi="Times New Roman" w:cs="仿宋" w:hint="default"/>
          <w:sz w:val="36"/>
          <w:szCs w:val="36"/>
        </w:rPr>
        <w:t>、</w:t>
      </w:r>
      <w:r>
        <w:rPr>
          <w:rFonts w:ascii="Times New Roman" w:eastAsia="仿宋" w:hAnsi="Times New Roman" w:cs="仿宋" w:hint="eastAsia"/>
          <w:sz w:val="36"/>
          <w:szCs w:val="36"/>
          <w:lang w:val="en-US"/>
        </w:rPr>
        <w:t>部门职责</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eastAsia"/>
          <w:sz w:val="36"/>
          <w:szCs w:val="36"/>
          <w:lang w:val="en-US"/>
        </w:rPr>
      </w:pPr>
      <w:r>
        <w:rPr>
          <w:rFonts w:ascii="Times New Roman" w:eastAsia="仿宋" w:hAnsi="Times New Roman" w:cs="仿宋" w:hint="eastAsia"/>
          <w:sz w:val="36"/>
          <w:szCs w:val="36"/>
          <w:lang w:val="en-US"/>
        </w:rPr>
        <w:t>二</w:t>
      </w:r>
      <w:r>
        <w:rPr>
          <w:rFonts w:ascii="Times New Roman" w:eastAsia="仿宋" w:hAnsi="Times New Roman" w:cs="仿宋" w:hint="default"/>
          <w:sz w:val="36"/>
          <w:szCs w:val="36"/>
        </w:rPr>
        <w:t>、</w:t>
      </w:r>
      <w:r>
        <w:rPr>
          <w:rFonts w:ascii="Times New Roman" w:eastAsia="仿宋" w:hAnsi="Times New Roman" w:cs="仿宋" w:hint="eastAsia"/>
          <w:sz w:val="36"/>
          <w:szCs w:val="36"/>
          <w:lang w:val="en-US"/>
        </w:rPr>
        <w:t>机构设置</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_GB2312" w:hint="eastAsia"/>
          <w:b/>
          <w:bCs/>
          <w:sz w:val="36"/>
          <w:szCs w:val="36"/>
          <w:lang w:val="en-US"/>
        </w:rPr>
      </w:pPr>
      <w:r>
        <w:rPr>
          <w:rFonts w:ascii="Times New Roman" w:eastAsia="仿宋" w:hAnsi="Times New Roman" w:cs="仿宋_GB2312" w:hint="eastAsia"/>
          <w:b/>
          <w:bCs/>
          <w:sz w:val="36"/>
          <w:szCs w:val="36"/>
          <w:lang w:val="en-US"/>
        </w:rPr>
        <w:t>第二部分</w:t>
      </w:r>
      <w:r>
        <w:rPr>
          <w:rFonts w:ascii="Times New Roman" w:eastAsia="仿宋" w:hAnsi="Times New Roman" w:cs="仿宋_GB2312" w:hint="default"/>
          <w:b/>
          <w:bCs/>
          <w:sz w:val="36"/>
          <w:szCs w:val="36"/>
        </w:rPr>
        <w:t xml:space="preserve"> 铜陵市铜官区新城办事处2024</w:t>
      </w:r>
      <w:r>
        <w:rPr>
          <w:rFonts w:ascii="Times New Roman" w:eastAsia="仿宋" w:hAnsi="Times New Roman" w:cs="仿宋_GB2312" w:hint="eastAsia"/>
          <w:b/>
          <w:bCs/>
          <w:sz w:val="36"/>
          <w:szCs w:val="36"/>
          <w:lang w:val="en-US"/>
        </w:rPr>
        <w:t>年度部门决算表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eastAsia"/>
          <w:sz w:val="36"/>
          <w:szCs w:val="36"/>
          <w:lang w:val="en-US"/>
        </w:rPr>
      </w:pPr>
      <w:r>
        <w:rPr>
          <w:rFonts w:ascii="Times New Roman" w:eastAsia="仿宋" w:hAnsi="Times New Roman" w:cs="仿宋" w:hint="eastAsia"/>
          <w:sz w:val="36"/>
          <w:szCs w:val="36"/>
          <w:lang w:val="en-US"/>
        </w:rPr>
        <w:t>一</w:t>
      </w:r>
      <w:r>
        <w:rPr>
          <w:rFonts w:ascii="Times New Roman" w:eastAsia="仿宋" w:hAnsi="Times New Roman" w:cs="仿宋" w:hint="default"/>
          <w:sz w:val="36"/>
          <w:szCs w:val="36"/>
        </w:rPr>
        <w:t>、</w:t>
      </w:r>
      <w:r>
        <w:rPr>
          <w:rFonts w:ascii="Times New Roman" w:eastAsia="仿宋" w:hAnsi="Times New Roman" w:cs="仿宋" w:hint="eastAsia"/>
          <w:sz w:val="36"/>
          <w:szCs w:val="36"/>
          <w:lang w:val="en-US"/>
        </w:rPr>
        <w:t>收入支出决算总表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eastAsia"/>
          <w:sz w:val="36"/>
          <w:szCs w:val="36"/>
          <w:lang w:val="en-US"/>
        </w:rPr>
      </w:pPr>
      <w:r>
        <w:rPr>
          <w:rFonts w:ascii="Times New Roman" w:eastAsia="仿宋" w:hAnsi="Times New Roman" w:cs="仿宋" w:hint="eastAsia"/>
          <w:sz w:val="36"/>
          <w:szCs w:val="36"/>
          <w:lang w:val="en-US"/>
        </w:rPr>
        <w:t>二</w:t>
      </w:r>
      <w:r>
        <w:rPr>
          <w:rFonts w:ascii="Times New Roman" w:eastAsia="仿宋" w:hAnsi="Times New Roman" w:cs="仿宋" w:hint="default"/>
          <w:sz w:val="36"/>
          <w:szCs w:val="36"/>
        </w:rPr>
        <w:t>、</w:t>
      </w:r>
      <w:r>
        <w:rPr>
          <w:rFonts w:ascii="Times New Roman" w:eastAsia="仿宋" w:hAnsi="Times New Roman" w:cs="仿宋" w:hint="eastAsia"/>
          <w:sz w:val="36"/>
          <w:szCs w:val="36"/>
          <w:lang w:val="en-US"/>
        </w:rPr>
        <w:t>收入决算表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eastAsia"/>
          <w:sz w:val="36"/>
          <w:szCs w:val="36"/>
          <w:lang w:val="en-US"/>
        </w:rPr>
      </w:pPr>
      <w:r>
        <w:rPr>
          <w:rFonts w:ascii="Times New Roman" w:eastAsia="仿宋" w:hAnsi="Times New Roman" w:cs="仿宋" w:hint="eastAsia"/>
          <w:sz w:val="36"/>
          <w:szCs w:val="36"/>
          <w:lang w:val="en-US"/>
        </w:rPr>
        <w:t>三</w:t>
      </w:r>
      <w:r>
        <w:rPr>
          <w:rFonts w:ascii="Times New Roman" w:eastAsia="仿宋" w:hAnsi="Times New Roman" w:cs="仿宋" w:hint="default"/>
          <w:sz w:val="36"/>
          <w:szCs w:val="36"/>
        </w:rPr>
        <w:t>、</w:t>
      </w:r>
      <w:r>
        <w:rPr>
          <w:rFonts w:ascii="Times New Roman" w:eastAsia="仿宋" w:hAnsi="Times New Roman" w:cs="仿宋" w:hint="eastAsia"/>
          <w:sz w:val="36"/>
          <w:szCs w:val="36"/>
          <w:lang w:val="en-US"/>
        </w:rPr>
        <w:t>支出决算表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eastAsia"/>
          <w:sz w:val="36"/>
          <w:szCs w:val="36"/>
          <w:lang w:val="en-US"/>
        </w:rPr>
      </w:pPr>
      <w:r>
        <w:rPr>
          <w:rFonts w:ascii="Times New Roman" w:eastAsia="仿宋" w:hAnsi="Times New Roman" w:cs="仿宋" w:hint="eastAsia"/>
          <w:sz w:val="36"/>
          <w:szCs w:val="36"/>
          <w:lang w:val="en-US"/>
        </w:rPr>
        <w:t>四</w:t>
      </w:r>
      <w:r>
        <w:rPr>
          <w:rFonts w:ascii="Times New Roman" w:eastAsia="仿宋" w:hAnsi="Times New Roman" w:cs="仿宋" w:hint="default"/>
          <w:sz w:val="36"/>
          <w:szCs w:val="36"/>
        </w:rPr>
        <w:t>、</w:t>
      </w:r>
      <w:r>
        <w:rPr>
          <w:rFonts w:ascii="Times New Roman" w:eastAsia="仿宋" w:hAnsi="Times New Roman" w:cs="仿宋" w:hint="eastAsia"/>
          <w:sz w:val="36"/>
          <w:szCs w:val="36"/>
          <w:lang w:val="en-US"/>
        </w:rPr>
        <w:t>财政拨款收入支出决算总表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五、一般公共预算财政拨款支出决算表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六、一般公共预算财政拨款基本支出决算</w:t>
      </w:r>
      <w:r>
        <w:rPr>
          <w:rFonts w:ascii="Times New Roman" w:eastAsia="仿宋" w:hAnsi="Times New Roman" w:cs="仿宋" w:hint="eastAsia"/>
          <w:sz w:val="36"/>
          <w:szCs w:val="36"/>
          <w:lang w:val="en-US"/>
        </w:rPr>
        <w:t>明细</w:t>
      </w:r>
      <w:r>
        <w:rPr>
          <w:rFonts w:ascii="Times New Roman" w:eastAsia="仿宋" w:hAnsi="Times New Roman" w:cs="仿宋" w:hint="default"/>
          <w:sz w:val="36"/>
          <w:szCs w:val="36"/>
          <w:lang w:val="en-US"/>
        </w:rPr>
        <w:t>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七、政府性基金预算财政拨款收入支出决算表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八、国有资本经营预算财政拨款支出决算表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_GB2312" w:hint="default"/>
          <w:b/>
          <w:bCs/>
          <w:sz w:val="36"/>
          <w:szCs w:val="36"/>
          <w:lang w:val="en-US"/>
        </w:rPr>
      </w:pPr>
      <w:r>
        <w:rPr>
          <w:rFonts w:ascii="Times New Roman" w:eastAsia="仿宋" w:hAnsi="Times New Roman" w:cs="仿宋_GB2312" w:hint="default"/>
          <w:b/>
          <w:bCs/>
          <w:sz w:val="36"/>
          <w:szCs w:val="36"/>
          <w:lang w:val="en-US"/>
        </w:rPr>
        <w:t xml:space="preserve">第三部分 </w:t>
      </w:r>
      <w:r>
        <w:rPr>
          <w:rFonts w:ascii="Times New Roman" w:eastAsia="仿宋" w:hAnsi="Times New Roman" w:cs="仿宋_GB2312" w:hint="default"/>
          <w:b/>
          <w:bCs/>
          <w:sz w:val="36"/>
          <w:szCs w:val="36"/>
        </w:rPr>
        <w:t>铜陵市铜官区新城办事处2024</w:t>
      </w:r>
      <w:r>
        <w:rPr>
          <w:rFonts w:ascii="Times New Roman" w:eastAsia="仿宋" w:hAnsi="Times New Roman" w:cs="仿宋_GB2312" w:hint="default"/>
          <w:b/>
          <w:bCs/>
          <w:sz w:val="36"/>
          <w:szCs w:val="36"/>
          <w:lang w:val="en-US"/>
        </w:rPr>
        <w:t>年度部门决算情况说明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一、收入支出决算总体情况说明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二、收入决算情况说明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三、支出决算情况说明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四、财政拨款收入支出决算总体情况说明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五、一般公共预算财政拨款支出决算情况说明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六、一般公共预算财政拨款基本支出决算情况说明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七、政府性基金预算财政拨款收入支出决算情况说明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八、国有资本经营预算财政拨款支出决算情况说明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 w:hint="default"/>
          <w:sz w:val="36"/>
          <w:szCs w:val="36"/>
          <w:lang w:val="en-US"/>
        </w:rPr>
      </w:pPr>
      <w:r>
        <w:rPr>
          <w:rFonts w:ascii="Times New Roman" w:eastAsia="仿宋" w:hAnsi="Times New Roman" w:cs="仿宋" w:hint="default"/>
          <w:sz w:val="36"/>
          <w:szCs w:val="36"/>
          <w:lang w:val="en-US"/>
        </w:rPr>
        <w:t>九、其他重要事项情况说明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_GB2312" w:hint="default"/>
          <w:b/>
          <w:bCs/>
          <w:sz w:val="36"/>
          <w:szCs w:val="36"/>
          <w:lang w:val="en-US"/>
        </w:rPr>
      </w:pPr>
      <w:r>
        <w:rPr>
          <w:rFonts w:ascii="Times New Roman" w:eastAsia="仿宋" w:hAnsi="Times New Roman" w:cs="仿宋_GB2312" w:hint="default"/>
          <w:b/>
          <w:bCs/>
          <w:sz w:val="36"/>
          <w:szCs w:val="36"/>
          <w:lang w:val="en-US"/>
        </w:rPr>
        <w:t>第四部分  名词解释</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imes New Roman" w:eastAsia="仿宋" w:hAnsi="Times New Roman" w:cs="仿宋_GB2312" w:hint="default"/>
          <w:b w:val="0"/>
          <w:bCs w:val="0"/>
          <w:sz w:val="36"/>
          <w:szCs w:val="36"/>
          <w:lang w:val="en-US"/>
        </w:rPr>
      </w:pPr>
      <w:r>
        <w:rPr>
          <w:rFonts w:ascii="Times New Roman" w:eastAsia="仿宋" w:hAnsi="Times New Roman" w:cs="仿宋_GB2312" w:hint="default"/>
          <w:b/>
          <w:bCs/>
          <w:sz w:val="36"/>
          <w:szCs w:val="36"/>
          <w:lang w:val="en-US"/>
        </w:rPr>
        <w:t>附件：</w:t>
      </w:r>
      <w:r>
        <w:rPr>
          <w:rFonts w:ascii="Times New Roman" w:eastAsia="仿宋" w:hAnsi="Times New Roman" w:cs="仿宋_GB2312" w:hint="default"/>
          <w:b w:val="0"/>
          <w:bCs w:val="0"/>
          <w:sz w:val="36"/>
          <w:szCs w:val="36"/>
          <w:lang w:val="en-US"/>
        </w:rPr>
        <w:t>1.2024年度项目支出绩效自评表</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jc w:val="both"/>
        <w:textAlignment w:val="auto"/>
        <w:rPr>
          <w:rFonts w:ascii="Times New Roman" w:eastAsia="仿宋" w:hAnsi="Times New Roman" w:cs="仿宋" w:hint="default"/>
          <w:b w:val="0"/>
          <w:bCs w:val="0"/>
          <w:sz w:val="36"/>
          <w:szCs w:val="36"/>
        </w:rPr>
        <w:sectPr>
          <w:pgSz w:w="11906" w:h="16838"/>
          <w:pgMar w:top="1440" w:right="1800" w:bottom="1440" w:left="1800" w:header="851" w:footer="992" w:gutter="0"/>
          <w:cols w:num="1" w:space="425"/>
          <w:docGrid w:type="lines" w:linePitch="312" w:charSpace="0"/>
        </w:sectPr>
      </w:pPr>
      <w:r>
        <w:rPr>
          <w:rFonts w:ascii="Times New Roman" w:eastAsia="仿宋" w:hAnsi="Times New Roman" w:cs="仿宋_GB2312" w:hint="default"/>
          <w:b w:val="0"/>
          <w:bCs w:val="0"/>
          <w:sz w:val="36"/>
          <w:szCs w:val="36"/>
          <w:lang w:val="en-US"/>
        </w:rPr>
        <w:t>2.2024年度民营企业发展资金项目绩效评价报告</w:t>
      </w:r>
    </w:p>
    <w:p>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ascii="Times New Roman" w:eastAsia="黑体" w:hAnsi="Times New Roman" w:cs="黑体" w:hint="eastAsia"/>
          <w:sz w:val="32"/>
          <w:szCs w:val="32"/>
          <w:lang w:val="en-US"/>
        </w:rPr>
      </w:pPr>
      <w:r>
        <w:rPr>
          <w:rFonts w:ascii="Times New Roman" w:eastAsia="黑体" w:hAnsi="Times New Roman" w:cs="黑体" w:hint="eastAsia"/>
          <w:sz w:val="32"/>
          <w:szCs w:val="32"/>
          <w:lang w:val="en-US"/>
        </w:rPr>
        <w:t>第一部分</w:t>
      </w:r>
      <w:r>
        <w:rPr>
          <w:rFonts w:ascii="Times New Roman" w:eastAsia="黑体" w:hAnsi="Times New Roman" w:cs="黑体" w:hint="eastAsia"/>
          <w:sz w:val="32"/>
          <w:szCs w:val="32"/>
        </w:rPr>
        <w:t xml:space="preserve"> 铜陵市铜官区新城办事处</w:t>
      </w:r>
      <w:r>
        <w:rPr>
          <w:rFonts w:ascii="Times New Roman" w:eastAsia="黑体" w:hAnsi="Times New Roman" w:cs="黑体" w:hint="eastAsia"/>
          <w:sz w:val="32"/>
          <w:szCs w:val="32"/>
          <w:lang w:val="en-US"/>
        </w:rPr>
        <w:t>概况</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lang w:val="en-US"/>
        </w:rPr>
      </w:pPr>
      <w:r>
        <w:rPr>
          <w:rFonts w:ascii="Times New Roman" w:eastAsia="黑体" w:hAnsi="Times New Roman" w:cs="黑体" w:hint="eastAsia"/>
          <w:sz w:val="32"/>
          <w:szCs w:val="32"/>
          <w:lang w:val="en-US"/>
        </w:rPr>
        <w:t>一</w:t>
      </w:r>
      <w:r>
        <w:rPr>
          <w:rFonts w:ascii="Times New Roman" w:eastAsia="黑体" w:hAnsi="Times New Roman" w:cs="黑体" w:hint="default"/>
          <w:sz w:val="32"/>
          <w:szCs w:val="32"/>
        </w:rPr>
        <w:t>、部门</w:t>
      </w:r>
      <w:r>
        <w:rPr>
          <w:rFonts w:ascii="Times New Roman" w:eastAsia="黑体" w:hAnsi="Times New Roman" w:cs="黑体" w:hint="eastAsia"/>
          <w:sz w:val="32"/>
          <w:szCs w:val="32"/>
          <w:lang w:val="en-US"/>
        </w:rPr>
        <w:t>职责</w:t>
      </w:r>
    </w:p>
    <w:p>
      <w:pPr>
        <w:jc w:val="both"/>
      </w:pPr>
      <w:r>
        <w:rPr>
          <w:rFonts w:ascii="Times New Roman" w:eastAsia="仿宋" w:hAnsi="Times New Roman"/>
          <w:b w:val="0"/>
          <w:sz w:val="32"/>
        </w:rPr>
        <w:t>　　（一）贯彻执行党和国家的路线方针、政策以及市、区关于办事处工作方面的指示，制订具体的管理办法并组织实施。</w:t>
      </w:r>
    </w:p>
    <w:p>
      <w:pPr>
        <w:jc w:val="both"/>
      </w:pPr>
      <w:r>
        <w:rPr>
          <w:rFonts w:ascii="Times New Roman" w:eastAsia="仿宋" w:hAnsi="Times New Roman"/>
          <w:b w:val="0"/>
          <w:sz w:val="32"/>
        </w:rPr>
        <w:t>　　（二）负责社区建设和管理服务，支持、帮助社区加强思想、组织、制度建设，指导基层依法自治，向上级人民政府和有关部分及时反映居民的意见、建议和诉求。</w:t>
      </w:r>
    </w:p>
    <w:p>
      <w:pPr>
        <w:jc w:val="both"/>
      </w:pPr>
      <w:r>
        <w:rPr>
          <w:rFonts w:ascii="Times New Roman" w:eastAsia="仿宋" w:hAnsi="Times New Roman"/>
          <w:b w:val="0"/>
          <w:sz w:val="32"/>
        </w:rPr>
        <w:t>　　（三）负责辖区社会救济、社会福利、社会保障、医疗保障、计划生育、卫生健康、住房保障、教育、体育、残疾人服务、就业创业服务、拥军优属、优抚安置、民兵、兵役等工作。</w:t>
      </w:r>
    </w:p>
    <w:p>
      <w:pPr>
        <w:jc w:val="both"/>
      </w:pPr>
      <w:r>
        <w:rPr>
          <w:rFonts w:ascii="Times New Roman" w:eastAsia="仿宋" w:hAnsi="Times New Roman"/>
          <w:b w:val="0"/>
          <w:sz w:val="32"/>
        </w:rPr>
        <w:t>　　（四）负责辖区内的维护稳定工作及社会治安综合治理工作；负责民事调解，法律服务工作，维护居民的合法权益。</w:t>
      </w:r>
    </w:p>
    <w:p>
      <w:pPr>
        <w:jc w:val="both"/>
      </w:pPr>
      <w:r>
        <w:rPr>
          <w:rFonts w:ascii="Times New Roman" w:eastAsia="仿宋" w:hAnsi="Times New Roman"/>
          <w:b w:val="0"/>
          <w:sz w:val="32"/>
        </w:rPr>
        <w:t>　　（五）负责辖区精神文明建设、物业管理、城市管理、市容管理、城管执法、生态环保、安全生产、市场监管等工作。</w:t>
      </w:r>
    </w:p>
    <w:p>
      <w:pPr>
        <w:jc w:val="both"/>
      </w:pPr>
      <w:r>
        <w:rPr>
          <w:rFonts w:ascii="Times New Roman" w:eastAsia="仿宋" w:hAnsi="Times New Roman"/>
          <w:b w:val="0"/>
          <w:sz w:val="32"/>
        </w:rPr>
        <w:t>　　（六）发展辖区经济，管理辖区国有资产和集体资产。</w:t>
      </w:r>
    </w:p>
    <w:p>
      <w:pPr>
        <w:jc w:val="both"/>
      </w:pPr>
      <w:r>
        <w:rPr>
          <w:rFonts w:ascii="Times New Roman" w:eastAsia="仿宋" w:hAnsi="Times New Roman"/>
          <w:b w:val="0"/>
          <w:sz w:val="32"/>
        </w:rPr>
        <w:t>　　（七）负责辖区防汛抗旱、防风、防火、抢险救灾等工作。</w:t>
      </w:r>
    </w:p>
    <w:p>
      <w:pPr>
        <w:jc w:val="both"/>
      </w:pPr>
      <w:r>
        <w:rPr>
          <w:rFonts w:ascii="Times New Roman" w:eastAsia="仿宋" w:hAnsi="Times New Roman"/>
          <w:b w:val="0"/>
          <w:sz w:val="32"/>
        </w:rPr>
        <w:t>　　（八）承办区委、区政府、经开区管委会交办的其他事宜。</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lang w:val="en-US"/>
        </w:rPr>
      </w:pPr>
      <w:r>
        <w:rPr>
          <w:rFonts w:ascii="Times New Roman" w:eastAsia="黑体" w:hAnsi="Times New Roman" w:cs="黑体" w:hint="eastAsia"/>
          <w:sz w:val="32"/>
          <w:szCs w:val="32"/>
          <w:lang w:val="en-US"/>
        </w:rPr>
        <w:t>二、机构设置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从决算单位构成看，铜陵市铜官区新城办事处2024年度部门决算仅包括本级决算，无其他下属单位决算；与预算相比，无增减变化。具体情况见下表：</w:t>
      </w:r>
    </w:p>
    <w:tbl>
      <w:tblPr>
        <w:tblStyle w:val="TableGrid"/>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53"/>
        <w:gridCol w:w="4153"/>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4153" w:type="dxa"/>
            <w:tcMar>
              <w:left w:w="20" w:type="dxa"/>
              <w:right w:w="20" w:type="dxa"/>
            </w:tcMar>
            <w:vAlign w:val="center"/>
          </w:tcPr>
          <w:p>
            <w:pPr>
              <w:spacing w:before="57" w:after="57" w:line="240" w:lineRule="auto"/>
              <w:jc w:val="center"/>
            </w:pPr>
            <w:r>
              <w:rPr>
                <w:rFonts w:ascii="Times New Roman" w:eastAsia="宋体" w:hAnsi="Times New Roman"/>
                <w:b w:val="0"/>
                <w:sz w:val="16"/>
              </w:rPr>
              <w:t>序号</w:t>
            </w:r>
          </w:p>
        </w:tc>
        <w:tc>
          <w:tcPr>
            <w:tcW w:w="4153" w:type="dxa"/>
            <w:tcMar>
              <w:left w:w="20" w:type="dxa"/>
              <w:right w:w="20" w:type="dxa"/>
            </w:tcMar>
            <w:vAlign w:val="center"/>
          </w:tcPr>
          <w:p>
            <w:pPr>
              <w:spacing w:before="57" w:after="57" w:line="240" w:lineRule="auto"/>
              <w:jc w:val="center"/>
            </w:pPr>
            <w:r>
              <w:rPr>
                <w:rFonts w:ascii="Times New Roman" w:eastAsia="宋体" w:hAnsi="Times New Roman"/>
                <w:b w:val="0"/>
                <w:sz w:val="16"/>
              </w:rPr>
              <w:t>单位名称</w:t>
            </w:r>
          </w:p>
        </w:tc>
      </w:tr>
      <w:tr>
        <w:tblPrEx>
          <w:tblW w:w="0" w:type="auto"/>
          <w:jc w:val="center"/>
          <w:tblLook w:val="04A0"/>
        </w:tblPrEx>
        <w:trPr>
          <w:jc w:val="center"/>
        </w:trPr>
        <w:tc>
          <w:tcPr>
            <w:tcW w:w="4153" w:type="dxa"/>
            <w:tcMar>
              <w:left w:w="20" w:type="dxa"/>
              <w:right w:w="20" w:type="dxa"/>
            </w:tcMar>
            <w:vAlign w:val="center"/>
          </w:tcPr>
          <w:p>
            <w:pPr>
              <w:spacing w:before="57" w:after="57" w:line="240" w:lineRule="auto"/>
              <w:jc w:val="center"/>
            </w:pPr>
            <w:r>
              <w:rPr>
                <w:rFonts w:ascii="Times New Roman" w:eastAsia="宋体" w:hAnsi="Times New Roman"/>
                <w:b w:val="0"/>
                <w:sz w:val="16"/>
              </w:rPr>
              <w:t>1</w:t>
            </w:r>
          </w:p>
        </w:tc>
        <w:tc>
          <w:tcPr>
            <w:tcW w:w="4153" w:type="dxa"/>
            <w:tcMar>
              <w:left w:w="20" w:type="dxa"/>
              <w:right w:w="20" w:type="dxa"/>
            </w:tcMar>
            <w:vAlign w:val="center"/>
          </w:tcPr>
          <w:p>
            <w:pPr>
              <w:spacing w:before="57" w:after="57" w:line="240" w:lineRule="auto"/>
              <w:jc w:val="center"/>
            </w:pPr>
            <w:r>
              <w:rPr>
                <w:rFonts w:ascii="Times New Roman" w:eastAsia="宋体" w:hAnsi="Times New Roman"/>
                <w:b w:val="0"/>
                <w:sz w:val="16"/>
              </w:rPr>
              <w:t>铜陵市铜官区新城办事处本级</w:t>
            </w:r>
          </w:p>
        </w:tc>
      </w:tr>
    </w:tbl>
    <w:p>
      <w:pPr>
        <w:sectPr>
          <w:pgSz w:w="11906" w:h="16838"/>
          <w:pgMar w:top="1440" w:right="1800" w:bottom="1440" w:left="1800" w:header="851" w:footer="992" w:gutter="0"/>
          <w:cols w:num="1" w:space="425"/>
          <w:docGrid w:type="lines" w:linePitch="312" w:charSpace="0"/>
        </w:sectPr>
      </w:pPr>
    </w:p>
    <w:p>
      <w:pPr>
        <w:pStyle w:val="Normal0"/>
        <w:keepNext w:val="0"/>
        <w:keepLines w:val="0"/>
        <w:pageBreakBefore/>
        <w:widowControl w:val="0"/>
        <w:kinsoku/>
        <w:wordWrap/>
        <w:overflowPunct/>
        <w:topLinePunct w:val="0"/>
        <w:autoSpaceDE/>
        <w:autoSpaceDN/>
        <w:bidi w:val="0"/>
        <w:adjustRightInd/>
        <w:snapToGrid/>
        <w:ind w:firstLine="420" w:firstLineChars="200"/>
        <w:jc w:val="center"/>
        <w:textAlignment w:val="auto"/>
        <w:rPr>
          <w:rFonts w:ascii="Times New Roman" w:eastAsia="黑体" w:hAnsi="Times New Roman" w:cs="黑体" w:hint="eastAsia"/>
          <w:sz w:val="32"/>
          <w:szCs w:val="32"/>
          <w:shd w:val="clear" w:color="auto" w:fill="auto"/>
          <w:lang w:val="en-US"/>
        </w:rPr>
      </w:pPr>
      <w:r>
        <w:rPr>
          <w:rFonts w:ascii="Times New Roman" w:eastAsia="黑体" w:hAnsi="Times New Roman" w:cs="黑体" w:hint="eastAsia"/>
          <w:sz w:val="32"/>
          <w:szCs w:val="32"/>
          <w:shd w:val="clear" w:color="auto" w:fill="auto"/>
          <w:lang w:val="en-US"/>
        </w:rPr>
        <w:t>第二部分</w:t>
      </w:r>
      <w:r>
        <w:rPr>
          <w:rFonts w:ascii="Times New Roman" w:eastAsia="黑体" w:hAnsi="Times New Roman" w:cs="黑体" w:hint="eastAsia"/>
          <w:sz w:val="32"/>
          <w:szCs w:val="32"/>
          <w:shd w:val="clear" w:color="auto" w:fill="auto"/>
        </w:rPr>
        <w:t xml:space="preserve"> 铜陵市铜官区新城办事处2024</w:t>
      </w:r>
      <w:r>
        <w:rPr>
          <w:rFonts w:ascii="Times New Roman" w:eastAsia="黑体" w:hAnsi="Times New Roman" w:cs="黑体" w:hint="eastAsia"/>
          <w:sz w:val="32"/>
          <w:szCs w:val="32"/>
          <w:shd w:val="clear" w:color="auto" w:fill="auto"/>
          <w:lang w:val="en-US"/>
        </w:rPr>
        <w:t>年度</w:t>
      </w:r>
      <w:r>
        <w:rPr>
          <w:rFonts w:ascii="Times New Roman" w:eastAsia="黑体" w:hAnsi="Times New Roman" w:cs="黑体" w:hint="eastAsia"/>
          <w:sz w:val="32"/>
          <w:szCs w:val="32"/>
          <w:shd w:val="clear" w:color="auto" w:fill="auto"/>
        </w:rPr>
        <w:t>部门</w:t>
      </w:r>
      <w:r>
        <w:rPr>
          <w:rFonts w:ascii="Times New Roman" w:eastAsia="黑体" w:hAnsi="Times New Roman" w:cs="黑体" w:hint="eastAsia"/>
          <w:sz w:val="32"/>
          <w:szCs w:val="32"/>
          <w:shd w:val="clear" w:color="auto" w:fill="auto"/>
          <w:lang w:val="en-US"/>
        </w:rPr>
        <w:t>决算表</w:t>
      </w:r>
    </w:p>
    <w:tbl>
      <w:tblPr>
        <w:tblStyle w:val="TableGrid0"/>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589"/>
        <w:gridCol w:w="462"/>
        <w:gridCol w:w="1258"/>
        <w:gridCol w:w="3482"/>
        <w:gridCol w:w="480"/>
        <w:gridCol w:w="1411"/>
      </w:tblGrid>
      <w:tr>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5000" w:type="pct"/>
            <w:gridSpan w:val="6"/>
            <w:tcBorders>
              <w:top w:val="nil"/>
              <w:left w:val="nil"/>
              <w:bottom w:val="nil"/>
              <w:right w:val="nil"/>
            </w:tcBorders>
            <w:vAlign w:val="center"/>
          </w:tcPr>
          <w:p>
            <w:pPr>
              <w:pStyle w:val="Normal0"/>
              <w:spacing w:before="0" w:after="0"/>
              <w:jc w:val="center"/>
              <w:rPr>
                <w:rFonts w:ascii="Times New Roman" w:hAnsi="Times New Roman"/>
                <w:shd w:val="clear" w:color="auto" w:fill="auto"/>
                <w:vertAlign w:val="baseline"/>
              </w:rPr>
            </w:pPr>
            <w:r>
              <w:rPr>
                <w:rFonts w:ascii="宋体" w:eastAsia="宋体" w:hAnsi="宋体" w:cs="宋体" w:hint="eastAsia"/>
                <w:sz w:val="30"/>
                <w:szCs w:val="30"/>
                <w:shd w:val="clear" w:color="auto" w:fill="auto"/>
                <w:vertAlign w:val="baseline"/>
              </w:rPr>
              <w:t>收入支出决算总表</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Borders>
              <w:top w:val="nil"/>
              <w:left w:val="nil"/>
              <w:bottom w:val="nil"/>
              <w:right w:val="nil"/>
            </w:tcBorders>
          </w:tcPr>
          <w:p>
            <w:pPr>
              <w:pStyle w:val="Normal0"/>
              <w:spacing w:before="0" w:after="0"/>
              <w:rPr>
                <w:rFonts w:ascii="宋体" w:eastAsia="宋体" w:hAnsi="宋体" w:cs="宋体" w:hint="eastAsia"/>
                <w:sz w:val="21"/>
                <w:szCs w:val="21"/>
                <w:shd w:val="clear" w:color="auto" w:fill="auto"/>
                <w:vertAlign w:val="baseline"/>
              </w:rPr>
            </w:pPr>
          </w:p>
        </w:tc>
        <w:tc>
          <w:tcPr>
            <w:tcW w:w="216" w:type="pct"/>
            <w:tcBorders>
              <w:top w:val="nil"/>
              <w:left w:val="nil"/>
              <w:bottom w:val="nil"/>
              <w:right w:val="nil"/>
            </w:tcBorders>
          </w:tcPr>
          <w:p>
            <w:pPr>
              <w:pStyle w:val="Normal0"/>
              <w:spacing w:before="0" w:after="0"/>
              <w:rPr>
                <w:rFonts w:ascii="宋体" w:eastAsia="宋体" w:hAnsi="宋体" w:cs="宋体" w:hint="eastAsia"/>
                <w:sz w:val="21"/>
                <w:szCs w:val="21"/>
                <w:shd w:val="clear" w:color="auto" w:fill="auto"/>
                <w:vertAlign w:val="baseline"/>
              </w:rPr>
            </w:pPr>
          </w:p>
        </w:tc>
        <w:tc>
          <w:tcPr>
            <w:tcW w:w="588" w:type="pct"/>
            <w:tcBorders>
              <w:top w:val="nil"/>
              <w:left w:val="nil"/>
              <w:bottom w:val="nil"/>
              <w:right w:val="nil"/>
            </w:tcBorders>
          </w:tcPr>
          <w:p>
            <w:pPr>
              <w:pStyle w:val="Normal0"/>
              <w:spacing w:before="0" w:after="0"/>
              <w:rPr>
                <w:rFonts w:ascii="宋体" w:eastAsia="宋体" w:hAnsi="宋体" w:cs="宋体" w:hint="eastAsia"/>
                <w:sz w:val="21"/>
                <w:szCs w:val="21"/>
                <w:shd w:val="clear" w:color="auto" w:fill="auto"/>
                <w:vertAlign w:val="baseline"/>
              </w:rPr>
            </w:pPr>
          </w:p>
        </w:tc>
        <w:tc>
          <w:tcPr>
            <w:tcW w:w="1629" w:type="pct"/>
            <w:tcBorders>
              <w:top w:val="nil"/>
              <w:left w:val="nil"/>
              <w:bottom w:val="nil"/>
              <w:right w:val="nil"/>
            </w:tcBorders>
          </w:tcPr>
          <w:p>
            <w:pPr>
              <w:pStyle w:val="Normal0"/>
              <w:spacing w:before="0" w:after="0"/>
              <w:rPr>
                <w:rFonts w:ascii="宋体" w:eastAsia="宋体" w:hAnsi="宋体" w:cs="宋体" w:hint="eastAsia"/>
                <w:sz w:val="21"/>
                <w:szCs w:val="21"/>
                <w:shd w:val="clear" w:color="auto" w:fill="auto"/>
                <w:vertAlign w:val="baseline"/>
              </w:rPr>
            </w:pPr>
          </w:p>
        </w:tc>
        <w:tc>
          <w:tcPr>
            <w:tcW w:w="224" w:type="pct"/>
            <w:tcBorders>
              <w:top w:val="nil"/>
              <w:left w:val="nil"/>
              <w:bottom w:val="nil"/>
              <w:right w:val="nil"/>
            </w:tcBorders>
          </w:tcPr>
          <w:p>
            <w:pPr>
              <w:pStyle w:val="Normal0"/>
              <w:spacing w:before="0" w:after="0"/>
              <w:rPr>
                <w:rFonts w:ascii="宋体" w:eastAsia="宋体" w:hAnsi="宋体" w:cs="宋体" w:hint="eastAsia"/>
                <w:sz w:val="21"/>
                <w:szCs w:val="21"/>
                <w:shd w:val="clear" w:color="auto" w:fill="auto"/>
                <w:vertAlign w:val="baseline"/>
              </w:rPr>
            </w:pPr>
          </w:p>
        </w:tc>
        <w:tc>
          <w:tcPr>
            <w:tcW w:w="660" w:type="pct"/>
            <w:tcBorders>
              <w:top w:val="nil"/>
              <w:left w:val="nil"/>
              <w:bottom w:val="nil"/>
              <w:right w:val="nil"/>
            </w:tcBorders>
            <w:vAlign w:val="center"/>
          </w:tcPr>
          <w:p>
            <w:pPr>
              <w:pStyle w:val="Normal0"/>
              <w:spacing w:before="0" w:after="0"/>
              <w:jc w:val="right"/>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公开01表</w:t>
            </w:r>
          </w:p>
        </w:tc>
      </w:tr>
      <w:tr>
        <w:tblPrEx>
          <w:tblW w:w="5000" w:type="pct"/>
          <w:jc w:val="center"/>
          <w:tblInd w:w="0" w:type="dxa"/>
          <w:tblLayout w:type="fixed"/>
          <w:tblCellMar>
            <w:top w:w="0" w:type="dxa"/>
            <w:left w:w="108" w:type="dxa"/>
            <w:bottom w:w="0" w:type="dxa"/>
            <w:right w:w="108" w:type="dxa"/>
          </w:tblCellMar>
        </w:tblPrEx>
        <w:trPr>
          <w:jc w:val="center"/>
        </w:trPr>
        <w:tc>
          <w:tcPr>
            <w:tcW w:w="4114" w:type="pct"/>
            <w:gridSpan w:val="4"/>
            <w:tcBorders>
              <w:top w:val="nil"/>
              <w:left w:val="nil"/>
              <w:bottom w:val="single" w:sz="4" w:space="0" w:color="auto"/>
              <w:right w:val="nil"/>
            </w:tcBorders>
            <w:vAlign w:val="center"/>
          </w:tcPr>
          <w:p>
            <w:pPr>
              <w:pStyle w:val="Normal0"/>
              <w:spacing w:before="0" w:after="0"/>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部门：铜陵市铜官区新城办事处</w:t>
            </w:r>
          </w:p>
        </w:tc>
        <w:tc>
          <w:tcPr>
            <w:tcW w:w="885" w:type="pct"/>
            <w:gridSpan w:val="2"/>
            <w:tcBorders>
              <w:top w:val="nil"/>
              <w:left w:val="nil"/>
              <w:bottom w:val="single" w:sz="4" w:space="0" w:color="auto"/>
              <w:right w:val="nil"/>
            </w:tcBorders>
          </w:tcPr>
          <w:p>
            <w:pPr>
              <w:pStyle w:val="Normal0"/>
              <w:spacing w:before="0" w:after="0"/>
              <w:jc w:val="right"/>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金额单位：万元</w:t>
            </w:r>
          </w:p>
        </w:tc>
      </w:tr>
      <w:tr>
        <w:tblPrEx>
          <w:tblW w:w="5000" w:type="pct"/>
          <w:jc w:val="center"/>
          <w:tblInd w:w="0" w:type="dxa"/>
          <w:tblLayout w:type="fixed"/>
          <w:tblCellMar>
            <w:top w:w="0" w:type="dxa"/>
            <w:left w:w="108" w:type="dxa"/>
            <w:bottom w:w="0" w:type="dxa"/>
            <w:right w:w="108" w:type="dxa"/>
          </w:tblCellMar>
        </w:tblPrEx>
        <w:trPr>
          <w:jc w:val="center"/>
        </w:trPr>
        <w:tc>
          <w:tcPr>
            <w:tcW w:w="2485" w:type="pct"/>
            <w:gridSpan w:val="3"/>
            <w:tcBorders>
              <w:top w:val="single" w:sz="4" w:space="0" w:color="auto"/>
            </w:tcBorders>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lang w:val="en-US"/>
              </w:rPr>
              <w:t>收入</w:t>
            </w:r>
          </w:p>
        </w:tc>
        <w:tc>
          <w:tcPr>
            <w:tcW w:w="2514" w:type="pct"/>
            <w:gridSpan w:val="3"/>
            <w:tcBorders>
              <w:top w:val="single" w:sz="4" w:space="0" w:color="auto"/>
            </w:tcBorders>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lang w:val="en-US"/>
              </w:rPr>
              <w:t>支出</w:t>
            </w:r>
          </w:p>
        </w:tc>
      </w:tr>
      <w:tr>
        <w:tblPrEx>
          <w:tblW w:w="5000" w:type="pct"/>
          <w:jc w:val="center"/>
          <w:tblInd w:w="0" w:type="dxa"/>
          <w:tblLayout w:type="fixed"/>
          <w:tblCellMar>
            <w:top w:w="0" w:type="dxa"/>
            <w:left w:w="108" w:type="dxa"/>
            <w:bottom w:w="0" w:type="dxa"/>
            <w:right w:w="108" w:type="dxa"/>
          </w:tblCellMar>
        </w:tblPrEx>
        <w:trPr>
          <w:trHeight w:val="282"/>
          <w:jc w:val="center"/>
        </w:trPr>
        <w:tc>
          <w:tcPr>
            <w:tcW w:w="1679" w:type="pct"/>
            <w:vAlign w:val="center"/>
          </w:tcPr>
          <w:p>
            <w:pPr>
              <w:pStyle w:val="Normal0"/>
              <w:spacing w:before="0" w:after="0"/>
              <w:jc w:val="center"/>
              <w:rPr>
                <w:rFonts w:ascii="宋体" w:eastAsia="宋体" w:hAnsi="宋体" w:cs="宋体" w:hint="eastAsia"/>
                <w:sz w:val="21"/>
                <w:szCs w:val="21"/>
                <w:shd w:val="clear" w:color="auto" w:fill="auto"/>
                <w:vertAlign w:val="baseline"/>
                <w:lang w:val="en-US"/>
              </w:rPr>
            </w:pPr>
            <w:r>
              <w:rPr>
                <w:rFonts w:ascii="宋体" w:eastAsia="宋体" w:hAnsi="宋体" w:cs="宋体" w:hint="eastAsia"/>
                <w:sz w:val="21"/>
                <w:szCs w:val="21"/>
                <w:shd w:val="clear" w:color="auto" w:fill="auto"/>
                <w:vertAlign w:val="baseline"/>
                <w:lang w:val="en-US"/>
              </w:rPr>
              <w:t>项目</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lang w:val="en-US"/>
              </w:rPr>
            </w:pPr>
            <w:r>
              <w:rPr>
                <w:rFonts w:ascii="宋体" w:eastAsia="宋体" w:hAnsi="宋体" w:cs="宋体" w:hint="eastAsia"/>
                <w:sz w:val="21"/>
                <w:szCs w:val="21"/>
                <w:shd w:val="clear" w:color="auto" w:fill="auto"/>
                <w:vertAlign w:val="baseline"/>
                <w:lang w:val="en-US"/>
              </w:rPr>
              <w:t>行次</w:t>
            </w:r>
          </w:p>
        </w:tc>
        <w:tc>
          <w:tcPr>
            <w:tcW w:w="588" w:type="pct"/>
            <w:vAlign w:val="center"/>
          </w:tcPr>
          <w:p>
            <w:pPr>
              <w:pStyle w:val="Normal0"/>
              <w:spacing w:before="0" w:after="0"/>
              <w:jc w:val="center"/>
              <w:rPr>
                <w:rFonts w:ascii="宋体" w:eastAsia="宋体" w:hAnsi="宋体" w:cs="宋体" w:hint="eastAsia"/>
                <w:sz w:val="21"/>
                <w:szCs w:val="21"/>
                <w:shd w:val="clear" w:color="auto" w:fill="auto"/>
                <w:vertAlign w:val="baseline"/>
                <w:lang w:val="en-US"/>
              </w:rPr>
            </w:pPr>
            <w:r>
              <w:rPr>
                <w:rFonts w:ascii="宋体" w:eastAsia="宋体" w:hAnsi="宋体" w:cs="宋体" w:hint="eastAsia"/>
                <w:sz w:val="21"/>
                <w:szCs w:val="21"/>
                <w:shd w:val="clear" w:color="auto" w:fill="auto"/>
                <w:vertAlign w:val="baseline"/>
                <w:lang w:val="en-US"/>
              </w:rPr>
              <w:t>金额</w:t>
            </w:r>
          </w:p>
        </w:tc>
        <w:tc>
          <w:tcPr>
            <w:tcW w:w="1629" w:type="pct"/>
            <w:vAlign w:val="center"/>
          </w:tcPr>
          <w:p>
            <w:pPr>
              <w:pStyle w:val="Normal0"/>
              <w:spacing w:before="0" w:after="0"/>
              <w:jc w:val="center"/>
              <w:rPr>
                <w:rFonts w:ascii="宋体" w:eastAsia="宋体" w:hAnsi="宋体" w:cs="宋体" w:hint="eastAsia"/>
                <w:sz w:val="21"/>
                <w:szCs w:val="21"/>
                <w:shd w:val="clear" w:color="auto" w:fill="auto"/>
                <w:vertAlign w:val="baseline"/>
                <w:lang w:val="en-US"/>
              </w:rPr>
            </w:pPr>
            <w:r>
              <w:rPr>
                <w:rFonts w:ascii="宋体" w:eastAsia="宋体" w:hAnsi="宋体" w:cs="宋体" w:hint="eastAsia"/>
                <w:sz w:val="21"/>
                <w:szCs w:val="21"/>
                <w:shd w:val="clear" w:color="auto" w:fill="auto"/>
                <w:vertAlign w:val="baseline"/>
                <w:lang w:val="en-US"/>
              </w:rPr>
              <w:t>项目</w:t>
            </w:r>
          </w:p>
        </w:tc>
        <w:tc>
          <w:tcPr>
            <w:tcW w:w="224" w:type="pct"/>
            <w:vAlign w:val="center"/>
          </w:tcPr>
          <w:p>
            <w:pPr>
              <w:pStyle w:val="Normal0"/>
              <w:spacing w:before="0" w:after="0"/>
              <w:jc w:val="center"/>
              <w:rPr>
                <w:rFonts w:ascii="宋体" w:eastAsia="宋体" w:hAnsi="宋体" w:cs="宋体" w:hint="eastAsia"/>
                <w:sz w:val="21"/>
                <w:szCs w:val="21"/>
                <w:shd w:val="clear" w:color="auto" w:fill="auto"/>
                <w:vertAlign w:val="baseline"/>
                <w:lang w:val="en-US"/>
              </w:rPr>
            </w:pPr>
            <w:r>
              <w:rPr>
                <w:rFonts w:ascii="宋体" w:eastAsia="宋体" w:hAnsi="宋体" w:cs="宋体" w:hint="eastAsia"/>
                <w:sz w:val="21"/>
                <w:szCs w:val="21"/>
                <w:shd w:val="clear" w:color="auto" w:fill="auto"/>
                <w:vertAlign w:val="baseline"/>
                <w:lang w:val="en-US"/>
              </w:rPr>
              <w:t>行次</w:t>
            </w:r>
          </w:p>
        </w:tc>
        <w:tc>
          <w:tcPr>
            <w:tcW w:w="660" w:type="pct"/>
            <w:vAlign w:val="center"/>
          </w:tcPr>
          <w:p>
            <w:pPr>
              <w:pStyle w:val="Normal0"/>
              <w:spacing w:before="0" w:after="0"/>
              <w:jc w:val="center"/>
              <w:rPr>
                <w:rFonts w:ascii="宋体" w:eastAsia="宋体" w:hAnsi="宋体" w:cs="宋体" w:hint="eastAsia"/>
                <w:sz w:val="21"/>
                <w:szCs w:val="21"/>
                <w:shd w:val="clear" w:color="auto" w:fill="auto"/>
                <w:vertAlign w:val="baseline"/>
                <w:lang w:val="en-US"/>
              </w:rPr>
            </w:pPr>
            <w:r>
              <w:rPr>
                <w:rFonts w:ascii="宋体" w:eastAsia="宋体" w:hAnsi="宋体" w:cs="宋体" w:hint="eastAsia"/>
                <w:sz w:val="21"/>
                <w:szCs w:val="21"/>
                <w:shd w:val="clear" w:color="auto" w:fill="auto"/>
                <w:vertAlign w:val="baseline"/>
                <w:lang w:val="en-US"/>
              </w:rPr>
              <w:t>金额</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spacing w:before="0" w:after="0"/>
              <w:jc w:val="center"/>
              <w:rPr>
                <w:rFonts w:ascii="宋体" w:eastAsia="宋体" w:hAnsi="宋体" w:cs="宋体" w:hint="eastAsia"/>
                <w:sz w:val="21"/>
                <w:szCs w:val="21"/>
                <w:shd w:val="clear" w:color="auto" w:fill="auto"/>
                <w:vertAlign w:val="baseline"/>
                <w:lang w:val="en-US"/>
              </w:rPr>
            </w:pPr>
            <w:r>
              <w:rPr>
                <w:rFonts w:ascii="宋体" w:eastAsia="宋体" w:hAnsi="宋体" w:cs="宋体" w:hint="eastAsia"/>
                <w:sz w:val="21"/>
                <w:szCs w:val="21"/>
                <w:shd w:val="clear" w:color="auto" w:fill="auto"/>
                <w:vertAlign w:val="baseline"/>
                <w:lang w:val="en-US"/>
              </w:rPr>
              <w:t>栏次</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p>
        </w:tc>
        <w:tc>
          <w:tcPr>
            <w:tcW w:w="588"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w:t>
            </w:r>
          </w:p>
        </w:tc>
        <w:tc>
          <w:tcPr>
            <w:tcW w:w="1629" w:type="pct"/>
            <w:vAlign w:val="center"/>
          </w:tcPr>
          <w:p>
            <w:pPr>
              <w:pStyle w:val="Normal0"/>
              <w:spacing w:before="0" w:after="0"/>
              <w:jc w:val="center"/>
              <w:rPr>
                <w:rFonts w:ascii="宋体" w:eastAsia="宋体" w:hAnsi="宋体" w:cs="宋体" w:hint="eastAsia"/>
                <w:sz w:val="21"/>
                <w:szCs w:val="21"/>
                <w:shd w:val="clear" w:color="auto" w:fill="auto"/>
                <w:vertAlign w:val="baseline"/>
                <w:lang w:val="en-US"/>
              </w:rPr>
            </w:pPr>
            <w:r>
              <w:rPr>
                <w:rFonts w:ascii="宋体" w:eastAsia="宋体" w:hAnsi="宋体" w:cs="宋体" w:hint="eastAsia"/>
                <w:sz w:val="21"/>
                <w:szCs w:val="21"/>
                <w:shd w:val="clear" w:color="auto" w:fill="auto"/>
                <w:vertAlign w:val="baseline"/>
                <w:lang w:val="en-US"/>
              </w:rPr>
              <w:t>栏次</w:t>
            </w:r>
          </w:p>
        </w:tc>
        <w:tc>
          <w:tcPr>
            <w:tcW w:w="224" w:type="pct"/>
            <w:vAlign w:val="center"/>
          </w:tcPr>
          <w:p>
            <w:pPr>
              <w:pStyle w:val="Normal0"/>
              <w:spacing w:before="0" w:after="0"/>
              <w:jc w:val="center"/>
              <w:rPr>
                <w:rFonts w:ascii="宋体" w:eastAsia="宋体" w:hAnsi="宋体" w:cs="宋体" w:hint="eastAsia"/>
                <w:sz w:val="21"/>
                <w:szCs w:val="21"/>
                <w:shd w:val="clear" w:color="auto" w:fill="auto"/>
                <w:vertAlign w:val="baseline"/>
              </w:rPr>
            </w:pPr>
          </w:p>
        </w:tc>
        <w:tc>
          <w:tcPr>
            <w:tcW w:w="660"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2</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21"/>
                <w:szCs w:val="21"/>
                <w:shd w:val="clear" w:color="auto" w:fill="auto"/>
                <w:vertAlign w:val="baseline"/>
              </w:rPr>
            </w:pPr>
            <w:r>
              <w:rPr>
                <w:rFonts w:ascii="宋体" w:eastAsia="宋体" w:hAnsi="宋体" w:cs="宋体" w:hint="eastAsia"/>
                <w:i w:val="0"/>
                <w:color w:val="000000"/>
                <w:kern w:val="0"/>
                <w:sz w:val="21"/>
                <w:szCs w:val="21"/>
                <w:u w:val="none"/>
                <w:shd w:val="clear" w:color="auto" w:fill="auto"/>
                <w:lang w:val="en-US" w:eastAsia="zh-CN" w:bidi="ar"/>
              </w:rPr>
              <w:t>一、一般公共预算财政拨款收入</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10,258.44</w:t>
            </w: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一、一般公共服务支出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32</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26.17</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21"/>
                <w:szCs w:val="21"/>
                <w:shd w:val="clear" w:color="auto" w:fill="auto"/>
                <w:vertAlign w:val="baseline"/>
              </w:rPr>
            </w:pPr>
            <w:r>
              <w:rPr>
                <w:rFonts w:ascii="宋体" w:eastAsia="宋体" w:hAnsi="宋体" w:cs="宋体" w:hint="eastAsia"/>
                <w:i w:val="0"/>
                <w:color w:val="000000"/>
                <w:kern w:val="0"/>
                <w:sz w:val="21"/>
                <w:szCs w:val="21"/>
                <w:u w:val="none"/>
                <w:shd w:val="clear" w:color="auto" w:fill="auto"/>
                <w:lang w:val="en-US" w:eastAsia="zh-CN" w:bidi="ar"/>
              </w:rPr>
              <w:t>二、政府性基金预算财政拨款收入</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2</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4.70</w:t>
            </w: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二、外交支出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33</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21"/>
                <w:szCs w:val="21"/>
                <w:shd w:val="clear" w:color="auto" w:fill="auto"/>
                <w:vertAlign w:val="baseline"/>
              </w:rPr>
            </w:pPr>
            <w:r>
              <w:rPr>
                <w:rFonts w:ascii="宋体" w:eastAsia="宋体" w:hAnsi="宋体" w:cs="宋体" w:hint="eastAsia"/>
                <w:i w:val="0"/>
                <w:color w:val="000000"/>
                <w:kern w:val="0"/>
                <w:sz w:val="21"/>
                <w:szCs w:val="21"/>
                <w:u w:val="none"/>
                <w:shd w:val="clear" w:color="auto" w:fill="auto"/>
                <w:lang w:val="en-US" w:eastAsia="zh-CN" w:bidi="ar"/>
              </w:rPr>
              <w:t>三、国有资本经营预算财政拨款收入</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3</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三、国防支出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34</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21"/>
                <w:szCs w:val="21"/>
                <w:shd w:val="clear" w:color="auto" w:fill="auto"/>
                <w:vertAlign w:val="baseline"/>
              </w:rPr>
            </w:pPr>
            <w:r>
              <w:rPr>
                <w:rFonts w:ascii="宋体" w:eastAsia="宋体" w:hAnsi="宋体" w:cs="宋体" w:hint="eastAsia"/>
                <w:i w:val="0"/>
                <w:color w:val="000000"/>
                <w:kern w:val="0"/>
                <w:sz w:val="21"/>
                <w:szCs w:val="21"/>
                <w:u w:val="none"/>
                <w:shd w:val="clear" w:color="auto" w:fill="auto"/>
                <w:lang w:val="en-US" w:eastAsia="zh-CN" w:bidi="ar"/>
              </w:rPr>
              <w:t>四、上级补助收入</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4</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四、公共安全支出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35</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2.26</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21"/>
                <w:szCs w:val="21"/>
                <w:shd w:val="clear" w:color="auto" w:fill="auto"/>
                <w:vertAlign w:val="baseline"/>
              </w:rPr>
            </w:pPr>
            <w:r>
              <w:rPr>
                <w:rFonts w:ascii="宋体" w:eastAsia="宋体" w:hAnsi="宋体" w:cs="宋体" w:hint="eastAsia"/>
                <w:i w:val="0"/>
                <w:color w:val="000000"/>
                <w:kern w:val="0"/>
                <w:sz w:val="21"/>
                <w:szCs w:val="21"/>
                <w:u w:val="none"/>
                <w:shd w:val="clear" w:color="auto" w:fill="auto"/>
                <w:lang w:val="en-US" w:eastAsia="zh-CN" w:bidi="ar"/>
              </w:rPr>
              <w:t>五、事业收入</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5</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五、教育支出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36</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21"/>
                <w:szCs w:val="21"/>
                <w:shd w:val="clear" w:color="auto" w:fill="auto"/>
                <w:vertAlign w:val="baseline"/>
              </w:rPr>
            </w:pPr>
            <w:r>
              <w:rPr>
                <w:rFonts w:ascii="宋体" w:eastAsia="宋体" w:hAnsi="宋体" w:cs="宋体" w:hint="eastAsia"/>
                <w:i w:val="0"/>
                <w:color w:val="000000"/>
                <w:kern w:val="0"/>
                <w:sz w:val="21"/>
                <w:szCs w:val="21"/>
                <w:u w:val="none"/>
                <w:shd w:val="clear" w:color="auto" w:fill="auto"/>
                <w:lang w:val="en-US" w:eastAsia="zh-CN" w:bidi="ar"/>
              </w:rPr>
              <w:t>六、经营收入</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6</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六、科学技术支出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37</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21"/>
                <w:szCs w:val="21"/>
                <w:shd w:val="clear" w:color="auto" w:fill="auto"/>
                <w:vertAlign w:val="baseline"/>
              </w:rPr>
            </w:pPr>
            <w:r>
              <w:rPr>
                <w:rFonts w:ascii="宋体" w:eastAsia="宋体" w:hAnsi="宋体" w:cs="宋体" w:hint="eastAsia"/>
                <w:i w:val="0"/>
                <w:color w:val="000000"/>
                <w:kern w:val="0"/>
                <w:sz w:val="21"/>
                <w:szCs w:val="21"/>
                <w:u w:val="none"/>
                <w:shd w:val="clear" w:color="auto" w:fill="auto"/>
                <w:lang w:val="en-US" w:eastAsia="zh-CN" w:bidi="ar"/>
              </w:rPr>
              <w:t>七、附属单位上缴收入</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7</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七、文化旅游体育与传媒支出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38</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21"/>
                <w:szCs w:val="21"/>
                <w:shd w:val="clear" w:color="auto" w:fill="auto"/>
                <w:vertAlign w:val="baseline"/>
              </w:rPr>
            </w:pPr>
            <w:r>
              <w:rPr>
                <w:rFonts w:ascii="宋体" w:eastAsia="宋体" w:hAnsi="宋体" w:cs="宋体" w:hint="eastAsia"/>
                <w:i w:val="0"/>
                <w:color w:val="000000"/>
                <w:kern w:val="0"/>
                <w:sz w:val="21"/>
                <w:szCs w:val="21"/>
                <w:u w:val="none"/>
                <w:shd w:val="clear" w:color="auto" w:fill="auto"/>
                <w:lang w:val="en-US" w:eastAsia="zh-CN" w:bidi="ar"/>
              </w:rPr>
              <w:t>八、其他收入</w:t>
            </w: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8</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2,722.76</w:t>
            </w: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八、社会保障和就业支出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39</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175.04</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9</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九、卫生健康支出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40</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43.27</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10</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十、节能环保支出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41</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11</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十一、城乡社区支出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42</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6,179.36</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12</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十二、农林水支出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43</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60.70</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13</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十三、交通运输支出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44</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14</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十四、资源勘探工业信息等支出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45</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250.00</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15</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十五、商业服务业等支出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46</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5,702.64</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16</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十六、金融支出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47</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17</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十七、援助其他地区支出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48</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18</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十八、自然资源海洋气象等支出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49</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19</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十九、住房保障支出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50</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264.83</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20</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二十、粮油物资储备支出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51</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21</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二十一、国有资本经营预算支出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52</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22</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二十二、灾害防治及应急管理支出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53</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9.41</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23</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二十三、其他支出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54</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4.70</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24</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二十四、债务还本支出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b w:val="0"/>
                <w:bCs w:val="0"/>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55</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b w:val="0"/>
                <w:bCs w:val="0"/>
                <w:sz w:val="21"/>
                <w:szCs w:val="21"/>
                <w:shd w:val="clear" w:color="auto" w:fill="auto"/>
                <w:vertAlign w:val="baseline"/>
              </w:rPr>
            </w:pPr>
            <w:r>
              <w:rPr>
                <w:rFonts w:ascii="宋体" w:eastAsia="宋体" w:hAnsi="宋体" w:cs="宋体" w:hint="eastAsia"/>
                <w:b w:val="0"/>
                <w:bCs w:val="0"/>
                <w:sz w:val="21"/>
                <w:szCs w:val="21"/>
                <w:shd w:val="clear" w:color="auto" w:fill="auto"/>
                <w:vertAlign w:val="baseline"/>
              </w:rPr>
              <w:t>25</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二十五、债务付息支出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b w:val="0"/>
                <w:bCs w:val="0"/>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56</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Pr>
          <w:p>
            <w:pPr>
              <w:pStyle w:val="Normal0"/>
              <w:spacing w:before="0" w:after="0"/>
              <w:rPr>
                <w:rFonts w:ascii="宋体" w:eastAsia="宋体" w:hAnsi="宋体" w:cs="宋体" w:hint="eastAsia"/>
                <w:sz w:val="21"/>
                <w:szCs w:val="21"/>
                <w:shd w:val="clear" w:color="auto" w:fill="auto"/>
                <w:vertAlign w:val="baseline"/>
              </w:rPr>
            </w:pPr>
          </w:p>
        </w:tc>
        <w:tc>
          <w:tcPr>
            <w:tcW w:w="216" w:type="pct"/>
            <w:vAlign w:val="center"/>
          </w:tcPr>
          <w:p>
            <w:pPr>
              <w:pStyle w:val="Normal0"/>
              <w:spacing w:before="0" w:after="0"/>
              <w:jc w:val="center"/>
              <w:rPr>
                <w:rFonts w:ascii="宋体" w:eastAsia="宋体" w:hAnsi="宋体" w:cs="宋体" w:hint="eastAsia"/>
                <w:b w:val="0"/>
                <w:bCs w:val="0"/>
                <w:sz w:val="21"/>
                <w:szCs w:val="21"/>
                <w:shd w:val="clear" w:color="auto" w:fill="auto"/>
                <w:vertAlign w:val="baseline"/>
              </w:rPr>
            </w:pPr>
            <w:r>
              <w:rPr>
                <w:rFonts w:ascii="宋体" w:eastAsia="宋体" w:hAnsi="宋体" w:cs="宋体" w:hint="eastAsia"/>
                <w:b w:val="0"/>
                <w:bCs w:val="0"/>
                <w:sz w:val="21"/>
                <w:szCs w:val="21"/>
                <w:shd w:val="clear" w:color="auto" w:fill="auto"/>
                <w:vertAlign w:val="baseline"/>
              </w:rPr>
              <w:t>26</w:t>
            </w:r>
          </w:p>
        </w:tc>
        <w:tc>
          <w:tcPr>
            <w:tcW w:w="588" w:type="pct"/>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二十六、抗疫特别国债安排的支出</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b w:val="0"/>
                <w:bCs w:val="0"/>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57</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bCs w:val="0"/>
                <w:i w:val="0"/>
                <w:color w:val="000000"/>
                <w:kern w:val="2"/>
                <w:sz w:val="21"/>
                <w:szCs w:val="21"/>
                <w:u w:val="none"/>
                <w:shd w:val="clear" w:color="auto" w:fill="auto"/>
                <w:lang w:val="en-US" w:eastAsia="zh-CN" w:bidi="ar-SA"/>
              </w:rPr>
            </w:pPr>
            <w:r>
              <w:rPr>
                <w:rFonts w:ascii="宋体" w:eastAsia="宋体" w:hAnsi="宋体" w:cs="宋体" w:hint="eastAsia"/>
                <w:b/>
                <w:bCs w:val="0"/>
                <w:i w:val="0"/>
                <w:color w:val="000000"/>
                <w:kern w:val="0"/>
                <w:sz w:val="21"/>
                <w:szCs w:val="21"/>
                <w:u w:val="none"/>
                <w:shd w:val="clear" w:color="auto" w:fill="auto"/>
                <w:lang w:val="en-US" w:eastAsia="zh-CN" w:bidi="ar"/>
              </w:rPr>
              <w:t>本年收入合计</w:t>
            </w:r>
          </w:p>
        </w:tc>
        <w:tc>
          <w:tcPr>
            <w:tcW w:w="216" w:type="pct"/>
            <w:vAlign w:val="center"/>
          </w:tcPr>
          <w:p>
            <w:pPr>
              <w:pStyle w:val="Normal0"/>
              <w:spacing w:before="0" w:after="0"/>
              <w:jc w:val="center"/>
              <w:rPr>
                <w:rFonts w:ascii="宋体" w:eastAsia="宋体" w:hAnsi="宋体" w:cs="宋体" w:hint="eastAsia"/>
                <w:b w:val="0"/>
                <w:bCs w:val="0"/>
                <w:sz w:val="21"/>
                <w:szCs w:val="21"/>
                <w:shd w:val="clear" w:color="auto" w:fill="auto"/>
                <w:vertAlign w:val="baseline"/>
              </w:rPr>
            </w:pPr>
            <w:r>
              <w:rPr>
                <w:rFonts w:ascii="宋体" w:eastAsia="宋体" w:hAnsi="宋体" w:cs="宋体" w:hint="eastAsia"/>
                <w:b w:val="0"/>
                <w:bCs w:val="0"/>
                <w:sz w:val="21"/>
                <w:szCs w:val="21"/>
                <w:shd w:val="clear" w:color="auto" w:fill="auto"/>
                <w:vertAlign w:val="baseline"/>
              </w:rPr>
              <w:t>27</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b/>
                <w:bCs w:val="0"/>
                <w:sz w:val="21"/>
                <w:szCs w:val="21"/>
                <w:shd w:val="clear" w:color="auto" w:fill="auto"/>
                <w:vertAlign w:val="baseline"/>
              </w:rPr>
            </w:pPr>
            <w:r>
              <w:rPr>
                <w:rFonts w:ascii="Times New Roman" w:eastAsia="宋体" w:hAnsi="Times New Roman"/>
                <w:b w:val="0"/>
                <w:sz w:val="16"/>
              </w:rPr>
              <w:t>12,985.89</w:t>
            </w:r>
          </w:p>
        </w:tc>
        <w:tc>
          <w:tcPr>
            <w:tcW w:w="1629"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bCs w:val="0"/>
                <w:i w:val="0"/>
                <w:color w:val="000000"/>
                <w:kern w:val="2"/>
                <w:sz w:val="21"/>
                <w:szCs w:val="21"/>
                <w:u w:val="none"/>
                <w:shd w:val="clear" w:color="auto" w:fill="auto"/>
                <w:lang w:val="en-US" w:eastAsia="zh-CN" w:bidi="ar-SA"/>
              </w:rPr>
            </w:pPr>
            <w:r>
              <w:rPr>
                <w:rFonts w:ascii="宋体" w:eastAsia="宋体" w:hAnsi="宋体" w:cs="宋体" w:hint="eastAsia"/>
                <w:b/>
                <w:bCs w:val="0"/>
                <w:i w:val="0"/>
                <w:color w:val="000000"/>
                <w:kern w:val="0"/>
                <w:sz w:val="21"/>
                <w:szCs w:val="21"/>
                <w:u w:val="none"/>
                <w:shd w:val="clear" w:color="auto" w:fill="auto"/>
                <w:lang w:val="en-US" w:eastAsia="zh-CN" w:bidi="ar"/>
              </w:rPr>
              <w:t>本年支出合计</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b w:val="0"/>
                <w:bCs w:val="0"/>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58</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b/>
                <w:bCs w:val="0"/>
                <w:sz w:val="21"/>
                <w:szCs w:val="21"/>
                <w:shd w:val="clear" w:color="auto" w:fill="auto"/>
                <w:vertAlign w:val="baseline"/>
              </w:rPr>
            </w:pPr>
            <w:r>
              <w:rPr>
                <w:rFonts w:ascii="Times New Roman" w:eastAsia="宋体" w:hAnsi="Times New Roman"/>
                <w:b w:val="0"/>
                <w:sz w:val="16"/>
              </w:rPr>
              <w:t>12,718.38</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使用非财政拨款结余（含专用结余）</w:t>
            </w:r>
          </w:p>
        </w:tc>
        <w:tc>
          <w:tcPr>
            <w:tcW w:w="216" w:type="pct"/>
            <w:vAlign w:val="center"/>
          </w:tcPr>
          <w:p>
            <w:pPr>
              <w:pStyle w:val="Normal0"/>
              <w:spacing w:before="0" w:after="0"/>
              <w:jc w:val="center"/>
              <w:rPr>
                <w:rFonts w:ascii="宋体" w:eastAsia="宋体" w:hAnsi="宋体" w:cs="宋体" w:hint="eastAsia"/>
                <w:b w:val="0"/>
                <w:bCs w:val="0"/>
                <w:sz w:val="21"/>
                <w:szCs w:val="21"/>
                <w:shd w:val="clear" w:color="auto" w:fill="auto"/>
                <w:vertAlign w:val="baseline"/>
              </w:rPr>
            </w:pPr>
            <w:r>
              <w:rPr>
                <w:rFonts w:ascii="宋体" w:eastAsia="宋体" w:hAnsi="宋体" w:cs="宋体" w:hint="eastAsia"/>
                <w:b w:val="0"/>
                <w:bCs w:val="0"/>
                <w:sz w:val="21"/>
                <w:szCs w:val="21"/>
                <w:shd w:val="clear" w:color="auto" w:fill="auto"/>
                <w:vertAlign w:val="baseline"/>
              </w:rPr>
              <w:t>28</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结余分配</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b w:val="0"/>
                <w:bCs w:val="0"/>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59</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年初结转和结余</w:t>
            </w:r>
          </w:p>
        </w:tc>
        <w:tc>
          <w:tcPr>
            <w:tcW w:w="216" w:type="pct"/>
            <w:vAlign w:val="center"/>
          </w:tcPr>
          <w:p>
            <w:pPr>
              <w:pStyle w:val="Normal0"/>
              <w:spacing w:before="0" w:after="0"/>
              <w:jc w:val="center"/>
              <w:rPr>
                <w:rFonts w:ascii="宋体" w:eastAsia="宋体" w:hAnsi="宋体" w:cs="宋体" w:hint="eastAsia"/>
                <w:b w:val="0"/>
                <w:bCs w:val="0"/>
                <w:sz w:val="21"/>
                <w:szCs w:val="21"/>
                <w:shd w:val="clear" w:color="auto" w:fill="auto"/>
                <w:vertAlign w:val="baseline"/>
              </w:rPr>
            </w:pPr>
            <w:r>
              <w:rPr>
                <w:rFonts w:ascii="宋体" w:eastAsia="宋体" w:hAnsi="宋体" w:cs="宋体" w:hint="eastAsia"/>
                <w:b w:val="0"/>
                <w:bCs w:val="0"/>
                <w:sz w:val="21"/>
                <w:szCs w:val="21"/>
                <w:shd w:val="clear" w:color="auto" w:fill="auto"/>
                <w:vertAlign w:val="baseline"/>
              </w:rPr>
              <w:t>29</w:t>
            </w:r>
          </w:p>
        </w:tc>
        <w:tc>
          <w:tcPr>
            <w:tcW w:w="588"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516.48</w:t>
            </w:r>
          </w:p>
        </w:tc>
        <w:tc>
          <w:tcPr>
            <w:tcW w:w="1629"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21"/>
                <w:szCs w:val="21"/>
                <w:u w:val="none"/>
                <w:shd w:val="clear" w:color="auto" w:fill="auto"/>
                <w:lang w:val="en-US" w:eastAsia="zh-CN" w:bidi="ar-SA"/>
              </w:rPr>
            </w:pPr>
            <w:r>
              <w:rPr>
                <w:rFonts w:ascii="宋体" w:eastAsia="宋体" w:hAnsi="宋体" w:cs="宋体" w:hint="eastAsia"/>
                <w:i w:val="0"/>
                <w:color w:val="000000"/>
                <w:kern w:val="0"/>
                <w:sz w:val="21"/>
                <w:szCs w:val="21"/>
                <w:u w:val="none"/>
                <w:shd w:val="clear" w:color="auto" w:fill="auto"/>
                <w:lang w:val="en-US" w:eastAsia="zh-CN" w:bidi="ar"/>
              </w:rPr>
              <w:t>年末结转和结余</w:t>
            </w:r>
          </w:p>
        </w:tc>
        <w:tc>
          <w:tcPr>
            <w:tcW w:w="480" w:type="dxa"/>
            <w:vAlign w:val="center"/>
          </w:tcPr>
          <w:p>
            <w:pPr>
              <w:pStyle w:val="Normal0"/>
              <w:keepNext w:val="0"/>
              <w:keepLines w:val="0"/>
              <w:widowControl/>
              <w:suppressLineNumbers w:val="0"/>
              <w:spacing w:before="0" w:after="0"/>
              <w:jc w:val="right"/>
              <w:textAlignment w:val="center"/>
              <w:rPr>
                <w:rFonts w:ascii="宋体" w:eastAsia="宋体" w:hAnsi="宋体" w:cs="宋体" w:hint="eastAsia"/>
                <w:b w:val="0"/>
                <w:bCs w:val="0"/>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60</w:t>
            </w:r>
          </w:p>
        </w:tc>
        <w:tc>
          <w:tcPr>
            <w:tcW w:w="660" w:type="pct"/>
            <w:tcMar>
              <w:left w:w="20" w:type="dxa"/>
              <w:right w:w="20" w:type="dxa"/>
            </w:tcMar>
            <w:vAlign w:val="center"/>
          </w:tcPr>
          <w:p>
            <w:pPr>
              <w:pStyle w:val="Normal0"/>
              <w:spacing w:before="0" w:after="0" w:line="240" w:lineRule="auto"/>
              <w:jc w:val="right"/>
              <w:rPr>
                <w:rFonts w:ascii="宋体" w:eastAsia="宋体" w:hAnsi="宋体" w:cs="宋体" w:hint="eastAsia"/>
                <w:sz w:val="21"/>
                <w:szCs w:val="21"/>
                <w:shd w:val="clear" w:color="auto" w:fill="auto"/>
                <w:vertAlign w:val="baseline"/>
              </w:rPr>
            </w:pPr>
            <w:r>
              <w:rPr>
                <w:rFonts w:ascii="Times New Roman" w:eastAsia="宋体" w:hAnsi="Times New Roman"/>
                <w:b w:val="0"/>
                <w:sz w:val="16"/>
              </w:rPr>
              <w:t>783.99</w:t>
            </w: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Borders>
              <w:left w:val="single" w:sz="4" w:space="0" w:color="auto"/>
              <w:bottom w:val="single" w:sz="4" w:space="0" w:color="auto"/>
              <w:right w:val="single" w:sz="4" w:space="0" w:color="auto"/>
            </w:tcBorders>
            <w:vAlign w:val="center"/>
          </w:tcPr>
          <w:p>
            <w:pPr>
              <w:pStyle w:val="Normal0"/>
              <w:spacing w:before="0" w:after="0"/>
              <w:jc w:val="left"/>
              <w:rPr>
                <w:rFonts w:ascii="宋体" w:eastAsia="宋体" w:hAnsi="宋体" w:cs="宋体" w:hint="eastAsia"/>
                <w:i w:val="0"/>
                <w:color w:val="000000"/>
                <w:kern w:val="2"/>
                <w:sz w:val="21"/>
                <w:szCs w:val="21"/>
                <w:u w:val="none"/>
                <w:shd w:val="clear" w:color="auto" w:fill="auto"/>
                <w:lang w:val="en-US" w:eastAsia="zh-CN" w:bidi="ar-SA"/>
              </w:rPr>
            </w:pPr>
          </w:p>
        </w:tc>
        <w:tc>
          <w:tcPr>
            <w:tcW w:w="216" w:type="pct"/>
            <w:tcBorders>
              <w:left w:val="single" w:sz="4" w:space="0" w:color="auto"/>
              <w:bottom w:val="single" w:sz="4" w:space="0" w:color="auto"/>
              <w:right w:val="single" w:sz="4" w:space="0" w:color="auto"/>
            </w:tcBorders>
            <w:vAlign w:val="center"/>
          </w:tcPr>
          <w:p>
            <w:pPr>
              <w:pStyle w:val="Normal0"/>
              <w:spacing w:before="0" w:after="0"/>
              <w:jc w:val="center"/>
              <w:rPr>
                <w:rFonts w:ascii="宋体" w:eastAsia="宋体" w:hAnsi="宋体" w:cs="宋体" w:hint="eastAsia"/>
                <w:b w:val="0"/>
                <w:bCs w:val="0"/>
                <w:sz w:val="21"/>
                <w:szCs w:val="21"/>
                <w:shd w:val="clear" w:color="auto" w:fill="auto"/>
                <w:vertAlign w:val="baseline"/>
              </w:rPr>
            </w:pPr>
            <w:r>
              <w:rPr>
                <w:rFonts w:ascii="宋体" w:eastAsia="宋体" w:hAnsi="宋体" w:cs="宋体" w:hint="eastAsia"/>
                <w:b w:val="0"/>
                <w:bCs w:val="0"/>
                <w:sz w:val="21"/>
                <w:szCs w:val="21"/>
                <w:shd w:val="clear" w:color="auto" w:fill="auto"/>
                <w:vertAlign w:val="baseline"/>
              </w:rPr>
              <w:t>30</w:t>
            </w:r>
          </w:p>
        </w:tc>
        <w:tc>
          <w:tcPr>
            <w:tcW w:w="588" w:type="pct"/>
            <w:tcBorders>
              <w:left w:val="single" w:sz="4" w:space="0" w:color="auto"/>
              <w:bottom w:val="single" w:sz="4" w:space="0" w:color="auto"/>
              <w:right w:val="single" w:sz="4" w:space="0" w:color="auto"/>
            </w:tcBorders>
            <w:vAlign w:val="center"/>
          </w:tcPr>
          <w:p>
            <w:pPr>
              <w:pStyle w:val="Normal0"/>
              <w:spacing w:before="0" w:after="0"/>
              <w:jc w:val="right"/>
              <w:rPr>
                <w:rFonts w:ascii="宋体" w:eastAsia="宋体" w:hAnsi="宋体" w:cs="宋体" w:hint="eastAsia"/>
                <w:sz w:val="21"/>
                <w:szCs w:val="21"/>
                <w:shd w:val="clear" w:color="auto" w:fill="auto"/>
                <w:vertAlign w:val="baseline"/>
              </w:rPr>
            </w:pPr>
          </w:p>
        </w:tc>
        <w:tc>
          <w:tcPr>
            <w:tcW w:w="1629" w:type="pct"/>
            <w:tcBorders>
              <w:left w:val="single" w:sz="4" w:space="0" w:color="auto"/>
              <w:bottom w:val="single" w:sz="4" w:space="0" w:color="auto"/>
              <w:right w:val="single" w:sz="4" w:space="0" w:color="auto"/>
            </w:tcBorders>
            <w:vAlign w:val="center"/>
          </w:tcPr>
          <w:p>
            <w:pPr>
              <w:pStyle w:val="Normal0"/>
              <w:spacing w:before="0" w:after="0"/>
              <w:jc w:val="left"/>
              <w:rPr>
                <w:rFonts w:ascii="宋体" w:eastAsia="宋体" w:hAnsi="宋体" w:cs="宋体" w:hint="eastAsia"/>
                <w:i w:val="0"/>
                <w:color w:val="000000"/>
                <w:kern w:val="2"/>
                <w:sz w:val="21"/>
                <w:szCs w:val="21"/>
                <w:u w:val="none"/>
                <w:shd w:val="clear" w:color="auto" w:fill="auto"/>
                <w:lang w:val="en-US" w:eastAsia="zh-CN" w:bidi="ar-SA"/>
              </w:rPr>
            </w:pPr>
          </w:p>
        </w:tc>
        <w:tc>
          <w:tcPr>
            <w:tcW w:w="480" w:type="dxa"/>
            <w:tcBorders>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right"/>
              <w:textAlignment w:val="center"/>
              <w:rPr>
                <w:rFonts w:ascii="宋体" w:eastAsia="宋体" w:hAnsi="宋体" w:cs="宋体" w:hint="eastAsia"/>
                <w:b w:val="0"/>
                <w:bCs w:val="0"/>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61</w:t>
            </w:r>
          </w:p>
        </w:tc>
        <w:tc>
          <w:tcPr>
            <w:tcW w:w="660" w:type="pct"/>
            <w:tcBorders>
              <w:left w:val="single" w:sz="4" w:space="0" w:color="auto"/>
              <w:bottom w:val="single" w:sz="4" w:space="0" w:color="auto"/>
              <w:right w:val="single" w:sz="4" w:space="0" w:color="auto"/>
            </w:tcBorders>
            <w:vAlign w:val="center"/>
          </w:tcPr>
          <w:p>
            <w:pPr>
              <w:pStyle w:val="Normal0"/>
              <w:spacing w:before="0" w:after="0"/>
              <w:jc w:val="right"/>
              <w:rPr>
                <w:rFonts w:ascii="宋体" w:eastAsia="宋体" w:hAnsi="宋体" w:cs="宋体" w:hint="eastAsia"/>
                <w:sz w:val="21"/>
                <w:szCs w:val="21"/>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jc w:val="center"/>
        </w:trPr>
        <w:tc>
          <w:tcPr>
            <w:tcW w:w="1679" w:type="pct"/>
            <w:tcBorders>
              <w:top w:val="single" w:sz="4" w:space="0" w:color="auto"/>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center"/>
              <w:textAlignment w:val="center"/>
              <w:rPr>
                <w:rFonts w:ascii="宋体" w:eastAsia="宋体" w:hAnsi="宋体" w:cs="宋体" w:hint="eastAsia"/>
                <w:b/>
                <w:bCs w:val="0"/>
                <w:i w:val="0"/>
                <w:color w:val="000000"/>
                <w:kern w:val="2"/>
                <w:sz w:val="21"/>
                <w:szCs w:val="21"/>
                <w:u w:val="none"/>
                <w:shd w:val="clear" w:color="auto" w:fill="auto"/>
                <w:lang w:val="en-US" w:eastAsia="zh-CN" w:bidi="ar-SA"/>
              </w:rPr>
            </w:pPr>
            <w:r>
              <w:rPr>
                <w:rFonts w:ascii="宋体" w:eastAsia="宋体" w:hAnsi="宋体" w:cs="宋体" w:hint="eastAsia"/>
                <w:b/>
                <w:bCs w:val="0"/>
                <w:i w:val="0"/>
                <w:color w:val="000000"/>
                <w:kern w:val="0"/>
                <w:sz w:val="21"/>
                <w:szCs w:val="21"/>
                <w:u w:val="none"/>
                <w:shd w:val="clear" w:color="auto" w:fill="auto"/>
                <w:lang w:val="en-US" w:eastAsia="zh-CN" w:bidi="ar"/>
              </w:rPr>
              <w:t>总计</w:t>
            </w:r>
          </w:p>
        </w:tc>
        <w:tc>
          <w:tcPr>
            <w:tcW w:w="216" w:type="pct"/>
            <w:tcBorders>
              <w:top w:val="single" w:sz="4" w:space="0" w:color="auto"/>
              <w:left w:val="single" w:sz="4" w:space="0" w:color="auto"/>
              <w:bottom w:val="single" w:sz="4" w:space="0" w:color="auto"/>
              <w:right w:val="single" w:sz="4" w:space="0" w:color="auto"/>
            </w:tcBorders>
            <w:vAlign w:val="center"/>
          </w:tcPr>
          <w:p>
            <w:pPr>
              <w:pStyle w:val="Normal0"/>
              <w:spacing w:before="0" w:after="0"/>
              <w:jc w:val="center"/>
              <w:rPr>
                <w:rFonts w:ascii="宋体" w:eastAsia="宋体" w:hAnsi="宋体" w:cs="宋体" w:hint="eastAsia"/>
                <w:b w:val="0"/>
                <w:bCs w:val="0"/>
                <w:sz w:val="21"/>
                <w:szCs w:val="21"/>
                <w:shd w:val="clear" w:color="auto" w:fill="auto"/>
                <w:vertAlign w:val="baseline"/>
              </w:rPr>
            </w:pPr>
            <w:r>
              <w:rPr>
                <w:rFonts w:ascii="宋体" w:eastAsia="宋体" w:hAnsi="宋体" w:cs="宋体" w:hint="eastAsia"/>
                <w:b w:val="0"/>
                <w:bCs w:val="0"/>
                <w:sz w:val="21"/>
                <w:szCs w:val="21"/>
                <w:shd w:val="clear" w:color="auto" w:fill="auto"/>
                <w:vertAlign w:val="baseline"/>
              </w:rPr>
              <w:t>31</w:t>
            </w:r>
          </w:p>
        </w:tc>
        <w:tc>
          <w:tcPr>
            <w:tcW w:w="588" w:type="pct"/>
            <w:tcBorders>
              <w:top w:val="single" w:sz="4" w:space="0" w:color="auto"/>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b/>
                <w:bCs w:val="0"/>
                <w:sz w:val="21"/>
                <w:szCs w:val="21"/>
                <w:shd w:val="clear" w:color="auto" w:fill="auto"/>
                <w:vertAlign w:val="baseline"/>
              </w:rPr>
            </w:pPr>
            <w:r>
              <w:rPr>
                <w:rFonts w:ascii="Times New Roman" w:eastAsia="宋体" w:hAnsi="Times New Roman"/>
                <w:b w:val="0"/>
                <w:sz w:val="16"/>
              </w:rPr>
              <w:t>13,502.37</w:t>
            </w:r>
          </w:p>
        </w:tc>
        <w:tc>
          <w:tcPr>
            <w:tcW w:w="1629" w:type="pct"/>
            <w:tcBorders>
              <w:top w:val="single" w:sz="4" w:space="0" w:color="auto"/>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center"/>
              <w:textAlignment w:val="center"/>
              <w:rPr>
                <w:rFonts w:ascii="宋体" w:eastAsia="宋体" w:hAnsi="宋体" w:cs="宋体" w:hint="eastAsia"/>
                <w:b/>
                <w:bCs w:val="0"/>
                <w:i w:val="0"/>
                <w:color w:val="000000"/>
                <w:kern w:val="2"/>
                <w:sz w:val="21"/>
                <w:szCs w:val="21"/>
                <w:u w:val="none"/>
                <w:shd w:val="clear" w:color="auto" w:fill="auto"/>
                <w:lang w:val="en-US" w:eastAsia="zh-CN" w:bidi="ar-SA"/>
              </w:rPr>
            </w:pPr>
            <w:r>
              <w:rPr>
                <w:rFonts w:ascii="宋体" w:eastAsia="宋体" w:hAnsi="宋体" w:cs="宋体" w:hint="eastAsia"/>
                <w:b/>
                <w:bCs w:val="0"/>
                <w:i w:val="0"/>
                <w:color w:val="000000"/>
                <w:kern w:val="0"/>
                <w:sz w:val="21"/>
                <w:szCs w:val="21"/>
                <w:u w:val="none"/>
                <w:shd w:val="clear" w:color="auto" w:fill="auto"/>
                <w:lang w:val="en-US" w:eastAsia="zh-CN" w:bidi="ar"/>
              </w:rPr>
              <w:t>总计</w:t>
            </w:r>
          </w:p>
        </w:tc>
        <w:tc>
          <w:tcPr>
            <w:tcW w:w="480" w:type="dxa"/>
            <w:tcBorders>
              <w:top w:val="single" w:sz="4" w:space="0" w:color="auto"/>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right"/>
              <w:textAlignment w:val="center"/>
              <w:rPr>
                <w:rFonts w:ascii="宋体" w:eastAsia="宋体" w:hAnsi="宋体" w:cs="宋体" w:hint="eastAsia"/>
                <w:b w:val="0"/>
                <w:bCs w:val="0"/>
                <w:i w:val="0"/>
                <w:color w:val="000000"/>
                <w:kern w:val="2"/>
                <w:sz w:val="21"/>
                <w:szCs w:val="21"/>
                <w:u w:val="none"/>
                <w:shd w:val="clear" w:color="auto" w:fill="auto"/>
                <w:lang w:val="en-US" w:eastAsia="zh-CN" w:bidi="ar-SA"/>
              </w:rPr>
            </w:pPr>
            <w:r>
              <w:rPr>
                <w:rFonts w:ascii="宋体" w:eastAsia="宋体" w:hAnsi="宋体" w:cs="宋体" w:hint="eastAsia"/>
                <w:i w:val="0"/>
                <w:iCs w:val="0"/>
                <w:color w:val="000000"/>
                <w:kern w:val="0"/>
                <w:sz w:val="22"/>
                <w:szCs w:val="22"/>
                <w:u w:val="none"/>
                <w:lang w:val="en-US" w:eastAsia="zh-CN" w:bidi="ar"/>
              </w:rPr>
              <w:t>62</w:t>
            </w:r>
          </w:p>
        </w:tc>
        <w:tc>
          <w:tcPr>
            <w:tcW w:w="660" w:type="pct"/>
            <w:tcBorders>
              <w:top w:val="single" w:sz="4" w:space="0" w:color="auto"/>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b/>
                <w:bCs w:val="0"/>
                <w:sz w:val="21"/>
                <w:szCs w:val="21"/>
                <w:shd w:val="clear" w:color="auto" w:fill="auto"/>
                <w:vertAlign w:val="baseline"/>
              </w:rPr>
            </w:pPr>
            <w:r>
              <w:rPr>
                <w:rFonts w:ascii="Times New Roman" w:eastAsia="宋体" w:hAnsi="Times New Roman"/>
                <w:b w:val="0"/>
                <w:sz w:val="16"/>
              </w:rPr>
              <w:t>13,502.37</w:t>
            </w:r>
          </w:p>
        </w:tc>
      </w:tr>
      <w:tr>
        <w:tblPrEx>
          <w:tblW w:w="5000" w:type="pct"/>
          <w:jc w:val="center"/>
          <w:tblInd w:w="0" w:type="dxa"/>
          <w:tblLayout w:type="fixed"/>
          <w:tblCellMar>
            <w:top w:w="0" w:type="dxa"/>
            <w:left w:w="108" w:type="dxa"/>
            <w:bottom w:w="0" w:type="dxa"/>
            <w:right w:w="108" w:type="dxa"/>
          </w:tblCellMar>
        </w:tblPrEx>
        <w:trPr>
          <w:jc w:val="center"/>
        </w:trPr>
        <w:tc>
          <w:tcPr>
            <w:tcW w:w="5000" w:type="pct"/>
            <w:gridSpan w:val="6"/>
            <w:tcBorders>
              <w:top w:val="single" w:sz="4" w:space="0" w:color="auto"/>
              <w:left w:val="nil"/>
              <w:bottom w:val="nil"/>
              <w:right w:val="nil"/>
            </w:tcBorders>
          </w:tcPr>
          <w:p>
            <w:pPr>
              <w:pStyle w:val="Normal0"/>
              <w:spacing w:before="0" w:after="0"/>
              <w:rPr>
                <w:rFonts w:ascii="宋体" w:eastAsia="宋体" w:hAnsi="宋体" w:cs="宋体" w:hint="eastAsia"/>
                <w:sz w:val="21"/>
                <w:szCs w:val="21"/>
                <w:shd w:val="clear" w:color="auto" w:fill="auto"/>
                <w:vertAlign w:val="baseline"/>
              </w:rPr>
            </w:pPr>
            <w:r>
              <w:rPr>
                <w:rFonts w:ascii="宋体" w:eastAsia="宋体" w:hAnsi="宋体" w:cs="宋体" w:hint="eastAsia"/>
                <w:sz w:val="21"/>
                <w:szCs w:val="21"/>
                <w:shd w:val="clear" w:color="auto" w:fill="auto"/>
                <w:vertAlign w:val="baseline"/>
              </w:rPr>
              <w:t>注：本表反映</w:t>
            </w:r>
            <w:r>
              <w:rPr>
                <w:rFonts w:ascii="宋体" w:eastAsia="宋体" w:hAnsi="宋体" w:cs="宋体" w:hint="eastAsia"/>
                <w:sz w:val="21"/>
                <w:szCs w:val="21"/>
                <w:shd w:val="clear" w:color="auto" w:fill="auto"/>
                <w:vertAlign w:val="baseline"/>
                <w:lang w:val="en-US"/>
              </w:rPr>
              <w:t>部门</w:t>
            </w:r>
            <w:r>
              <w:rPr>
                <w:rFonts w:ascii="宋体" w:eastAsia="宋体" w:hAnsi="宋体" w:cs="宋体" w:hint="eastAsia"/>
                <w:sz w:val="21"/>
                <w:szCs w:val="21"/>
                <w:shd w:val="clear" w:color="auto" w:fill="auto"/>
                <w:vertAlign w:val="baseline"/>
              </w:rPr>
              <w:t>本年度的总收支和年末结转结余情况；本套报表金额单位转换成万元时，因四舍五入可能存在尾数误差。</w:t>
            </w:r>
          </w:p>
        </w:tc>
      </w:tr>
    </w:tbl>
    <w:p>
      <w:pPr>
        <w:sectPr>
          <w:pgSz w:w="11906" w:h="16838"/>
          <w:pgMar w:top="720" w:right="720" w:bottom="720" w:left="720" w:header="851" w:footer="992" w:gutter="0"/>
          <w:cols w:num="1" w:space="425"/>
          <w:docGrid w:type="lines" w:linePitch="312" w:charSpace="0"/>
        </w:sectPr>
      </w:pPr>
    </w:p>
    <w:tbl>
      <w:tblPr>
        <w:tblStyle w:val="TableGrid0"/>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37"/>
        <w:gridCol w:w="400"/>
        <w:gridCol w:w="480"/>
        <w:gridCol w:w="3380"/>
        <w:gridCol w:w="1364"/>
        <w:gridCol w:w="1364"/>
        <w:gridCol w:w="1364"/>
        <w:gridCol w:w="1364"/>
        <w:gridCol w:w="1364"/>
        <w:gridCol w:w="1364"/>
        <w:gridCol w:w="1364"/>
        <w:gridCol w:w="1370"/>
      </w:tblGrid>
      <w:tr>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3"/>
          <w:tblHeader/>
          <w:jc w:val="center"/>
        </w:trPr>
        <w:tc>
          <w:tcPr>
            <w:tcW w:w="5000" w:type="pct"/>
            <w:gridSpan w:val="12"/>
            <w:tcBorders>
              <w:top w:val="nil"/>
              <w:left w:val="nil"/>
              <w:bottom w:val="nil"/>
              <w:right w:val="nil"/>
            </w:tcBorders>
            <w:vAlign w:val="center"/>
          </w:tcPr>
          <w:p>
            <w:pPr>
              <w:pStyle w:val="Normal0"/>
              <w:spacing w:before="0" w:after="0"/>
              <w:jc w:val="center"/>
              <w:rPr>
                <w:rFonts w:ascii="Times New Roman" w:hAnsi="Times New Roman"/>
                <w:shd w:val="clear" w:color="auto" w:fill="auto"/>
                <w:vertAlign w:val="baseline"/>
              </w:rPr>
            </w:pPr>
            <w:r>
              <w:rPr>
                <w:rFonts w:ascii="Times New Roman" w:eastAsia="黑体" w:hAnsi="Times New Roman" w:cs="黑体" w:hint="eastAsia"/>
                <w:sz w:val="32"/>
                <w:szCs w:val="32"/>
                <w:shd w:val="clear" w:color="auto" w:fill="auto"/>
                <w:vertAlign w:val="baseline"/>
              </w:rPr>
              <w:t>收入决算表</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139" w:type="pct"/>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128" w:type="pct"/>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153" w:type="pct"/>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1082" w:type="pct"/>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436" w:type="pct"/>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436" w:type="pct"/>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436" w:type="pct"/>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436" w:type="pct"/>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436" w:type="pct"/>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1312" w:type="pct"/>
            <w:gridSpan w:val="3"/>
            <w:tcBorders>
              <w:top w:val="nil"/>
              <w:left w:val="nil"/>
              <w:bottom w:val="nil"/>
              <w:right w:val="nil"/>
            </w:tcBorders>
            <w:vAlign w:val="center"/>
          </w:tcPr>
          <w:p>
            <w:pPr>
              <w:pStyle w:val="Normal0"/>
              <w:spacing w:before="0" w:after="0"/>
              <w:jc w:val="right"/>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公开02表</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4124" w:type="pct"/>
            <w:gridSpan w:val="10"/>
            <w:tcBorders>
              <w:top w:val="nil"/>
              <w:left w:val="nil"/>
              <w:bottom w:val="single" w:sz="4" w:space="0" w:color="auto"/>
              <w:right w:val="nil"/>
            </w:tcBorders>
            <w:vAlign w:val="center"/>
          </w:tcPr>
          <w:p>
            <w:pPr>
              <w:pStyle w:val="Normal0"/>
              <w:spacing w:before="0" w:after="0"/>
              <w:jc w:val="both"/>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部门：铜陵市铜官区新城办事处</w:t>
            </w:r>
          </w:p>
        </w:tc>
        <w:tc>
          <w:tcPr>
            <w:tcW w:w="875" w:type="pct"/>
            <w:gridSpan w:val="2"/>
            <w:tcBorders>
              <w:top w:val="nil"/>
              <w:left w:val="nil"/>
              <w:bottom w:val="single" w:sz="4" w:space="0" w:color="auto"/>
              <w:right w:val="nil"/>
            </w:tcBorders>
            <w:vAlign w:val="center"/>
          </w:tcPr>
          <w:p>
            <w:pPr>
              <w:pStyle w:val="Normal0"/>
              <w:spacing w:before="0" w:after="0"/>
              <w:jc w:val="right"/>
              <w:rPr>
                <w:rFonts w:ascii="宋体" w:eastAsia="宋体" w:hAnsi="宋体" w:cs="宋体" w:hint="eastAsia"/>
                <w:kern w:val="2"/>
                <w:sz w:val="20"/>
                <w:szCs w:val="20"/>
                <w:shd w:val="clear" w:color="auto" w:fill="auto"/>
                <w:vertAlign w:val="baseline"/>
                <w:lang w:val="en-US" w:eastAsia="zh-CN" w:bidi="ar-SA"/>
              </w:rPr>
            </w:pPr>
            <w:r>
              <w:rPr>
                <w:rFonts w:ascii="宋体" w:eastAsia="宋体" w:hAnsi="宋体" w:cs="宋体" w:hint="eastAsia"/>
                <w:sz w:val="20"/>
                <w:szCs w:val="20"/>
                <w:shd w:val="clear" w:color="auto" w:fill="auto"/>
                <w:vertAlign w:val="baseline"/>
              </w:rPr>
              <w:t>金额单位：万元</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421" w:type="pct"/>
            <w:gridSpan w:val="3"/>
            <w:vMerge w:val="restart"/>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科目代码</w:t>
            </w:r>
          </w:p>
        </w:tc>
        <w:tc>
          <w:tcPr>
            <w:tcW w:w="1082" w:type="pct"/>
            <w:vMerge w:val="restart"/>
            <w:tcBorders>
              <w:top w:val="single" w:sz="4" w:space="0" w:color="auto"/>
            </w:tcBorders>
            <w:vAlign w:val="center"/>
          </w:tcPr>
          <w:p>
            <w:pPr>
              <w:pStyle w:val="Normal0"/>
              <w:spacing w:before="0" w:after="0"/>
              <w:jc w:val="center"/>
              <w:rPr>
                <w:rFonts w:ascii="宋体" w:eastAsia="宋体" w:hAnsi="宋体" w:cs="宋体" w:hint="eastAsia"/>
                <w:kern w:val="2"/>
                <w:sz w:val="20"/>
                <w:szCs w:val="20"/>
                <w:shd w:val="clear" w:color="auto" w:fill="auto"/>
                <w:vertAlign w:val="baseline"/>
                <w:lang w:val="en-US" w:bidi="ar-SA"/>
              </w:rPr>
            </w:pPr>
            <w:r>
              <w:rPr>
                <w:rFonts w:ascii="宋体" w:eastAsia="宋体" w:hAnsi="宋体" w:cs="宋体" w:hint="eastAsia"/>
                <w:sz w:val="20"/>
                <w:szCs w:val="20"/>
                <w:shd w:val="clear" w:color="auto" w:fill="auto"/>
                <w:vertAlign w:val="baseline"/>
                <w:lang w:val="en-US"/>
              </w:rPr>
              <w:t>科目名称</w:t>
            </w:r>
          </w:p>
        </w:tc>
        <w:tc>
          <w:tcPr>
            <w:tcW w:w="436" w:type="pct"/>
            <w:vMerge w:val="restart"/>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本年收入合计</w:t>
            </w:r>
          </w:p>
        </w:tc>
        <w:tc>
          <w:tcPr>
            <w:tcW w:w="436" w:type="pct"/>
            <w:vMerge w:val="restart"/>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财政拨款收入</w:t>
            </w:r>
          </w:p>
        </w:tc>
        <w:tc>
          <w:tcPr>
            <w:tcW w:w="436" w:type="pct"/>
            <w:vMerge w:val="restart"/>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上级补助收入</w:t>
            </w:r>
          </w:p>
        </w:tc>
        <w:tc>
          <w:tcPr>
            <w:tcW w:w="873" w:type="pct"/>
            <w:gridSpan w:val="2"/>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lang w:val="en-US"/>
              </w:rPr>
              <w:t>事业收入</w:t>
            </w:r>
          </w:p>
        </w:tc>
        <w:tc>
          <w:tcPr>
            <w:tcW w:w="436" w:type="pct"/>
            <w:vMerge w:val="restart"/>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经营收入</w:t>
            </w:r>
          </w:p>
        </w:tc>
        <w:tc>
          <w:tcPr>
            <w:tcW w:w="436" w:type="pct"/>
            <w:vMerge w:val="restart"/>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附属单位上缴收入</w:t>
            </w:r>
          </w:p>
        </w:tc>
        <w:tc>
          <w:tcPr>
            <w:tcW w:w="438" w:type="pct"/>
            <w:vMerge w:val="restart"/>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其他收入</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421" w:type="pct"/>
            <w:gridSpan w:val="3"/>
            <w:vMerge/>
            <w:vAlign w:val="center"/>
          </w:tcPr>
          <w:p>
            <w:pPr>
              <w:pStyle w:val="Normal0"/>
              <w:jc w:val="center"/>
              <w:rPr>
                <w:rFonts w:ascii="宋体" w:eastAsia="宋体" w:hAnsi="宋体" w:cs="宋体" w:hint="eastAsia"/>
                <w:sz w:val="20"/>
                <w:szCs w:val="20"/>
                <w:shd w:val="clear" w:color="auto" w:fill="auto"/>
                <w:vertAlign w:val="baseline"/>
              </w:rPr>
            </w:pPr>
          </w:p>
        </w:tc>
        <w:tc>
          <w:tcPr>
            <w:tcW w:w="1082" w:type="pct"/>
            <w:vMerge/>
            <w:vAlign w:val="center"/>
          </w:tcPr>
          <w:p>
            <w:pPr>
              <w:pStyle w:val="Normal0"/>
              <w:jc w:val="center"/>
              <w:rPr>
                <w:rFonts w:ascii="宋体" w:eastAsia="宋体" w:hAnsi="宋体" w:cs="宋体" w:hint="eastAsia"/>
                <w:sz w:val="20"/>
                <w:szCs w:val="20"/>
                <w:shd w:val="clear" w:color="auto" w:fill="auto"/>
                <w:vertAlign w:val="baseline"/>
              </w:rPr>
            </w:pPr>
          </w:p>
        </w:tc>
        <w:tc>
          <w:tcPr>
            <w:tcW w:w="436" w:type="pct"/>
            <w:vMerge/>
            <w:vAlign w:val="center"/>
          </w:tcPr>
          <w:p>
            <w:pPr>
              <w:pStyle w:val="Normal0"/>
              <w:jc w:val="center"/>
              <w:rPr>
                <w:rFonts w:ascii="宋体" w:eastAsia="宋体" w:hAnsi="宋体" w:cs="宋体" w:hint="eastAsia"/>
                <w:sz w:val="20"/>
                <w:szCs w:val="20"/>
                <w:shd w:val="clear" w:color="auto" w:fill="auto"/>
                <w:vertAlign w:val="baseline"/>
              </w:rPr>
            </w:pPr>
          </w:p>
        </w:tc>
        <w:tc>
          <w:tcPr>
            <w:tcW w:w="436" w:type="pct"/>
            <w:vMerge/>
            <w:vAlign w:val="center"/>
          </w:tcPr>
          <w:p>
            <w:pPr>
              <w:pStyle w:val="Normal0"/>
              <w:jc w:val="center"/>
              <w:rPr>
                <w:rFonts w:ascii="宋体" w:eastAsia="宋体" w:hAnsi="宋体" w:cs="宋体" w:hint="eastAsia"/>
                <w:sz w:val="20"/>
                <w:szCs w:val="20"/>
                <w:shd w:val="clear" w:color="auto" w:fill="auto"/>
                <w:vertAlign w:val="baseline"/>
              </w:rPr>
            </w:pPr>
          </w:p>
        </w:tc>
        <w:tc>
          <w:tcPr>
            <w:tcW w:w="436" w:type="pct"/>
            <w:vMerge/>
            <w:vAlign w:val="center"/>
          </w:tcPr>
          <w:p>
            <w:pPr>
              <w:pStyle w:val="Normal0"/>
              <w:jc w:val="center"/>
              <w:rPr>
                <w:rFonts w:ascii="宋体" w:eastAsia="宋体" w:hAnsi="宋体" w:cs="宋体" w:hint="eastAsia"/>
                <w:sz w:val="20"/>
                <w:szCs w:val="20"/>
                <w:shd w:val="clear" w:color="auto" w:fill="auto"/>
                <w:vertAlign w:val="baseline"/>
              </w:rPr>
            </w:pPr>
          </w:p>
        </w:tc>
        <w:tc>
          <w:tcPr>
            <w:tcW w:w="436" w:type="pct"/>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小计</w:t>
            </w:r>
          </w:p>
        </w:tc>
        <w:tc>
          <w:tcPr>
            <w:tcW w:w="436" w:type="pct"/>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其中</w:t>
            </w:r>
            <w:r>
              <w:rPr>
                <w:rFonts w:ascii="宋体" w:eastAsia="宋体" w:hAnsi="宋体" w:cs="宋体" w:hint="eastAsia"/>
                <w:sz w:val="20"/>
                <w:szCs w:val="20"/>
                <w:shd w:val="clear" w:color="auto" w:fill="auto"/>
                <w:vertAlign w:val="baseline"/>
              </w:rPr>
              <w:t>：</w:t>
            </w:r>
            <w:r>
              <w:rPr>
                <w:rFonts w:ascii="宋体" w:eastAsia="宋体" w:hAnsi="宋体" w:cs="宋体" w:hint="eastAsia"/>
                <w:sz w:val="20"/>
                <w:szCs w:val="20"/>
                <w:shd w:val="clear" w:color="auto" w:fill="auto"/>
                <w:vertAlign w:val="baseline"/>
                <w:lang w:val="en-US"/>
              </w:rPr>
              <w:t>教育收费</w:t>
            </w:r>
          </w:p>
        </w:tc>
        <w:tc>
          <w:tcPr>
            <w:tcW w:w="436" w:type="pct"/>
            <w:vMerge/>
            <w:vAlign w:val="center"/>
          </w:tcPr>
          <w:p>
            <w:pPr>
              <w:pStyle w:val="Normal0"/>
              <w:jc w:val="center"/>
              <w:rPr>
                <w:rFonts w:ascii="宋体" w:eastAsia="宋体" w:hAnsi="宋体" w:cs="宋体" w:hint="eastAsia"/>
                <w:sz w:val="20"/>
                <w:szCs w:val="20"/>
                <w:shd w:val="clear" w:color="auto" w:fill="auto"/>
                <w:vertAlign w:val="baseline"/>
              </w:rPr>
            </w:pPr>
          </w:p>
        </w:tc>
        <w:tc>
          <w:tcPr>
            <w:tcW w:w="436" w:type="pct"/>
            <w:vMerge/>
            <w:vAlign w:val="center"/>
          </w:tcPr>
          <w:p>
            <w:pPr>
              <w:pStyle w:val="Normal0"/>
              <w:jc w:val="center"/>
              <w:rPr>
                <w:rFonts w:ascii="宋体" w:eastAsia="宋体" w:hAnsi="宋体" w:cs="宋体" w:hint="eastAsia"/>
                <w:sz w:val="20"/>
                <w:szCs w:val="20"/>
                <w:shd w:val="clear" w:color="auto" w:fill="auto"/>
                <w:vertAlign w:val="baseline"/>
              </w:rPr>
            </w:pPr>
          </w:p>
        </w:tc>
        <w:tc>
          <w:tcPr>
            <w:tcW w:w="438" w:type="pct"/>
            <w:vMerge/>
            <w:vAlign w:val="center"/>
          </w:tcPr>
          <w:p>
            <w:pPr>
              <w:pStyle w:val="Normal0"/>
              <w:jc w:val="center"/>
              <w:rPr>
                <w:rFonts w:ascii="宋体" w:eastAsia="宋体" w:hAnsi="宋体" w:cs="宋体" w:hint="eastAsia"/>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139" w:type="pct"/>
            <w:vMerge w:val="restart"/>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类</w:t>
            </w:r>
          </w:p>
        </w:tc>
        <w:tc>
          <w:tcPr>
            <w:tcW w:w="128" w:type="pct"/>
            <w:vMerge w:val="restart"/>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款</w:t>
            </w:r>
          </w:p>
        </w:tc>
        <w:tc>
          <w:tcPr>
            <w:tcW w:w="153" w:type="pct"/>
            <w:vMerge w:val="restart"/>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项</w:t>
            </w:r>
          </w:p>
        </w:tc>
        <w:tc>
          <w:tcPr>
            <w:tcW w:w="1082" w:type="pct"/>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栏次</w:t>
            </w:r>
          </w:p>
        </w:tc>
        <w:tc>
          <w:tcPr>
            <w:tcW w:w="436" w:type="pct"/>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1</w:t>
            </w:r>
          </w:p>
        </w:tc>
        <w:tc>
          <w:tcPr>
            <w:tcW w:w="436" w:type="pct"/>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2</w:t>
            </w:r>
          </w:p>
        </w:tc>
        <w:tc>
          <w:tcPr>
            <w:tcW w:w="436" w:type="pct"/>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3</w:t>
            </w:r>
          </w:p>
        </w:tc>
        <w:tc>
          <w:tcPr>
            <w:tcW w:w="436" w:type="pct"/>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4</w:t>
            </w:r>
          </w:p>
        </w:tc>
        <w:tc>
          <w:tcPr>
            <w:tcW w:w="436" w:type="pct"/>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5</w:t>
            </w:r>
          </w:p>
        </w:tc>
        <w:tc>
          <w:tcPr>
            <w:tcW w:w="436" w:type="pct"/>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6</w:t>
            </w:r>
          </w:p>
        </w:tc>
        <w:tc>
          <w:tcPr>
            <w:tcW w:w="436" w:type="pct"/>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7</w:t>
            </w:r>
          </w:p>
        </w:tc>
        <w:tc>
          <w:tcPr>
            <w:tcW w:w="438" w:type="pct"/>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8</w:t>
            </w: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139" w:type="pct"/>
            <w:vMerge/>
            <w:vAlign w:val="center"/>
          </w:tcPr>
          <w:p>
            <w:pPr>
              <w:pStyle w:val="Normal0"/>
              <w:jc w:val="center"/>
              <w:rPr>
                <w:rFonts w:ascii="宋体" w:eastAsia="宋体" w:hAnsi="宋体" w:cs="宋体" w:hint="eastAsia"/>
                <w:sz w:val="20"/>
                <w:szCs w:val="20"/>
                <w:shd w:val="clear" w:color="auto" w:fill="auto"/>
                <w:vertAlign w:val="baseline"/>
              </w:rPr>
            </w:pPr>
          </w:p>
        </w:tc>
        <w:tc>
          <w:tcPr>
            <w:tcW w:w="128" w:type="pct"/>
            <w:vMerge/>
            <w:vAlign w:val="center"/>
          </w:tcPr>
          <w:p>
            <w:pPr>
              <w:pStyle w:val="Normal0"/>
              <w:jc w:val="center"/>
              <w:rPr>
                <w:rFonts w:ascii="宋体" w:eastAsia="宋体" w:hAnsi="宋体" w:cs="宋体" w:hint="eastAsia"/>
                <w:sz w:val="20"/>
                <w:szCs w:val="20"/>
                <w:shd w:val="clear" w:color="auto" w:fill="auto"/>
                <w:vertAlign w:val="baseline"/>
              </w:rPr>
            </w:pPr>
          </w:p>
        </w:tc>
        <w:tc>
          <w:tcPr>
            <w:tcW w:w="153" w:type="pct"/>
            <w:vMerge/>
            <w:vAlign w:val="center"/>
          </w:tcPr>
          <w:p>
            <w:pPr>
              <w:pStyle w:val="Normal0"/>
              <w:jc w:val="center"/>
              <w:rPr>
                <w:rFonts w:ascii="宋体" w:eastAsia="宋体" w:hAnsi="宋体" w:cs="宋体" w:hint="eastAsia"/>
                <w:sz w:val="20"/>
                <w:szCs w:val="20"/>
                <w:shd w:val="clear" w:color="auto" w:fill="auto"/>
                <w:vertAlign w:val="baseline"/>
              </w:rPr>
            </w:pPr>
          </w:p>
        </w:tc>
        <w:tc>
          <w:tcPr>
            <w:tcW w:w="1082" w:type="pct"/>
            <w:vAlign w:val="center"/>
          </w:tcPr>
          <w:p>
            <w:pPr>
              <w:pStyle w:val="Normal0"/>
              <w:spacing w:before="0" w:after="0"/>
              <w:jc w:val="center"/>
              <w:rPr>
                <w:rFonts w:ascii="宋体" w:eastAsia="宋体" w:hAnsi="宋体" w:cs="宋体" w:hint="eastAsia"/>
                <w:b/>
                <w:bCs/>
                <w:sz w:val="20"/>
                <w:szCs w:val="20"/>
                <w:shd w:val="clear" w:color="auto" w:fill="auto"/>
                <w:vertAlign w:val="baseline"/>
                <w:lang w:val="en-US"/>
              </w:rPr>
            </w:pPr>
            <w:r>
              <w:rPr>
                <w:rFonts w:ascii="宋体" w:eastAsia="宋体" w:hAnsi="宋体" w:cs="宋体" w:hint="eastAsia"/>
                <w:b/>
                <w:bCs/>
                <w:sz w:val="20"/>
                <w:szCs w:val="20"/>
                <w:shd w:val="clear" w:color="auto" w:fill="auto"/>
                <w:vertAlign w:val="baseline"/>
                <w:lang w:val="en-US"/>
              </w:rPr>
              <w:t>合计</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r>
              <w:rPr>
                <w:rFonts w:ascii="Times New Roman" w:eastAsia="宋体" w:hAnsi="Times New Roman"/>
                <w:b w:val="0"/>
                <w:sz w:val="16"/>
              </w:rPr>
              <w:t>12,985.89</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r>
              <w:rPr>
                <w:rFonts w:ascii="Times New Roman" w:eastAsia="宋体" w:hAnsi="Times New Roman"/>
                <w:b w:val="0"/>
                <w:sz w:val="16"/>
              </w:rPr>
              <w:t>10,263.14</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p>
        </w:tc>
        <w:tc>
          <w:tcPr>
            <w:tcW w:w="438" w:type="pct"/>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r>
              <w:rPr>
                <w:rFonts w:ascii="Times New Roman" w:eastAsia="宋体" w:hAnsi="Times New Roman"/>
                <w:b w:val="0"/>
                <w:sz w:val="16"/>
              </w:rPr>
              <w:t>2,722.76</w:t>
            </w: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421" w:type="pct"/>
            <w:gridSpan w:val="3"/>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sz w:val="16"/>
              </w:rPr>
              <w:t>201</w:t>
            </w:r>
          </w:p>
        </w:tc>
        <w:tc>
          <w:tcPr>
            <w:tcW w:w="1082" w:type="pct"/>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sz w:val="16"/>
              </w:rPr>
              <w:t>一般公共服务支出</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sz w:val="16"/>
              </w:rPr>
              <w:t>26.17</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sz w:val="16"/>
              </w:rPr>
              <w:t>26.17</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8"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421" w:type="pct"/>
            <w:gridSpan w:val="3"/>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val="0"/>
                <w:sz w:val="16"/>
              </w:rPr>
              <w:t>20105</w:t>
            </w:r>
          </w:p>
        </w:tc>
        <w:tc>
          <w:tcPr>
            <w:tcW w:w="1082" w:type="pct"/>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val="0"/>
                <w:sz w:val="16"/>
              </w:rPr>
              <w:t>统计信息事务</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val="0"/>
                <w:sz w:val="16"/>
              </w:rPr>
              <w:t>1.29</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val="0"/>
                <w:sz w:val="16"/>
              </w:rPr>
              <w:t>1.29</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8"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421" w:type="pct"/>
            <w:gridSpan w:val="3"/>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val="0"/>
                <w:sz w:val="16"/>
              </w:rPr>
              <w:t>2010507</w:t>
            </w:r>
          </w:p>
        </w:tc>
        <w:tc>
          <w:tcPr>
            <w:tcW w:w="1082" w:type="pct"/>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val="0"/>
                <w:sz w:val="16"/>
              </w:rPr>
              <w:t>专项普查活动</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val="0"/>
                <w:sz w:val="16"/>
              </w:rPr>
              <w:t>1.29</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val="0"/>
                <w:sz w:val="16"/>
              </w:rPr>
              <w:t>1.29</w:t>
            </w: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6"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438" w:type="pct"/>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20123</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民族事务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2012304</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民族工作专项</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群众团体事务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24.64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24.64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2012902</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一般行政管理事务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0.17</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0.17</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2012906</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工会事务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0.74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0.74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其他群众团体事务支出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23.73</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23.73</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204</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公共安全支出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2.26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2.26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20499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其他公共安全支出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2049999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其他公共安全支出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208</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社会保障和就业支出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175.04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175.04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20802</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民政管理事务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2080299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其他民政管理事务支出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行政事业单位养老支出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135.46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135.46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2080501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行政单位离退休</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20.65</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20.65</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2080505</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机关事业单位基本养老保险缴费支出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77.96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77.96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2080506</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机关事业单位职业年金缴费支出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36.86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36.86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20808</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抚恤</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12.24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12.24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2080805</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义务兵优待</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2.88</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2.88</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2080899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其他优抚支出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9.36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9.36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20811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残疾人事业</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2081105</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残疾人就业</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20828</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退役军人管理事务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3.08</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3.08</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2082804</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拥军优属</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1.08</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1.08</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2082899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其他退役军人事务管理支出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其他社会保障和就业支出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2089999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其他社会保障和就业支出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210</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卫生健康支出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43.27</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43.27</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21004</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公共卫生</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2100408</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基本公共卫生服务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行政事业单位医疗</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2101101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行政单位医疗</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21016</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老龄卫生健康事务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2101601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老龄卫生健康事务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212</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城乡社区支出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6,446.88</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3,724.12</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2,722.76</w:t>
            </w: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城乡社区管理事务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6,181.30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3,458.54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2,722.76</w:t>
            </w: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2120101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行政运行</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5,352.81</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2,630.05</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2,722.76</w:t>
            </w: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2120102</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一般行政管理事务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14.61</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14.61</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其他城乡社区管理事务支出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813.88</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813.88</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21205</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城乡社区环境卫生</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2120501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城乡社区环境卫生</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其他城乡社区支出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2129999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其他城乡社区支出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213</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农林水支出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60.70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60.70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农业农村</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2130110</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执法监管</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21303</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水利</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2130399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其他水利支出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21307</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农村综合改革</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2130705</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对村民委员会和村党支部的补助</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215</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资源勘探工业信息等支出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250.00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250.00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21599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其他资源勘探工业信息等支出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2159999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其他资源勘探工业信息等支出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216</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商业服务业等支出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5,702.64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5,702.64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21699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其他商业服务业等支出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2169999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其他商业服务业等支出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221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住房保障支出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264.83</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264.83</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保障性安居工程支出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2210108</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老旧小区改造</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22102</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住房改革支出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2210201</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住房公积金</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224</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灾害防治及应急管理支出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9.41</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9.41</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22407</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自然灾害救灾及恢复重建支出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2240703</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自然灾害救灾补助</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229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sz w:val="16"/>
              </w:rPr>
              <w:t>其他支出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4.70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4.70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22960</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彩票公益金安排的支出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4.70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4.70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3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2296099</w:t>
            </w:r>
          </w:p>
        </w:tc>
        <w:tc>
          <w:tcPr>
            <w:tcW w:w="3380" w:type="dxa"/>
            <w:tcMar>
              <w:left w:w="20" w:type="dxa"/>
              <w:right w:w="20" w:type="dxa"/>
            </w:tcMar>
            <w:vAlign w:val="center"/>
          </w:tcPr>
          <w:p>
            <w:pPr>
              <w:pStyle w:val="Normal0"/>
              <w:spacing w:before="0" w:after="0" w:line="240" w:lineRule="auto"/>
            </w:pPr>
            <w:r>
              <w:rPr>
                <w:rFonts w:ascii="Times New Roman" w:eastAsia="宋体" w:hAnsi="Times New Roman"/>
                <w:b w:val="0"/>
                <w:sz w:val="16"/>
              </w:rPr>
              <w:t>用于其他社会公益事业的彩票公益金支出</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4.70</w:t>
            </w:r>
          </w:p>
        </w:tc>
        <w:tc>
          <w:tcPr>
            <w:tcW w:w="1364"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4.70</w:t>
            </w: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64" w:type="dxa"/>
            <w:tcMar>
              <w:left w:w="20" w:type="dxa"/>
              <w:right w:w="20" w:type="dxa"/>
            </w:tcMar>
            <w:vAlign w:val="center"/>
          </w:tcPr>
          <w:p>
            <w:pPr>
              <w:pStyle w:val="Normal0"/>
              <w:spacing w:before="0" w:after="0" w:line="240" w:lineRule="auto"/>
              <w:jc w:val="right"/>
            </w:pPr>
          </w:p>
        </w:tc>
        <w:tc>
          <w:tcPr>
            <w:tcW w:w="1370" w:type="dxa"/>
            <w:tcMar>
              <w:left w:w="20" w:type="dxa"/>
              <w:right w:w="20" w:type="dxa"/>
            </w:tcMar>
            <w:vAlign w:val="center"/>
          </w:tcPr>
          <w:p>
            <w:pPr>
              <w:pStyle w:val="Normal0"/>
              <w:spacing w:before="0" w:after="0" w:line="240" w:lineRule="auto"/>
              <w:jc w:val="right"/>
            </w:pPr>
          </w:p>
        </w:tc>
      </w:tr>
    </w:tbl>
    <w:p>
      <w:pPr>
        <w:pStyle w:val="Normal0"/>
        <w:rPr>
          <w:rFonts w:ascii="宋体" w:eastAsia="宋体" w:hAnsi="宋体" w:cs="宋体" w:hint="eastAsia"/>
          <w:sz w:val="20"/>
          <w:szCs w:val="20"/>
          <w:shd w:val="clear" w:color="auto" w:fill="auto"/>
        </w:rPr>
        <w:sectPr>
          <w:pgSz w:w="16838" w:h="11906" w:orient="landscape"/>
          <w:pgMar w:top="663" w:right="720" w:bottom="663" w:left="720" w:header="851" w:footer="992" w:gutter="0"/>
          <w:cols w:num="1" w:space="0"/>
          <w:rtlGutter w:val="0"/>
          <w:docGrid w:type="lines" w:linePitch="312" w:charSpace="0"/>
        </w:sectPr>
      </w:pPr>
      <w:r>
        <w:rPr>
          <w:rFonts w:ascii="宋体" w:eastAsia="宋体" w:hAnsi="宋体" w:cs="宋体" w:hint="eastAsia"/>
          <w:sz w:val="20"/>
          <w:szCs w:val="20"/>
          <w:shd w:val="clear" w:color="auto" w:fill="auto"/>
        </w:rPr>
        <w:t>注：本表反映部门本年度取得的各项收入情况。</w:t>
      </w:r>
    </w:p>
    <w:tbl>
      <w:tblPr>
        <w:tblStyle w:val="TableGrid0"/>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57"/>
        <w:gridCol w:w="480"/>
        <w:gridCol w:w="480"/>
        <w:gridCol w:w="4420"/>
        <w:gridCol w:w="1629"/>
        <w:gridCol w:w="1629"/>
        <w:gridCol w:w="1629"/>
        <w:gridCol w:w="1629"/>
        <w:gridCol w:w="1629"/>
        <w:gridCol w:w="1632"/>
      </w:tblGrid>
      <w:tr>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3"/>
          <w:tblHeader/>
          <w:jc w:val="center"/>
        </w:trPr>
        <w:tc>
          <w:tcPr>
            <w:tcW w:w="15614" w:type="dxa"/>
            <w:gridSpan w:val="10"/>
            <w:tcBorders>
              <w:top w:val="nil"/>
              <w:left w:val="nil"/>
              <w:bottom w:val="nil"/>
              <w:right w:val="nil"/>
            </w:tcBorders>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黑体" w:hAnsi="Times New Roman" w:cs="黑体" w:hint="eastAsia"/>
                <w:sz w:val="32"/>
                <w:szCs w:val="32"/>
                <w:shd w:val="clear" w:color="auto" w:fill="auto"/>
                <w:vertAlign w:val="baseline"/>
                <w:lang w:val="en-US"/>
              </w:rPr>
              <w:t>支出决算表</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457" w:type="dxa"/>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480" w:type="dxa"/>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480" w:type="dxa"/>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4420" w:type="dxa"/>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1629" w:type="dxa"/>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1629" w:type="dxa"/>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1629" w:type="dxa"/>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1629" w:type="dxa"/>
            <w:tcBorders>
              <w:top w:val="nil"/>
              <w:left w:val="nil"/>
              <w:bottom w:val="nil"/>
              <w:right w:val="nil"/>
            </w:tcBorders>
          </w:tcPr>
          <w:p>
            <w:pPr>
              <w:pStyle w:val="Normal0"/>
              <w:spacing w:before="0" w:after="0"/>
              <w:rPr>
                <w:rFonts w:ascii="宋体" w:eastAsia="宋体" w:hAnsi="宋体" w:cs="宋体" w:hint="eastAsia"/>
                <w:sz w:val="20"/>
                <w:szCs w:val="20"/>
                <w:shd w:val="clear" w:color="auto" w:fill="auto"/>
                <w:vertAlign w:val="baseline"/>
              </w:rPr>
            </w:pPr>
          </w:p>
        </w:tc>
        <w:tc>
          <w:tcPr>
            <w:tcW w:w="3261" w:type="dxa"/>
            <w:gridSpan w:val="2"/>
            <w:tcBorders>
              <w:top w:val="nil"/>
              <w:left w:val="nil"/>
              <w:bottom w:val="nil"/>
              <w:right w:val="nil"/>
            </w:tcBorders>
            <w:vAlign w:val="center"/>
          </w:tcPr>
          <w:p>
            <w:pPr>
              <w:pStyle w:val="Normal0"/>
              <w:spacing w:before="0" w:after="0"/>
              <w:jc w:val="right"/>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公开</w:t>
            </w:r>
            <w:r>
              <w:rPr>
                <w:rFonts w:ascii="宋体" w:eastAsia="宋体" w:hAnsi="宋体" w:cs="宋体" w:hint="eastAsia"/>
                <w:sz w:val="20"/>
                <w:szCs w:val="20"/>
                <w:shd w:val="clear" w:color="auto" w:fill="auto"/>
                <w:vertAlign w:val="baseline"/>
              </w:rPr>
              <w:t>03</w:t>
            </w:r>
            <w:r>
              <w:rPr>
                <w:rFonts w:ascii="宋体" w:eastAsia="宋体" w:hAnsi="宋体" w:cs="宋体" w:hint="eastAsia"/>
                <w:sz w:val="20"/>
                <w:szCs w:val="20"/>
                <w:shd w:val="clear" w:color="auto" w:fill="auto"/>
                <w:vertAlign w:val="baseline"/>
                <w:lang w:val="en-US"/>
              </w:rPr>
              <w:t>表</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12353" w:type="dxa"/>
            <w:gridSpan w:val="8"/>
            <w:tcBorders>
              <w:top w:val="nil"/>
              <w:left w:val="nil"/>
              <w:bottom w:val="single" w:sz="4" w:space="0" w:color="auto"/>
              <w:right w:val="nil"/>
            </w:tcBorders>
          </w:tcPr>
          <w:p>
            <w:pPr>
              <w:pStyle w:val="Normal0"/>
              <w:spacing w:before="0" w:after="0"/>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部门：铜陵市铜官区新城办事处</w:t>
            </w:r>
          </w:p>
        </w:tc>
        <w:tc>
          <w:tcPr>
            <w:tcW w:w="3261" w:type="dxa"/>
            <w:gridSpan w:val="2"/>
            <w:tcBorders>
              <w:top w:val="nil"/>
              <w:left w:val="nil"/>
              <w:bottom w:val="single" w:sz="4" w:space="0" w:color="auto"/>
              <w:right w:val="nil"/>
            </w:tcBorders>
            <w:vAlign w:val="center"/>
          </w:tcPr>
          <w:p>
            <w:pPr>
              <w:pStyle w:val="Normal0"/>
              <w:spacing w:before="0" w:after="0"/>
              <w:jc w:val="right"/>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金额单位</w:t>
            </w:r>
            <w:r>
              <w:rPr>
                <w:rFonts w:ascii="宋体" w:eastAsia="宋体" w:hAnsi="宋体" w:cs="宋体" w:hint="eastAsia"/>
                <w:sz w:val="20"/>
                <w:szCs w:val="20"/>
                <w:shd w:val="clear" w:color="auto" w:fill="auto"/>
                <w:vertAlign w:val="baseline"/>
              </w:rPr>
              <w:t>：</w:t>
            </w:r>
            <w:r>
              <w:rPr>
                <w:rFonts w:ascii="宋体" w:eastAsia="宋体" w:hAnsi="宋体" w:cs="宋体" w:hint="eastAsia"/>
                <w:sz w:val="20"/>
                <w:szCs w:val="20"/>
                <w:shd w:val="clear" w:color="auto" w:fill="auto"/>
                <w:vertAlign w:val="baseline"/>
                <w:lang w:val="en-US"/>
              </w:rPr>
              <w:t>万元</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1417" w:type="dxa"/>
            <w:gridSpan w:val="3"/>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科目代码</w:t>
            </w:r>
          </w:p>
        </w:tc>
        <w:tc>
          <w:tcPr>
            <w:tcW w:w="4420" w:type="dxa"/>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科目名称</w:t>
            </w:r>
          </w:p>
        </w:tc>
        <w:tc>
          <w:tcPr>
            <w:tcW w:w="1629" w:type="dxa"/>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本年支出合计</w:t>
            </w:r>
          </w:p>
        </w:tc>
        <w:tc>
          <w:tcPr>
            <w:tcW w:w="1629" w:type="dxa"/>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基本支出</w:t>
            </w:r>
          </w:p>
        </w:tc>
        <w:tc>
          <w:tcPr>
            <w:tcW w:w="1629" w:type="dxa"/>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项目支出</w:t>
            </w:r>
          </w:p>
        </w:tc>
        <w:tc>
          <w:tcPr>
            <w:tcW w:w="1629" w:type="dxa"/>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上缴上级支出</w:t>
            </w:r>
          </w:p>
        </w:tc>
        <w:tc>
          <w:tcPr>
            <w:tcW w:w="1629" w:type="dxa"/>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经营支出</w:t>
            </w:r>
          </w:p>
        </w:tc>
        <w:tc>
          <w:tcPr>
            <w:tcW w:w="1632" w:type="dxa"/>
            <w:tcBorders>
              <w:top w:val="single" w:sz="4" w:space="0" w:color="auto"/>
            </w:tcBorders>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对附属单位补助支出</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457" w:type="dxa"/>
            <w:vMerge w:val="restart"/>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类</w:t>
            </w:r>
          </w:p>
        </w:tc>
        <w:tc>
          <w:tcPr>
            <w:tcW w:w="480" w:type="dxa"/>
            <w:vMerge w:val="restart"/>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款</w:t>
            </w:r>
          </w:p>
        </w:tc>
        <w:tc>
          <w:tcPr>
            <w:tcW w:w="480" w:type="dxa"/>
            <w:vMerge w:val="restart"/>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项</w:t>
            </w:r>
          </w:p>
        </w:tc>
        <w:tc>
          <w:tcPr>
            <w:tcW w:w="4420" w:type="dxa"/>
            <w:vAlign w:val="center"/>
          </w:tcPr>
          <w:p>
            <w:pPr>
              <w:pStyle w:val="Normal0"/>
              <w:spacing w:before="0" w:after="0"/>
              <w:jc w:val="center"/>
              <w:rPr>
                <w:rFonts w:ascii="宋体" w:eastAsia="宋体" w:hAnsi="宋体" w:cs="宋体" w:hint="eastAsia"/>
                <w:sz w:val="20"/>
                <w:szCs w:val="20"/>
                <w:shd w:val="clear" w:color="auto" w:fill="auto"/>
                <w:vertAlign w:val="baseline"/>
                <w:lang w:val="en-US"/>
              </w:rPr>
            </w:pPr>
            <w:r>
              <w:rPr>
                <w:rFonts w:ascii="宋体" w:eastAsia="宋体" w:hAnsi="宋体" w:cs="宋体" w:hint="eastAsia"/>
                <w:sz w:val="20"/>
                <w:szCs w:val="20"/>
                <w:shd w:val="clear" w:color="auto" w:fill="auto"/>
                <w:vertAlign w:val="baseline"/>
                <w:lang w:val="en-US"/>
              </w:rPr>
              <w:t>栏次</w:t>
            </w:r>
          </w:p>
        </w:tc>
        <w:tc>
          <w:tcPr>
            <w:tcW w:w="1629" w:type="dxa"/>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1</w:t>
            </w:r>
          </w:p>
        </w:tc>
        <w:tc>
          <w:tcPr>
            <w:tcW w:w="1629" w:type="dxa"/>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2</w:t>
            </w:r>
          </w:p>
        </w:tc>
        <w:tc>
          <w:tcPr>
            <w:tcW w:w="1629" w:type="dxa"/>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3</w:t>
            </w:r>
          </w:p>
        </w:tc>
        <w:tc>
          <w:tcPr>
            <w:tcW w:w="1629" w:type="dxa"/>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4</w:t>
            </w:r>
          </w:p>
        </w:tc>
        <w:tc>
          <w:tcPr>
            <w:tcW w:w="1629" w:type="dxa"/>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5</w:t>
            </w:r>
          </w:p>
        </w:tc>
        <w:tc>
          <w:tcPr>
            <w:tcW w:w="1632" w:type="dxa"/>
            <w:vAlign w:val="center"/>
          </w:tcPr>
          <w:p>
            <w:pPr>
              <w:pStyle w:val="Normal0"/>
              <w:spacing w:before="0" w:after="0"/>
              <w:jc w:val="center"/>
              <w:rPr>
                <w:rFonts w:ascii="宋体" w:eastAsia="宋体" w:hAnsi="宋体" w:cs="宋体" w:hint="eastAsia"/>
                <w:sz w:val="20"/>
                <w:szCs w:val="20"/>
                <w:shd w:val="clear" w:color="auto" w:fill="auto"/>
                <w:vertAlign w:val="baseline"/>
              </w:rPr>
            </w:pPr>
            <w:r>
              <w:rPr>
                <w:rFonts w:ascii="宋体" w:eastAsia="宋体" w:hAnsi="宋体" w:cs="宋体" w:hint="eastAsia"/>
                <w:sz w:val="20"/>
                <w:szCs w:val="20"/>
                <w:shd w:val="clear" w:color="auto" w:fill="auto"/>
                <w:vertAlign w:val="baseline"/>
              </w:rPr>
              <w:t>6</w:t>
            </w: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457" w:type="dxa"/>
            <w:vMerge/>
            <w:vAlign w:val="center"/>
          </w:tcPr>
          <w:p>
            <w:pPr>
              <w:pStyle w:val="Normal0"/>
              <w:jc w:val="center"/>
              <w:rPr>
                <w:rFonts w:ascii="宋体" w:eastAsia="宋体" w:hAnsi="宋体" w:cs="宋体" w:hint="eastAsia"/>
                <w:sz w:val="20"/>
                <w:szCs w:val="20"/>
                <w:shd w:val="clear" w:color="auto" w:fill="auto"/>
                <w:vertAlign w:val="baseline"/>
              </w:rPr>
            </w:pPr>
          </w:p>
        </w:tc>
        <w:tc>
          <w:tcPr>
            <w:tcW w:w="480" w:type="dxa"/>
            <w:vMerge/>
            <w:vAlign w:val="center"/>
          </w:tcPr>
          <w:p>
            <w:pPr>
              <w:pStyle w:val="Normal0"/>
              <w:jc w:val="center"/>
              <w:rPr>
                <w:rFonts w:ascii="宋体" w:eastAsia="宋体" w:hAnsi="宋体" w:cs="宋体" w:hint="eastAsia"/>
                <w:sz w:val="20"/>
                <w:szCs w:val="20"/>
                <w:shd w:val="clear" w:color="auto" w:fill="auto"/>
                <w:vertAlign w:val="baseline"/>
              </w:rPr>
            </w:pPr>
          </w:p>
        </w:tc>
        <w:tc>
          <w:tcPr>
            <w:tcW w:w="480" w:type="dxa"/>
            <w:vMerge/>
            <w:vAlign w:val="center"/>
          </w:tcPr>
          <w:p>
            <w:pPr>
              <w:pStyle w:val="Normal0"/>
              <w:jc w:val="center"/>
              <w:rPr>
                <w:rFonts w:ascii="宋体" w:eastAsia="宋体" w:hAnsi="宋体" w:cs="宋体" w:hint="eastAsia"/>
                <w:sz w:val="20"/>
                <w:szCs w:val="20"/>
                <w:shd w:val="clear" w:color="auto" w:fill="auto"/>
                <w:vertAlign w:val="baseline"/>
              </w:rPr>
            </w:pPr>
          </w:p>
        </w:tc>
        <w:tc>
          <w:tcPr>
            <w:tcW w:w="4420" w:type="dxa"/>
            <w:vAlign w:val="center"/>
          </w:tcPr>
          <w:p>
            <w:pPr>
              <w:pStyle w:val="Normal0"/>
              <w:spacing w:before="0" w:after="0"/>
              <w:jc w:val="center"/>
              <w:rPr>
                <w:rFonts w:ascii="宋体" w:eastAsia="宋体" w:hAnsi="宋体" w:cs="宋体" w:hint="eastAsia"/>
                <w:b/>
                <w:bCs/>
                <w:sz w:val="20"/>
                <w:szCs w:val="20"/>
                <w:shd w:val="clear" w:color="auto" w:fill="auto"/>
                <w:vertAlign w:val="baseline"/>
                <w:lang w:val="en-US"/>
              </w:rPr>
            </w:pPr>
            <w:r>
              <w:rPr>
                <w:rFonts w:ascii="宋体" w:eastAsia="宋体" w:hAnsi="宋体" w:cs="宋体" w:hint="eastAsia"/>
                <w:b/>
                <w:bCs/>
                <w:sz w:val="20"/>
                <w:szCs w:val="20"/>
                <w:shd w:val="clear" w:color="auto" w:fill="auto"/>
                <w:vertAlign w:val="baseline"/>
                <w:lang w:val="en-US"/>
              </w:rPr>
              <w:t>合计</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r>
              <w:rPr>
                <w:rFonts w:ascii="Times New Roman" w:eastAsia="宋体" w:hAnsi="Times New Roman"/>
                <w:b w:val="0"/>
                <w:sz w:val="16"/>
              </w:rPr>
              <w:t>12,718.38</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r>
              <w:rPr>
                <w:rFonts w:ascii="Times New Roman" w:eastAsia="宋体" w:hAnsi="Times New Roman"/>
                <w:b w:val="0"/>
                <w:sz w:val="16"/>
              </w:rPr>
              <w:t>2,777.96</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r>
              <w:rPr>
                <w:rFonts w:ascii="Times New Roman" w:eastAsia="宋体" w:hAnsi="Times New Roman"/>
                <w:b w:val="0"/>
                <w:sz w:val="16"/>
              </w:rPr>
              <w:t>9,940.42</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p>
        </w:tc>
        <w:tc>
          <w:tcPr>
            <w:tcW w:w="1632" w:type="dxa"/>
            <w:tcMar>
              <w:left w:w="20" w:type="dxa"/>
              <w:right w:w="20" w:type="dxa"/>
            </w:tcMar>
            <w:vAlign w:val="center"/>
          </w:tcPr>
          <w:p>
            <w:pPr>
              <w:pStyle w:val="Normal0"/>
              <w:spacing w:before="0" w:after="0" w:line="240" w:lineRule="auto"/>
              <w:jc w:val="right"/>
              <w:rPr>
                <w:rFonts w:ascii="宋体" w:eastAsia="宋体" w:hAnsi="宋体" w:cs="宋体" w:hint="eastAsia"/>
                <w:b/>
                <w:bCs/>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1417" w:type="dxa"/>
            <w:gridSpan w:val="3"/>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sz w:val="16"/>
              </w:rPr>
              <w:t>201</w:t>
            </w:r>
          </w:p>
        </w:tc>
        <w:tc>
          <w:tcPr>
            <w:tcW w:w="4420" w:type="dxa"/>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sz w:val="16"/>
              </w:rPr>
              <w:t>一般公共服务支出</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sz w:val="16"/>
              </w:rPr>
              <w:t>26.17</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sz w:val="16"/>
              </w:rPr>
              <w:t>23.73</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sz w:val="16"/>
              </w:rPr>
              <w:t>2.44</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1632"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1417" w:type="dxa"/>
            <w:gridSpan w:val="3"/>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val="0"/>
                <w:sz w:val="16"/>
              </w:rPr>
              <w:t>20105</w:t>
            </w:r>
          </w:p>
        </w:tc>
        <w:tc>
          <w:tcPr>
            <w:tcW w:w="4420" w:type="dxa"/>
            <w:tcMar>
              <w:left w:w="20" w:type="dxa"/>
              <w:right w:w="20" w:type="dxa"/>
            </w:tcMar>
            <w:vAlign w:val="center"/>
          </w:tcPr>
          <w:p>
            <w:pPr>
              <w:pStyle w:val="Normal0"/>
              <w:spacing w:before="0" w:after="0" w:line="240" w:lineRule="auto"/>
              <w:rPr>
                <w:rFonts w:ascii="宋体" w:eastAsia="宋体" w:hAnsi="宋体" w:cs="宋体" w:hint="eastAsia"/>
                <w:sz w:val="20"/>
                <w:szCs w:val="20"/>
                <w:shd w:val="clear" w:color="auto" w:fill="auto"/>
                <w:vertAlign w:val="baseline"/>
              </w:rPr>
            </w:pPr>
            <w:r>
              <w:rPr>
                <w:rFonts w:ascii="Times New Roman" w:eastAsia="宋体" w:hAnsi="Times New Roman"/>
                <w:b w:val="0"/>
                <w:sz w:val="16"/>
              </w:rPr>
              <w:t>统计信息事务</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val="0"/>
                <w:sz w:val="16"/>
              </w:rPr>
              <w:t>1.29</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r>
              <w:rPr>
                <w:rFonts w:ascii="Times New Roman" w:eastAsia="宋体" w:hAnsi="Times New Roman"/>
                <w:b w:val="0"/>
                <w:sz w:val="16"/>
              </w:rPr>
              <w:t>1.29</w:t>
            </w: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1629"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c>
          <w:tcPr>
            <w:tcW w:w="1632" w:type="dxa"/>
            <w:tcMar>
              <w:left w:w="20" w:type="dxa"/>
              <w:right w:w="20" w:type="dxa"/>
            </w:tcMar>
            <w:vAlign w:val="center"/>
          </w:tcPr>
          <w:p>
            <w:pPr>
              <w:pStyle w:val="Normal0"/>
              <w:spacing w:before="0" w:after="0" w:line="240" w:lineRule="auto"/>
              <w:jc w:val="right"/>
              <w:rPr>
                <w:rFonts w:ascii="宋体" w:eastAsia="宋体" w:hAnsi="宋体" w:cs="宋体" w:hint="eastAsia"/>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1417" w:type="dxa"/>
            <w:gridSpan w:val="3"/>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2010507</w:t>
            </w:r>
          </w:p>
        </w:tc>
        <w:tc>
          <w:tcPr>
            <w:tcW w:w="4420" w:type="dxa"/>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专项普查活动</w:t>
            </w:r>
          </w:p>
        </w:tc>
        <w:tc>
          <w:tcPr>
            <w:tcW w:w="1629" w:type="dxa"/>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1.29</w:t>
            </w:r>
          </w:p>
        </w:tc>
        <w:tc>
          <w:tcPr>
            <w:tcW w:w="1629" w:type="dxa"/>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1629" w:type="dxa"/>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1.29</w:t>
            </w:r>
          </w:p>
        </w:tc>
        <w:tc>
          <w:tcPr>
            <w:tcW w:w="1629" w:type="dxa"/>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1629" w:type="dxa"/>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1632" w:type="dxa"/>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20123</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民族事务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2012304</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民族工作专项</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群众团体事务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24.64</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23.73</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2012902</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一般行政管理事务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0.17</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0.17</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2012906</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工会事务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0.74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0.74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其他群众团体事务支出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23.73</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23.73</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204</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公共安全支出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20499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其他公共安全支出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2049999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其他公共安全支出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208</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社会保障和就业支出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175.04</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141.03</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34.02</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20802</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民政管理事务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2080299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其他民政管理事务支出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行政事业单位养老支出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135.46</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135.46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2080501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行政单位离退休</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20.65</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20.65</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2080505</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机关事业单位基本养老保险缴费支出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77.96</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77.96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2080506</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机关事业单位职业年金缴费支出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36.86</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36.86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20808</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抚恤</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12.24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12.24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2080805</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义务兵优待</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2.88</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2.88</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2080899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其他优抚支出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9.36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9.36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20811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残疾人事业</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2081105</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残疾人就业</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20828</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退役军人管理事务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3.08</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3.08</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2082804</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拥军优属</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1.08</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1.08</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2082899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其他退役军人事务管理支出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其他社会保障和就业支出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2089999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其他社会保障和就业支出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210</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卫生健康支出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43.27</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38.94</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4.32</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21004</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公共卫生</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2100408</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基本公共卫生服务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行政事业单位医疗</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2101101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行政单位医疗</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21016</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老龄卫生健康事务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2101601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老龄卫生健康事务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212</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城乡社区支出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6,179.36</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2,423.59</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3,755.77</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城乡社区管理事务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5,913.78</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2,423.59</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3,490.19</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2120101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行政运行</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5,085.30</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2,423.59</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2,661.70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2120102</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一般行政管理事务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14.61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14.61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其他城乡社区管理事务支出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813.88</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813.88</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21205</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城乡社区环境卫生</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2120501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城乡社区环境卫生</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其他城乡社区支出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2129999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其他城乡社区支出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213</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农林水支出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60.70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60.70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农业农村</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2130110</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执法监管</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21303</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水利</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2130399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其他水利支出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21307</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农村综合改革</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2130705</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对村民委员会和村党支部的补助</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215</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资源勘探工业信息等支出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250.00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250.00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21599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其他资源勘探工业信息等支出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2159999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其他资源勘探工业信息等支出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216</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商业服务业等支出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5,702.64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5,702.64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21699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其他商业服务业等支出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2169999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其他商业服务业等支出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221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住房保障支出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264.83</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150.66</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114.17</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保障性安居工程支出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2210108</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老旧小区改造</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22102</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住房改革支出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2210201</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住房公积金</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224</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灾害防治及应急管理支出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9.41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9.41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22407</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自然灾害救灾及恢复重建支出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2240703</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自然灾害救灾补助</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229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sz w:val="16"/>
              </w:rPr>
              <w:t>其他支出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4.70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4.70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22960</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彩票公益金安排的支出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4.70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4.70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r>
        <w:tblPrEx>
          <w:tblW w:w="5000" w:type="pct"/>
          <w:jc w:val="center"/>
          <w:tblInd w:w="0" w:type="dxa"/>
          <w:tblLayout w:type="fixed"/>
          <w:tblCellMar>
            <w:top w:w="0" w:type="dxa"/>
            <w:left w:w="108" w:type="dxa"/>
            <w:bottom w:w="0" w:type="dxa"/>
            <w:right w:w="108" w:type="dxa"/>
          </w:tblCellMar>
        </w:tblPrEx>
        <w:trPr>
          <w:trHeight w:val="4"/>
          <w:jc w:val="center"/>
        </w:trPr>
        <w:tc>
          <w:tcPr>
            <w:tcW w:w="1417"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2296099</w:t>
            </w:r>
          </w:p>
        </w:tc>
        <w:tc>
          <w:tcPr>
            <w:tcW w:w="4420" w:type="dxa"/>
            <w:tcMar>
              <w:left w:w="20" w:type="dxa"/>
              <w:right w:w="20" w:type="dxa"/>
            </w:tcMar>
            <w:vAlign w:val="center"/>
          </w:tcPr>
          <w:p>
            <w:pPr>
              <w:pStyle w:val="Normal0"/>
              <w:spacing w:before="0" w:after="0" w:line="240" w:lineRule="auto"/>
            </w:pPr>
            <w:r>
              <w:rPr>
                <w:rFonts w:ascii="Times New Roman" w:eastAsia="宋体" w:hAnsi="Times New Roman"/>
                <w:b w:val="0"/>
                <w:sz w:val="16"/>
              </w:rPr>
              <w:t>用于其他社会公益事业的彩票公益金支出</w:t>
            </w: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4.70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4.70</w:t>
            </w:r>
          </w:p>
        </w:tc>
        <w:tc>
          <w:tcPr>
            <w:tcW w:w="1629" w:type="dxa"/>
            <w:tcMar>
              <w:left w:w="20" w:type="dxa"/>
              <w:right w:w="20" w:type="dxa"/>
            </w:tcMar>
            <w:vAlign w:val="center"/>
          </w:tcPr>
          <w:p>
            <w:pPr>
              <w:pStyle w:val="Normal0"/>
              <w:spacing w:before="0" w:after="0" w:line="240" w:lineRule="auto"/>
              <w:jc w:val="right"/>
            </w:pPr>
          </w:p>
        </w:tc>
        <w:tc>
          <w:tcPr>
            <w:tcW w:w="1629" w:type="dxa"/>
            <w:tcMar>
              <w:left w:w="20" w:type="dxa"/>
              <w:right w:w="20" w:type="dxa"/>
            </w:tcMar>
            <w:vAlign w:val="center"/>
          </w:tcPr>
          <w:p>
            <w:pPr>
              <w:pStyle w:val="Normal0"/>
              <w:spacing w:before="0" w:after="0" w:line="240" w:lineRule="auto"/>
              <w:jc w:val="right"/>
            </w:pPr>
          </w:p>
        </w:tc>
        <w:tc>
          <w:tcPr>
            <w:tcW w:w="1632" w:type="dxa"/>
            <w:tcMar>
              <w:left w:w="20" w:type="dxa"/>
              <w:right w:w="20" w:type="dxa"/>
            </w:tcMar>
            <w:vAlign w:val="center"/>
          </w:tcPr>
          <w:p>
            <w:pPr>
              <w:pStyle w:val="Normal0"/>
              <w:spacing w:before="0" w:after="0" w:line="240" w:lineRule="auto"/>
              <w:jc w:val="right"/>
            </w:pPr>
          </w:p>
        </w:tc>
      </w:tr>
    </w:tbl>
    <w:p>
      <w:pPr>
        <w:pStyle w:val="Normal0"/>
        <w:rPr>
          <w:rFonts w:ascii="Times New Roman" w:eastAsia="宋体" w:hAnsi="Times New Roman" w:cs="宋体" w:hint="eastAsia"/>
          <w:sz w:val="20"/>
          <w:szCs w:val="20"/>
          <w:shd w:val="clear" w:color="auto" w:fill="auto"/>
        </w:rPr>
        <w:sectPr>
          <w:pgSz w:w="16838" w:h="11906" w:orient="landscape"/>
          <w:pgMar w:top="720" w:right="720" w:bottom="720" w:left="720" w:header="851" w:footer="992" w:gutter="0"/>
          <w:cols w:num="1" w:space="425"/>
          <w:docGrid w:type="lines" w:linePitch="312" w:charSpace="0"/>
        </w:sectPr>
      </w:pPr>
      <w:r>
        <w:rPr>
          <w:rFonts w:ascii="Times New Roman" w:eastAsia="宋体" w:hAnsi="Times New Roman" w:cs="宋体" w:hint="eastAsia"/>
          <w:sz w:val="20"/>
          <w:szCs w:val="20"/>
          <w:shd w:val="clear" w:color="auto" w:fill="auto"/>
        </w:rPr>
        <w:t>注：本表反映部门本年度各项支出情况。</w:t>
      </w:r>
    </w:p>
    <w:tbl>
      <w:tblPr>
        <w:tblStyle w:val="TableGrid0"/>
        <w:tblW w:w="5364" w:type="pct"/>
        <w:jc w:val="center"/>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03"/>
        <w:gridCol w:w="417"/>
        <w:gridCol w:w="1284"/>
        <w:gridCol w:w="2439"/>
        <w:gridCol w:w="431"/>
        <w:gridCol w:w="1066"/>
        <w:gridCol w:w="1068"/>
        <w:gridCol w:w="1066"/>
        <w:gridCol w:w="1086"/>
      </w:tblGrid>
      <w:tr>
        <w:tblPrEx>
          <w:tblW w:w="5364" w:type="pct"/>
          <w:jc w:val="center"/>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5000" w:type="pct"/>
            <w:gridSpan w:val="9"/>
            <w:tcBorders>
              <w:top w:val="nil"/>
              <w:left w:val="nil"/>
              <w:bottom w:val="nil"/>
              <w:right w:val="nil"/>
            </w:tcBorders>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黑体" w:hAnsi="Times New Roman" w:cs="黑体" w:hint="eastAsia"/>
                <w:sz w:val="32"/>
                <w:szCs w:val="32"/>
                <w:shd w:val="clear" w:color="auto" w:fill="auto"/>
                <w:vertAlign w:val="baseline"/>
                <w:lang w:val="en-US"/>
              </w:rPr>
              <w:t>财政拨款收入支出决算总表</w:t>
            </w:r>
          </w:p>
        </w:tc>
      </w:tr>
      <w:tr>
        <w:tblPrEx>
          <w:tblW w:w="5364" w:type="pct"/>
          <w:jc w:val="center"/>
          <w:tblInd w:w="-369" w:type="dxa"/>
          <w:tblCellMar>
            <w:top w:w="0" w:type="dxa"/>
            <w:left w:w="108" w:type="dxa"/>
            <w:bottom w:w="0" w:type="dxa"/>
            <w:right w:w="108" w:type="dxa"/>
          </w:tblCellMar>
        </w:tblPrEx>
        <w:trPr>
          <w:jc w:val="center"/>
        </w:trPr>
        <w:tc>
          <w:tcPr>
            <w:tcW w:w="1136" w:type="pct"/>
            <w:tcBorders>
              <w:top w:val="nil"/>
              <w:left w:val="nil"/>
              <w:bottom w:val="nil"/>
              <w:right w:val="nil"/>
            </w:tcBorders>
          </w:tcPr>
          <w:p>
            <w:pPr>
              <w:pStyle w:val="Normal0"/>
              <w:spacing w:before="0" w:after="0"/>
              <w:rPr>
                <w:rFonts w:ascii="宋体" w:eastAsia="宋体" w:hAnsi="宋体" w:cs="宋体" w:hint="eastAsia"/>
                <w:sz w:val="15"/>
                <w:szCs w:val="15"/>
                <w:shd w:val="clear" w:color="auto" w:fill="auto"/>
                <w:vertAlign w:val="baseline"/>
              </w:rPr>
            </w:pPr>
          </w:p>
        </w:tc>
        <w:tc>
          <w:tcPr>
            <w:tcW w:w="182" w:type="pct"/>
            <w:tcBorders>
              <w:top w:val="nil"/>
              <w:left w:val="nil"/>
              <w:bottom w:val="nil"/>
              <w:right w:val="nil"/>
            </w:tcBorders>
          </w:tcPr>
          <w:p>
            <w:pPr>
              <w:pStyle w:val="Normal0"/>
              <w:spacing w:before="0" w:after="0"/>
              <w:rPr>
                <w:rFonts w:ascii="宋体" w:eastAsia="宋体" w:hAnsi="宋体" w:cs="宋体" w:hint="eastAsia"/>
                <w:sz w:val="15"/>
                <w:szCs w:val="15"/>
                <w:shd w:val="clear" w:color="auto" w:fill="auto"/>
                <w:vertAlign w:val="baseline"/>
              </w:rPr>
            </w:pPr>
          </w:p>
        </w:tc>
        <w:tc>
          <w:tcPr>
            <w:tcW w:w="558" w:type="pct"/>
            <w:tcBorders>
              <w:top w:val="nil"/>
              <w:left w:val="nil"/>
              <w:bottom w:val="nil"/>
              <w:right w:val="nil"/>
            </w:tcBorders>
          </w:tcPr>
          <w:p>
            <w:pPr>
              <w:pStyle w:val="Normal0"/>
              <w:spacing w:before="0" w:after="0"/>
              <w:rPr>
                <w:rFonts w:ascii="宋体" w:eastAsia="宋体" w:hAnsi="宋体" w:cs="宋体" w:hint="eastAsia"/>
                <w:sz w:val="15"/>
                <w:szCs w:val="15"/>
                <w:shd w:val="clear" w:color="auto" w:fill="auto"/>
                <w:vertAlign w:val="baseline"/>
              </w:rPr>
            </w:pPr>
          </w:p>
        </w:tc>
        <w:tc>
          <w:tcPr>
            <w:tcW w:w="1064" w:type="pct"/>
            <w:tcBorders>
              <w:top w:val="nil"/>
              <w:left w:val="nil"/>
              <w:bottom w:val="nil"/>
              <w:right w:val="nil"/>
            </w:tcBorders>
          </w:tcPr>
          <w:p>
            <w:pPr>
              <w:pStyle w:val="Normal0"/>
              <w:spacing w:before="0" w:after="0"/>
              <w:rPr>
                <w:rFonts w:ascii="宋体" w:eastAsia="宋体" w:hAnsi="宋体" w:cs="宋体" w:hint="eastAsia"/>
                <w:sz w:val="15"/>
                <w:szCs w:val="15"/>
                <w:shd w:val="clear" w:color="auto" w:fill="auto"/>
                <w:vertAlign w:val="baseline"/>
              </w:rPr>
            </w:pPr>
          </w:p>
        </w:tc>
        <w:tc>
          <w:tcPr>
            <w:tcW w:w="188" w:type="pct"/>
            <w:tcBorders>
              <w:top w:val="nil"/>
              <w:left w:val="nil"/>
              <w:bottom w:val="nil"/>
              <w:right w:val="nil"/>
            </w:tcBorders>
          </w:tcPr>
          <w:p>
            <w:pPr>
              <w:pStyle w:val="Normal0"/>
              <w:spacing w:before="0" w:after="0"/>
              <w:rPr>
                <w:rFonts w:ascii="宋体" w:eastAsia="宋体" w:hAnsi="宋体" w:cs="宋体" w:hint="eastAsia"/>
                <w:sz w:val="15"/>
                <w:szCs w:val="15"/>
                <w:shd w:val="clear" w:color="auto" w:fill="auto"/>
                <w:vertAlign w:val="baseline"/>
              </w:rPr>
            </w:pPr>
          </w:p>
        </w:tc>
        <w:tc>
          <w:tcPr>
            <w:tcW w:w="465" w:type="pct"/>
            <w:tcBorders>
              <w:top w:val="nil"/>
              <w:left w:val="nil"/>
              <w:bottom w:val="nil"/>
              <w:right w:val="nil"/>
            </w:tcBorders>
          </w:tcPr>
          <w:p>
            <w:pPr>
              <w:pStyle w:val="Normal0"/>
              <w:spacing w:before="0" w:after="0"/>
              <w:rPr>
                <w:rFonts w:ascii="宋体" w:eastAsia="宋体" w:hAnsi="宋体" w:cs="宋体" w:hint="eastAsia"/>
                <w:sz w:val="15"/>
                <w:szCs w:val="15"/>
                <w:shd w:val="clear" w:color="auto" w:fill="auto"/>
                <w:vertAlign w:val="baseline"/>
              </w:rPr>
            </w:pPr>
          </w:p>
        </w:tc>
        <w:tc>
          <w:tcPr>
            <w:tcW w:w="465" w:type="pct"/>
            <w:tcBorders>
              <w:top w:val="nil"/>
              <w:left w:val="nil"/>
              <w:bottom w:val="nil"/>
              <w:right w:val="nil"/>
            </w:tcBorders>
          </w:tcPr>
          <w:p>
            <w:pPr>
              <w:pStyle w:val="Normal0"/>
              <w:spacing w:before="0" w:after="0"/>
              <w:rPr>
                <w:rFonts w:ascii="宋体" w:eastAsia="宋体" w:hAnsi="宋体" w:cs="宋体" w:hint="eastAsia"/>
                <w:sz w:val="15"/>
                <w:szCs w:val="15"/>
                <w:shd w:val="clear" w:color="auto" w:fill="auto"/>
                <w:vertAlign w:val="baseline"/>
              </w:rPr>
            </w:pPr>
          </w:p>
        </w:tc>
        <w:tc>
          <w:tcPr>
            <w:tcW w:w="465" w:type="pct"/>
            <w:tcBorders>
              <w:top w:val="nil"/>
              <w:left w:val="nil"/>
              <w:bottom w:val="nil"/>
              <w:right w:val="nil"/>
            </w:tcBorders>
          </w:tcPr>
          <w:p>
            <w:pPr>
              <w:pStyle w:val="Normal0"/>
              <w:spacing w:before="0" w:after="0"/>
              <w:rPr>
                <w:rFonts w:ascii="宋体" w:eastAsia="宋体" w:hAnsi="宋体" w:cs="宋体" w:hint="eastAsia"/>
                <w:sz w:val="15"/>
                <w:szCs w:val="15"/>
                <w:shd w:val="clear" w:color="auto" w:fill="auto"/>
                <w:vertAlign w:val="baseline"/>
              </w:rPr>
            </w:pPr>
          </w:p>
        </w:tc>
        <w:tc>
          <w:tcPr>
            <w:tcW w:w="472" w:type="pct"/>
            <w:tcBorders>
              <w:top w:val="nil"/>
              <w:left w:val="nil"/>
              <w:bottom w:val="nil"/>
              <w:right w:val="nil"/>
            </w:tcBorders>
            <w:vAlign w:val="center"/>
          </w:tcPr>
          <w:p>
            <w:pPr>
              <w:pStyle w:val="Normal0"/>
              <w:spacing w:before="0" w:after="0"/>
              <w:jc w:val="right"/>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公开</w:t>
            </w:r>
            <w:r>
              <w:rPr>
                <w:rFonts w:ascii="宋体" w:eastAsia="宋体" w:hAnsi="宋体" w:cs="宋体" w:hint="eastAsia"/>
                <w:sz w:val="15"/>
                <w:szCs w:val="15"/>
                <w:shd w:val="clear" w:color="auto" w:fill="auto"/>
                <w:vertAlign w:val="baseline"/>
              </w:rPr>
              <w:t>04</w:t>
            </w:r>
            <w:r>
              <w:rPr>
                <w:rFonts w:ascii="宋体" w:eastAsia="宋体" w:hAnsi="宋体" w:cs="宋体" w:hint="eastAsia"/>
                <w:sz w:val="15"/>
                <w:szCs w:val="15"/>
                <w:shd w:val="clear" w:color="auto" w:fill="auto"/>
                <w:vertAlign w:val="baseline"/>
                <w:lang w:val="en-US"/>
              </w:rPr>
              <w:t>表</w:t>
            </w:r>
          </w:p>
        </w:tc>
      </w:tr>
      <w:tr>
        <w:tblPrEx>
          <w:tblW w:w="5364" w:type="pct"/>
          <w:jc w:val="center"/>
          <w:tblInd w:w="-369" w:type="dxa"/>
          <w:tblCellMar>
            <w:top w:w="0" w:type="dxa"/>
            <w:left w:w="108" w:type="dxa"/>
            <w:bottom w:w="0" w:type="dxa"/>
            <w:right w:w="108" w:type="dxa"/>
          </w:tblCellMar>
        </w:tblPrEx>
        <w:trPr>
          <w:jc w:val="center"/>
        </w:trPr>
        <w:tc>
          <w:tcPr>
            <w:tcW w:w="4061" w:type="pct"/>
            <w:gridSpan w:val="7"/>
            <w:tcBorders>
              <w:top w:val="nil"/>
              <w:left w:val="nil"/>
              <w:bottom w:val="single" w:sz="4" w:space="0" w:color="auto"/>
              <w:right w:val="nil"/>
            </w:tcBorders>
            <w:vAlign w:val="center"/>
          </w:tcPr>
          <w:p>
            <w:pPr>
              <w:pStyle w:val="Normal0"/>
              <w:spacing w:before="0" w:after="0"/>
              <w:rPr>
                <w:rFonts w:ascii="宋体" w:eastAsia="宋体" w:hAnsi="宋体" w:cs="宋体" w:hint="eastAsia"/>
                <w:sz w:val="15"/>
                <w:szCs w:val="15"/>
                <w:shd w:val="clear" w:color="auto" w:fill="auto"/>
                <w:vertAlign w:val="baseline"/>
              </w:rPr>
            </w:pPr>
            <w:r>
              <w:rPr>
                <w:rFonts w:ascii="宋体" w:eastAsia="宋体" w:hAnsi="宋体" w:cs="宋体" w:hint="eastAsia"/>
                <w:sz w:val="15"/>
                <w:szCs w:val="15"/>
                <w:shd w:val="clear" w:color="auto" w:fill="auto"/>
                <w:vertAlign w:val="baseline"/>
              </w:rPr>
              <w:t>部门：铜陵市铜官区新城办事处</w:t>
            </w:r>
          </w:p>
        </w:tc>
        <w:tc>
          <w:tcPr>
            <w:tcW w:w="938" w:type="pct"/>
            <w:gridSpan w:val="2"/>
            <w:tcBorders>
              <w:top w:val="nil"/>
              <w:left w:val="nil"/>
              <w:bottom w:val="single" w:sz="4" w:space="0" w:color="auto"/>
              <w:right w:val="nil"/>
            </w:tcBorders>
          </w:tcPr>
          <w:p>
            <w:pPr>
              <w:pStyle w:val="Normal0"/>
              <w:spacing w:before="0" w:after="0"/>
              <w:jc w:val="right"/>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金额单位</w:t>
            </w:r>
            <w:r>
              <w:rPr>
                <w:rFonts w:ascii="宋体" w:eastAsia="宋体" w:hAnsi="宋体" w:cs="宋体" w:hint="eastAsia"/>
                <w:sz w:val="15"/>
                <w:szCs w:val="15"/>
                <w:shd w:val="clear" w:color="auto" w:fill="auto"/>
                <w:vertAlign w:val="baseline"/>
              </w:rPr>
              <w:t>：</w:t>
            </w:r>
            <w:r>
              <w:rPr>
                <w:rFonts w:ascii="宋体" w:eastAsia="宋体" w:hAnsi="宋体" w:cs="宋体" w:hint="eastAsia"/>
                <w:sz w:val="15"/>
                <w:szCs w:val="15"/>
                <w:shd w:val="clear" w:color="auto" w:fill="auto"/>
                <w:vertAlign w:val="baseline"/>
                <w:lang w:val="en-US"/>
              </w:rPr>
              <w:t>万元</w:t>
            </w:r>
          </w:p>
        </w:tc>
      </w:tr>
      <w:tr>
        <w:tblPrEx>
          <w:tblW w:w="5364" w:type="pct"/>
          <w:jc w:val="center"/>
          <w:tblInd w:w="-369" w:type="dxa"/>
          <w:tblCellMar>
            <w:top w:w="0" w:type="dxa"/>
            <w:left w:w="108" w:type="dxa"/>
            <w:bottom w:w="0" w:type="dxa"/>
            <w:right w:w="108" w:type="dxa"/>
          </w:tblCellMar>
        </w:tblPrEx>
        <w:trPr>
          <w:jc w:val="center"/>
        </w:trPr>
        <w:tc>
          <w:tcPr>
            <w:tcW w:w="1878" w:type="pct"/>
            <w:gridSpan w:val="3"/>
            <w:tcBorders>
              <w:top w:val="single" w:sz="4" w:space="0" w:color="auto"/>
            </w:tcBorders>
            <w:vAlign w:val="center"/>
          </w:tcPr>
          <w:p>
            <w:pPr>
              <w:pStyle w:val="Normal0"/>
              <w:spacing w:before="0" w:after="0"/>
              <w:jc w:val="center"/>
              <w:rPr>
                <w:rFonts w:ascii="宋体" w:eastAsia="宋体" w:hAnsi="宋体" w:cs="宋体" w:hint="eastAsia"/>
                <w:sz w:val="15"/>
                <w:szCs w:val="15"/>
                <w:shd w:val="clear" w:color="auto" w:fill="auto"/>
                <w:vertAlign w:val="baseline"/>
              </w:rPr>
            </w:pPr>
            <w:r>
              <w:rPr>
                <w:rFonts w:ascii="宋体" w:eastAsia="宋体" w:hAnsi="宋体" w:cs="宋体" w:hint="eastAsia"/>
                <w:sz w:val="15"/>
                <w:szCs w:val="15"/>
                <w:shd w:val="clear" w:color="auto" w:fill="auto"/>
                <w:vertAlign w:val="baseline"/>
                <w:lang w:val="en-US"/>
              </w:rPr>
              <w:t>收入</w:t>
            </w:r>
          </w:p>
        </w:tc>
        <w:tc>
          <w:tcPr>
            <w:tcW w:w="3121" w:type="pct"/>
            <w:gridSpan w:val="6"/>
            <w:tcBorders>
              <w:top w:val="single" w:sz="4" w:space="0" w:color="auto"/>
            </w:tcBorders>
            <w:vAlign w:val="center"/>
          </w:tcPr>
          <w:p>
            <w:pPr>
              <w:pStyle w:val="Normal0"/>
              <w:spacing w:before="0" w:after="0"/>
              <w:jc w:val="center"/>
              <w:rPr>
                <w:rFonts w:ascii="宋体" w:eastAsia="宋体" w:hAnsi="宋体" w:cs="宋体" w:hint="eastAsia"/>
                <w:sz w:val="15"/>
                <w:szCs w:val="15"/>
                <w:shd w:val="clear" w:color="auto" w:fill="auto"/>
                <w:vertAlign w:val="baseline"/>
              </w:rPr>
            </w:pPr>
            <w:r>
              <w:rPr>
                <w:rFonts w:ascii="宋体" w:eastAsia="宋体" w:hAnsi="宋体" w:cs="宋体" w:hint="eastAsia"/>
                <w:sz w:val="15"/>
                <w:szCs w:val="15"/>
                <w:shd w:val="clear" w:color="auto" w:fill="auto"/>
                <w:vertAlign w:val="baseline"/>
                <w:lang w:val="en-US"/>
              </w:rPr>
              <w:t>支出</w:t>
            </w:r>
          </w:p>
        </w:tc>
      </w:tr>
      <w:tr>
        <w:tblPrEx>
          <w:tblW w:w="5364" w:type="pct"/>
          <w:jc w:val="center"/>
          <w:tblInd w:w="-369" w:type="dxa"/>
          <w:tblCellMar>
            <w:top w:w="0" w:type="dxa"/>
            <w:left w:w="108" w:type="dxa"/>
            <w:bottom w:w="0" w:type="dxa"/>
            <w:right w:w="108" w:type="dxa"/>
          </w:tblCellMar>
        </w:tblPrEx>
        <w:trPr>
          <w:jc w:val="center"/>
        </w:trPr>
        <w:tc>
          <w:tcPr>
            <w:tcW w:w="1136"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项目</w:t>
            </w:r>
          </w:p>
        </w:tc>
        <w:tc>
          <w:tcPr>
            <w:tcW w:w="182"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行次</w:t>
            </w:r>
          </w:p>
        </w:tc>
        <w:tc>
          <w:tcPr>
            <w:tcW w:w="558"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金额</w:t>
            </w:r>
          </w:p>
        </w:tc>
        <w:tc>
          <w:tcPr>
            <w:tcW w:w="1064"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项目</w:t>
            </w:r>
          </w:p>
        </w:tc>
        <w:tc>
          <w:tcPr>
            <w:tcW w:w="188"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行次</w:t>
            </w:r>
          </w:p>
        </w:tc>
        <w:tc>
          <w:tcPr>
            <w:tcW w:w="465"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小计</w:t>
            </w:r>
          </w:p>
        </w:tc>
        <w:tc>
          <w:tcPr>
            <w:tcW w:w="465"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一般公共预算财政拨款</w:t>
            </w:r>
          </w:p>
        </w:tc>
        <w:tc>
          <w:tcPr>
            <w:tcW w:w="465"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政府性基金预算财政拨款</w:t>
            </w:r>
          </w:p>
        </w:tc>
        <w:tc>
          <w:tcPr>
            <w:tcW w:w="472"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国有资本经营预算财政拨款</w:t>
            </w:r>
          </w:p>
        </w:tc>
      </w:tr>
      <w:tr>
        <w:tblPrEx>
          <w:tblW w:w="5364" w:type="pct"/>
          <w:jc w:val="center"/>
          <w:tblInd w:w="-369" w:type="dxa"/>
          <w:tblCellMar>
            <w:top w:w="0" w:type="dxa"/>
            <w:left w:w="108" w:type="dxa"/>
            <w:bottom w:w="0" w:type="dxa"/>
            <w:right w:w="108" w:type="dxa"/>
          </w:tblCellMar>
        </w:tblPrEx>
        <w:trPr>
          <w:jc w:val="center"/>
        </w:trPr>
        <w:tc>
          <w:tcPr>
            <w:tcW w:w="1136"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栏次</w:t>
            </w:r>
          </w:p>
        </w:tc>
        <w:tc>
          <w:tcPr>
            <w:tcW w:w="182" w:type="pct"/>
            <w:vAlign w:val="center"/>
          </w:tcPr>
          <w:p>
            <w:pPr>
              <w:pStyle w:val="Normal0"/>
              <w:spacing w:before="0" w:after="0"/>
              <w:jc w:val="center"/>
              <w:rPr>
                <w:rFonts w:ascii="宋体" w:eastAsia="宋体" w:hAnsi="宋体" w:cs="宋体" w:hint="eastAsia"/>
                <w:sz w:val="15"/>
                <w:szCs w:val="15"/>
                <w:shd w:val="clear" w:color="auto" w:fill="auto"/>
                <w:vertAlign w:val="baseline"/>
              </w:rPr>
            </w:pPr>
          </w:p>
        </w:tc>
        <w:tc>
          <w:tcPr>
            <w:tcW w:w="558" w:type="pct"/>
            <w:vAlign w:val="center"/>
          </w:tcPr>
          <w:p>
            <w:pPr>
              <w:pStyle w:val="Normal0"/>
              <w:spacing w:before="0" w:after="0"/>
              <w:jc w:val="center"/>
              <w:rPr>
                <w:rFonts w:ascii="宋体" w:eastAsia="宋体" w:hAnsi="宋体" w:cs="宋体" w:hint="eastAsia"/>
                <w:sz w:val="15"/>
                <w:szCs w:val="15"/>
                <w:shd w:val="clear" w:color="auto" w:fill="auto"/>
                <w:vertAlign w:val="baseline"/>
              </w:rPr>
            </w:pPr>
            <w:r>
              <w:rPr>
                <w:rFonts w:ascii="宋体" w:eastAsia="宋体" w:hAnsi="宋体" w:cs="宋体" w:hint="eastAsia"/>
                <w:sz w:val="15"/>
                <w:szCs w:val="15"/>
                <w:shd w:val="clear" w:color="auto" w:fill="auto"/>
                <w:vertAlign w:val="baseline"/>
              </w:rPr>
              <w:t>1</w:t>
            </w:r>
          </w:p>
        </w:tc>
        <w:tc>
          <w:tcPr>
            <w:tcW w:w="1064" w:type="pct"/>
            <w:vAlign w:val="center"/>
          </w:tcPr>
          <w:p>
            <w:pPr>
              <w:pStyle w:val="Normal0"/>
              <w:spacing w:before="0" w:after="0"/>
              <w:jc w:val="center"/>
              <w:rPr>
                <w:rFonts w:ascii="宋体" w:eastAsia="宋体" w:hAnsi="宋体" w:cs="宋体" w:hint="eastAsia"/>
                <w:sz w:val="15"/>
                <w:szCs w:val="15"/>
                <w:shd w:val="clear" w:color="auto" w:fill="auto"/>
                <w:vertAlign w:val="baseline"/>
                <w:lang w:val="en-US"/>
              </w:rPr>
            </w:pPr>
            <w:r>
              <w:rPr>
                <w:rFonts w:ascii="宋体" w:eastAsia="宋体" w:hAnsi="宋体" w:cs="宋体" w:hint="eastAsia"/>
                <w:sz w:val="15"/>
                <w:szCs w:val="15"/>
                <w:shd w:val="clear" w:color="auto" w:fill="auto"/>
                <w:vertAlign w:val="baseline"/>
                <w:lang w:val="en-US"/>
              </w:rPr>
              <w:t>栏次</w:t>
            </w:r>
          </w:p>
        </w:tc>
        <w:tc>
          <w:tcPr>
            <w:tcW w:w="188" w:type="pct"/>
            <w:vAlign w:val="center"/>
          </w:tcPr>
          <w:p>
            <w:pPr>
              <w:pStyle w:val="Normal0"/>
              <w:spacing w:before="0" w:after="0"/>
              <w:jc w:val="center"/>
              <w:rPr>
                <w:rFonts w:ascii="宋体" w:eastAsia="宋体" w:hAnsi="宋体" w:cs="宋体" w:hint="eastAsia"/>
                <w:sz w:val="15"/>
                <w:szCs w:val="15"/>
                <w:shd w:val="clear" w:color="auto" w:fill="auto"/>
                <w:vertAlign w:val="baseline"/>
              </w:rPr>
            </w:pPr>
          </w:p>
        </w:tc>
        <w:tc>
          <w:tcPr>
            <w:tcW w:w="465" w:type="pct"/>
            <w:vAlign w:val="center"/>
          </w:tcPr>
          <w:p>
            <w:pPr>
              <w:pStyle w:val="Normal0"/>
              <w:spacing w:before="0" w:after="0"/>
              <w:jc w:val="center"/>
              <w:rPr>
                <w:rFonts w:ascii="宋体" w:eastAsia="宋体" w:hAnsi="宋体" w:cs="宋体" w:hint="eastAsia"/>
                <w:sz w:val="15"/>
                <w:szCs w:val="15"/>
                <w:shd w:val="clear" w:color="auto" w:fill="auto"/>
                <w:vertAlign w:val="baseline"/>
              </w:rPr>
            </w:pPr>
            <w:r>
              <w:rPr>
                <w:rFonts w:ascii="宋体" w:eastAsia="宋体" w:hAnsi="宋体" w:cs="宋体" w:hint="eastAsia"/>
                <w:sz w:val="15"/>
                <w:szCs w:val="15"/>
                <w:shd w:val="clear" w:color="auto" w:fill="auto"/>
                <w:vertAlign w:val="baseline"/>
              </w:rPr>
              <w:t>2</w:t>
            </w:r>
          </w:p>
        </w:tc>
        <w:tc>
          <w:tcPr>
            <w:tcW w:w="465" w:type="pct"/>
            <w:vAlign w:val="center"/>
          </w:tcPr>
          <w:p>
            <w:pPr>
              <w:pStyle w:val="Normal0"/>
              <w:spacing w:before="0" w:after="0"/>
              <w:jc w:val="center"/>
              <w:rPr>
                <w:rFonts w:ascii="宋体" w:eastAsia="宋体" w:hAnsi="宋体" w:cs="宋体" w:hint="eastAsia"/>
                <w:sz w:val="15"/>
                <w:szCs w:val="15"/>
                <w:shd w:val="clear" w:color="auto" w:fill="auto"/>
                <w:vertAlign w:val="baseline"/>
              </w:rPr>
            </w:pPr>
            <w:r>
              <w:rPr>
                <w:rFonts w:ascii="宋体" w:eastAsia="宋体" w:hAnsi="宋体" w:cs="宋体" w:hint="eastAsia"/>
                <w:sz w:val="15"/>
                <w:szCs w:val="15"/>
                <w:shd w:val="clear" w:color="auto" w:fill="auto"/>
                <w:vertAlign w:val="baseline"/>
              </w:rPr>
              <w:t>3</w:t>
            </w:r>
          </w:p>
        </w:tc>
        <w:tc>
          <w:tcPr>
            <w:tcW w:w="465" w:type="pct"/>
            <w:vAlign w:val="center"/>
          </w:tcPr>
          <w:p>
            <w:pPr>
              <w:pStyle w:val="Normal0"/>
              <w:spacing w:before="0" w:after="0"/>
              <w:jc w:val="center"/>
              <w:rPr>
                <w:rFonts w:ascii="宋体" w:eastAsia="宋体" w:hAnsi="宋体" w:cs="宋体" w:hint="eastAsia"/>
                <w:sz w:val="15"/>
                <w:szCs w:val="15"/>
                <w:shd w:val="clear" w:color="auto" w:fill="auto"/>
                <w:vertAlign w:val="baseline"/>
              </w:rPr>
            </w:pPr>
            <w:r>
              <w:rPr>
                <w:rFonts w:ascii="宋体" w:eastAsia="宋体" w:hAnsi="宋体" w:cs="宋体" w:hint="eastAsia"/>
                <w:sz w:val="15"/>
                <w:szCs w:val="15"/>
                <w:shd w:val="clear" w:color="auto" w:fill="auto"/>
                <w:vertAlign w:val="baseline"/>
              </w:rPr>
              <w:t>4</w:t>
            </w:r>
          </w:p>
        </w:tc>
        <w:tc>
          <w:tcPr>
            <w:tcW w:w="472" w:type="pct"/>
            <w:vAlign w:val="center"/>
          </w:tcPr>
          <w:p>
            <w:pPr>
              <w:pStyle w:val="Normal0"/>
              <w:spacing w:before="0" w:after="0"/>
              <w:jc w:val="center"/>
              <w:rPr>
                <w:rFonts w:ascii="宋体" w:eastAsia="宋体" w:hAnsi="宋体" w:cs="宋体" w:hint="eastAsia"/>
                <w:sz w:val="15"/>
                <w:szCs w:val="15"/>
                <w:shd w:val="clear" w:color="auto" w:fill="auto"/>
                <w:vertAlign w:val="baseline"/>
              </w:rPr>
            </w:pPr>
            <w:r>
              <w:rPr>
                <w:rFonts w:ascii="宋体" w:eastAsia="宋体" w:hAnsi="宋体" w:cs="宋体" w:hint="eastAsia"/>
                <w:sz w:val="15"/>
                <w:szCs w:val="15"/>
                <w:shd w:val="clear" w:color="auto" w:fill="auto"/>
                <w:vertAlign w:val="baseline"/>
              </w:rPr>
              <w:t>5</w:t>
            </w:r>
          </w:p>
        </w:tc>
      </w:tr>
      <w:tr>
        <w:tblPrEx>
          <w:tblW w:w="5364" w:type="pct"/>
          <w:jc w:val="center"/>
          <w:tblInd w:w="-369" w:type="dxa"/>
          <w:tblCellMar>
            <w:top w:w="0" w:type="dxa"/>
            <w:left w:w="108" w:type="dxa"/>
            <w:bottom w:w="0" w:type="dxa"/>
            <w:right w:w="108" w:type="dxa"/>
          </w:tblCellMar>
        </w:tblPrEx>
        <w:trPr>
          <w:jc w:val="center"/>
        </w:trPr>
        <w:tc>
          <w:tcPr>
            <w:tcW w:w="1136"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15"/>
                <w:szCs w:val="15"/>
                <w:shd w:val="clear" w:color="auto" w:fill="auto"/>
                <w:vertAlign w:val="baseline"/>
              </w:rPr>
            </w:pPr>
            <w:r>
              <w:rPr>
                <w:rFonts w:ascii="宋体" w:eastAsia="宋体" w:hAnsi="宋体" w:cs="宋体" w:hint="eastAsia"/>
                <w:i w:val="0"/>
                <w:color w:val="000000"/>
                <w:kern w:val="0"/>
                <w:sz w:val="15"/>
                <w:szCs w:val="15"/>
                <w:u w:val="none"/>
                <w:shd w:val="clear" w:color="auto" w:fill="auto"/>
                <w:lang w:val="en-US" w:eastAsia="zh-CN" w:bidi="ar"/>
              </w:rPr>
              <w:t>一、一般公共预算财政拨款</w:t>
            </w: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sz w:val="15"/>
                <w:szCs w:val="15"/>
                <w:shd w:val="clear" w:color="auto" w:fill="auto"/>
                <w:vertAlign w:val="baseline"/>
              </w:rPr>
            </w:pPr>
            <w:r>
              <w:rPr>
                <w:rFonts w:ascii="宋体" w:eastAsia="宋体" w:hAnsi="宋体" w:cs="宋体" w:hint="eastAsia"/>
                <w:i w:val="0"/>
                <w:color w:val="000000"/>
                <w:kern w:val="0"/>
                <w:sz w:val="15"/>
                <w:szCs w:val="15"/>
                <w:u w:val="none"/>
                <w:shd w:val="clear" w:color="auto" w:fill="auto"/>
                <w:lang w:val="en-US" w:eastAsia="zh-CN" w:bidi="ar"/>
              </w:rPr>
              <w:t>1</w:t>
            </w:r>
          </w:p>
        </w:tc>
        <w:tc>
          <w:tcPr>
            <w:tcW w:w="558"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10,258.44</w:t>
            </w: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一、一般公共服务支出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30</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26.17</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26.17</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15"/>
                <w:szCs w:val="15"/>
                <w:shd w:val="clear" w:color="auto" w:fill="auto"/>
                <w:vertAlign w:val="baseline"/>
              </w:rPr>
            </w:pPr>
            <w:r>
              <w:rPr>
                <w:rFonts w:ascii="宋体" w:eastAsia="宋体" w:hAnsi="宋体" w:cs="宋体" w:hint="eastAsia"/>
                <w:i w:val="0"/>
                <w:color w:val="000000"/>
                <w:kern w:val="0"/>
                <w:sz w:val="15"/>
                <w:szCs w:val="15"/>
                <w:u w:val="none"/>
                <w:shd w:val="clear" w:color="auto" w:fill="auto"/>
                <w:lang w:val="en-US" w:eastAsia="zh-CN" w:bidi="ar"/>
              </w:rPr>
              <w:t>二、政府性基金预算财政拨款</w:t>
            </w: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sz w:val="15"/>
                <w:szCs w:val="15"/>
                <w:shd w:val="clear" w:color="auto" w:fill="auto"/>
                <w:vertAlign w:val="baseline"/>
              </w:rPr>
            </w:pPr>
            <w:r>
              <w:rPr>
                <w:rFonts w:ascii="宋体" w:eastAsia="宋体" w:hAnsi="宋体" w:cs="宋体" w:hint="eastAsia"/>
                <w:i w:val="0"/>
                <w:color w:val="000000"/>
                <w:kern w:val="0"/>
                <w:sz w:val="15"/>
                <w:szCs w:val="15"/>
                <w:u w:val="none"/>
                <w:shd w:val="clear" w:color="auto" w:fill="auto"/>
                <w:lang w:val="en-US" w:eastAsia="zh-CN" w:bidi="ar"/>
              </w:rPr>
              <w:t>2</w:t>
            </w:r>
          </w:p>
        </w:tc>
        <w:tc>
          <w:tcPr>
            <w:tcW w:w="558"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4.70</w:t>
            </w: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二、外交支出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31</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sz w:val="15"/>
                <w:szCs w:val="15"/>
                <w:shd w:val="clear" w:color="auto" w:fill="auto"/>
                <w:vertAlign w:val="baseline"/>
              </w:rPr>
            </w:pPr>
            <w:r>
              <w:rPr>
                <w:rFonts w:ascii="宋体" w:eastAsia="宋体" w:hAnsi="宋体" w:cs="宋体" w:hint="eastAsia"/>
                <w:i w:val="0"/>
                <w:color w:val="000000"/>
                <w:kern w:val="0"/>
                <w:sz w:val="15"/>
                <w:szCs w:val="15"/>
                <w:u w:val="none"/>
                <w:shd w:val="clear" w:color="auto" w:fill="auto"/>
                <w:lang w:val="en-US" w:eastAsia="zh-CN" w:bidi="ar"/>
              </w:rPr>
              <w:t>三、国有资本经营预算财政拨款</w:t>
            </w: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sz w:val="15"/>
                <w:szCs w:val="15"/>
                <w:shd w:val="clear" w:color="auto" w:fill="auto"/>
                <w:vertAlign w:val="baseline"/>
              </w:rPr>
            </w:pPr>
            <w:r>
              <w:rPr>
                <w:rFonts w:ascii="宋体" w:eastAsia="宋体" w:hAnsi="宋体" w:cs="宋体" w:hint="eastAsia"/>
                <w:i w:val="0"/>
                <w:color w:val="000000"/>
                <w:kern w:val="0"/>
                <w:sz w:val="15"/>
                <w:szCs w:val="15"/>
                <w:u w:val="none"/>
                <w:shd w:val="clear" w:color="auto" w:fill="auto"/>
                <w:lang w:val="en-US" w:eastAsia="zh-CN" w:bidi="ar"/>
              </w:rPr>
              <w:t>3</w:t>
            </w:r>
          </w:p>
        </w:tc>
        <w:tc>
          <w:tcPr>
            <w:tcW w:w="558"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三、国防支出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32</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四、公共安全支出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33</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2.26</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2.26</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5</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五、教育支出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34</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6</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六、科学技术支出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35</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7</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七、文化旅游体育与传媒支出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36</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8</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八、社会保障和就业支出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37</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175.04</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175.04</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9</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九、卫生健康支出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38</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43.27</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43.27</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10</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十、节能环保支出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39</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11</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十一、城乡社区支出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40</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3,724.12</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3,724.12</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12</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十二、农林水支出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41</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60.70</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60.70</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13</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十三、交通运输支出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42</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14</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十四、资源勘探工业信息等支出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43</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250.00</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250.00</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15</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十五、商业服务业等支出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44</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5,702.64</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5,702.64</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16</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十六、金融支出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45</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17</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十七、援助其他地区支出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46</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18</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十八、自然资源海洋气象等支出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47</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19</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十九、住房保障支出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48</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264.83</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264.83</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20</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二十、粮油物资储备支出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49</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21</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二十一、国有资本经营预算支出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50</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22</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二十二、灾害防治及应急管理支出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51</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9.41</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9.41</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Pr>
          <w:p>
            <w:pPr>
              <w:pStyle w:val="Normal0"/>
              <w:spacing w:before="0" w:after="0"/>
              <w:rPr>
                <w:rFonts w:ascii="宋体" w:eastAsia="宋体" w:hAnsi="宋体" w:cs="宋体" w:hint="eastAsia"/>
                <w:sz w:val="15"/>
                <w:szCs w:val="15"/>
                <w:shd w:val="clear" w:color="auto" w:fill="auto"/>
                <w:vertAlign w:val="baseline"/>
              </w:rPr>
            </w:pP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23</w:t>
            </w:r>
          </w:p>
        </w:tc>
        <w:tc>
          <w:tcPr>
            <w:tcW w:w="558" w:type="pct"/>
          </w:tcPr>
          <w:p>
            <w:pPr>
              <w:pStyle w:val="Normal0"/>
              <w:spacing w:before="0" w:after="0"/>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二十三、其他支出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52</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4.70</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r>
              <w:rPr>
                <w:rFonts w:ascii="Times New Roman" w:eastAsia="宋体" w:hAnsi="Times New Roman"/>
                <w:b w:val="0"/>
                <w:sz w:val="16"/>
              </w:rPr>
              <w:t>4.70</w:t>
            </w: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bCs w:val="0"/>
                <w:i w:val="0"/>
                <w:color w:val="000000"/>
                <w:kern w:val="2"/>
                <w:sz w:val="15"/>
                <w:szCs w:val="15"/>
                <w:u w:val="none"/>
                <w:shd w:val="clear" w:color="auto" w:fill="auto"/>
                <w:lang w:val="en-US" w:eastAsia="zh-CN" w:bidi="ar-SA"/>
              </w:rPr>
            </w:pPr>
            <w:r>
              <w:rPr>
                <w:rFonts w:ascii="宋体" w:eastAsia="宋体" w:hAnsi="宋体" w:cs="宋体" w:hint="eastAsia"/>
                <w:b/>
                <w:bCs w:val="0"/>
                <w:i w:val="0"/>
                <w:color w:val="000000"/>
                <w:kern w:val="0"/>
                <w:sz w:val="15"/>
                <w:szCs w:val="15"/>
                <w:u w:val="none"/>
                <w:shd w:val="clear" w:color="auto" w:fill="auto"/>
                <w:lang w:val="en-US" w:eastAsia="zh-CN" w:bidi="ar"/>
              </w:rPr>
              <w:t>本年收入合计</w:t>
            </w: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24</w:t>
            </w:r>
          </w:p>
        </w:tc>
        <w:tc>
          <w:tcPr>
            <w:tcW w:w="558" w:type="pct"/>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r>
              <w:rPr>
                <w:rFonts w:ascii="Times New Roman" w:eastAsia="宋体" w:hAnsi="Times New Roman"/>
                <w:b w:val="0"/>
                <w:sz w:val="16"/>
              </w:rPr>
              <w:t>10,263.14</w:t>
            </w: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二十四、债务还本支出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53</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年初财政拨款结转和结余</w:t>
            </w: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25</w:t>
            </w:r>
          </w:p>
        </w:tc>
        <w:tc>
          <w:tcPr>
            <w:tcW w:w="558"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二十五、债务付息支出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54</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 xml:space="preserve">  一般公共预算财政拨款</w:t>
            </w: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26</w:t>
            </w:r>
          </w:p>
        </w:tc>
        <w:tc>
          <w:tcPr>
            <w:tcW w:w="558"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二十六、抗疫特别国债安排的支出</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55</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 xml:space="preserve">  政府性基金预算财政拨款</w:t>
            </w:r>
          </w:p>
        </w:tc>
        <w:tc>
          <w:tcPr>
            <w:tcW w:w="182"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27</w:t>
            </w:r>
          </w:p>
        </w:tc>
        <w:tc>
          <w:tcPr>
            <w:tcW w:w="558" w:type="pct"/>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1064"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bCs w:val="0"/>
                <w:i w:val="0"/>
                <w:color w:val="000000"/>
                <w:kern w:val="2"/>
                <w:sz w:val="15"/>
                <w:szCs w:val="15"/>
                <w:u w:val="none"/>
                <w:shd w:val="clear" w:color="auto" w:fill="auto"/>
                <w:lang w:val="en-US" w:eastAsia="zh-CN" w:bidi="ar-SA"/>
              </w:rPr>
            </w:pPr>
            <w:r>
              <w:rPr>
                <w:rFonts w:ascii="宋体" w:eastAsia="宋体" w:hAnsi="宋体" w:cs="宋体" w:hint="eastAsia"/>
                <w:b/>
                <w:bCs w:val="0"/>
                <w:i w:val="0"/>
                <w:color w:val="000000"/>
                <w:kern w:val="0"/>
                <w:sz w:val="15"/>
                <w:szCs w:val="15"/>
                <w:u w:val="none"/>
                <w:shd w:val="clear" w:color="auto" w:fill="auto"/>
                <w:lang w:val="en-US" w:eastAsia="zh-CN" w:bidi="ar"/>
              </w:rPr>
              <w:t>本年支出合计</w:t>
            </w:r>
          </w:p>
        </w:tc>
        <w:tc>
          <w:tcPr>
            <w:tcW w:w="188" w:type="pct"/>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56</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r>
              <w:rPr>
                <w:rFonts w:ascii="Times New Roman" w:eastAsia="宋体" w:hAnsi="Times New Roman"/>
                <w:b w:val="0"/>
                <w:sz w:val="16"/>
              </w:rPr>
              <w:t>10,263.14</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r>
              <w:rPr>
                <w:rFonts w:ascii="Times New Roman" w:eastAsia="宋体" w:hAnsi="Times New Roman"/>
                <w:b w:val="0"/>
                <w:sz w:val="16"/>
              </w:rPr>
              <w:t>10,258.44</w:t>
            </w:r>
          </w:p>
        </w:tc>
        <w:tc>
          <w:tcPr>
            <w:tcW w:w="465" w:type="pct"/>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r>
              <w:rPr>
                <w:rFonts w:ascii="Times New Roman" w:eastAsia="宋体" w:hAnsi="Times New Roman"/>
                <w:b w:val="0"/>
                <w:sz w:val="16"/>
              </w:rPr>
              <w:t>4.70</w:t>
            </w:r>
          </w:p>
        </w:tc>
        <w:tc>
          <w:tcPr>
            <w:tcW w:w="472" w:type="pct"/>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Borders>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 xml:space="preserve">  国有资本经营预算财政拨款</w:t>
            </w:r>
          </w:p>
        </w:tc>
        <w:tc>
          <w:tcPr>
            <w:tcW w:w="182" w:type="pct"/>
            <w:tcBorders>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28</w:t>
            </w:r>
          </w:p>
        </w:tc>
        <w:tc>
          <w:tcPr>
            <w:tcW w:w="558" w:type="pct"/>
            <w:tcBorders>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1064" w:type="pct"/>
            <w:tcBorders>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left"/>
              <w:textAlignment w:val="center"/>
              <w:rPr>
                <w:rFonts w:ascii="宋体" w:eastAsia="宋体" w:hAnsi="宋体" w:cs="宋体" w:hint="eastAsia"/>
                <w:i w:val="0"/>
                <w:color w:val="000000"/>
                <w:kern w:val="2"/>
                <w:sz w:val="15"/>
                <w:szCs w:val="15"/>
                <w:u w:val="none"/>
                <w:shd w:val="clear" w:color="auto" w:fill="auto"/>
                <w:lang w:val="en-US" w:eastAsia="zh-CN" w:bidi="ar-SA"/>
              </w:rPr>
            </w:pPr>
            <w:r>
              <w:rPr>
                <w:rFonts w:ascii="宋体" w:eastAsia="宋体" w:hAnsi="宋体" w:cs="宋体" w:hint="eastAsia"/>
                <w:i w:val="0"/>
                <w:color w:val="000000"/>
                <w:kern w:val="0"/>
                <w:sz w:val="15"/>
                <w:szCs w:val="15"/>
                <w:u w:val="none"/>
                <w:shd w:val="clear" w:color="auto" w:fill="auto"/>
                <w:lang w:val="en-US" w:eastAsia="zh-CN" w:bidi="ar"/>
              </w:rPr>
              <w:t>年末财政拨款结转和结余</w:t>
            </w:r>
          </w:p>
        </w:tc>
        <w:tc>
          <w:tcPr>
            <w:tcW w:w="188" w:type="pct"/>
            <w:tcBorders>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57</w:t>
            </w:r>
          </w:p>
        </w:tc>
        <w:tc>
          <w:tcPr>
            <w:tcW w:w="465" w:type="pct"/>
            <w:tcBorders>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Borders>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65" w:type="pct"/>
            <w:tcBorders>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c>
          <w:tcPr>
            <w:tcW w:w="472" w:type="pct"/>
            <w:tcBorders>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1136" w:type="pct"/>
            <w:tcBorders>
              <w:top w:val="single" w:sz="4" w:space="0" w:color="auto"/>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center"/>
              <w:textAlignment w:val="center"/>
              <w:rPr>
                <w:rFonts w:ascii="宋体" w:eastAsia="宋体" w:hAnsi="宋体" w:cs="宋体" w:hint="eastAsia"/>
                <w:b/>
                <w:bCs w:val="0"/>
                <w:i w:val="0"/>
                <w:color w:val="000000"/>
                <w:kern w:val="2"/>
                <w:sz w:val="15"/>
                <w:szCs w:val="15"/>
                <w:u w:val="none"/>
                <w:shd w:val="clear" w:color="auto" w:fill="auto"/>
                <w:lang w:val="en-US" w:eastAsia="zh-CN" w:bidi="ar-SA"/>
              </w:rPr>
            </w:pPr>
            <w:r>
              <w:rPr>
                <w:rFonts w:ascii="宋体" w:eastAsia="宋体" w:hAnsi="宋体" w:cs="宋体" w:hint="eastAsia"/>
                <w:b/>
                <w:bCs w:val="0"/>
                <w:i w:val="0"/>
                <w:color w:val="000000"/>
                <w:kern w:val="0"/>
                <w:sz w:val="15"/>
                <w:szCs w:val="15"/>
                <w:u w:val="none"/>
                <w:shd w:val="clear" w:color="auto" w:fill="auto"/>
                <w:lang w:val="en-US" w:eastAsia="zh-CN" w:bidi="ar"/>
              </w:rPr>
              <w:t>总计</w:t>
            </w:r>
          </w:p>
        </w:tc>
        <w:tc>
          <w:tcPr>
            <w:tcW w:w="182" w:type="pct"/>
            <w:tcBorders>
              <w:top w:val="single" w:sz="4" w:space="0" w:color="auto"/>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29</w:t>
            </w:r>
          </w:p>
        </w:tc>
        <w:tc>
          <w:tcPr>
            <w:tcW w:w="558" w:type="pct"/>
            <w:tcBorders>
              <w:top w:val="single" w:sz="4" w:space="0" w:color="auto"/>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r>
              <w:rPr>
                <w:rFonts w:ascii="Times New Roman" w:eastAsia="宋体" w:hAnsi="Times New Roman"/>
                <w:b w:val="0"/>
                <w:sz w:val="16"/>
              </w:rPr>
              <w:t>10,263.14</w:t>
            </w:r>
          </w:p>
        </w:tc>
        <w:tc>
          <w:tcPr>
            <w:tcW w:w="1064" w:type="pct"/>
            <w:tcBorders>
              <w:top w:val="single" w:sz="4" w:space="0" w:color="auto"/>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center"/>
              <w:textAlignment w:val="center"/>
              <w:rPr>
                <w:rFonts w:ascii="宋体" w:eastAsia="宋体" w:hAnsi="宋体" w:cs="宋体" w:hint="eastAsia"/>
                <w:b/>
                <w:bCs w:val="0"/>
                <w:i w:val="0"/>
                <w:color w:val="000000"/>
                <w:kern w:val="2"/>
                <w:sz w:val="15"/>
                <w:szCs w:val="15"/>
                <w:u w:val="none"/>
                <w:shd w:val="clear" w:color="auto" w:fill="auto"/>
                <w:lang w:val="en-US" w:eastAsia="zh-CN" w:bidi="ar-SA"/>
              </w:rPr>
            </w:pPr>
            <w:r>
              <w:rPr>
                <w:rFonts w:ascii="宋体" w:eastAsia="宋体" w:hAnsi="宋体" w:cs="宋体" w:hint="eastAsia"/>
                <w:b/>
                <w:bCs w:val="0"/>
                <w:i w:val="0"/>
                <w:color w:val="000000"/>
                <w:kern w:val="0"/>
                <w:sz w:val="15"/>
                <w:szCs w:val="15"/>
                <w:u w:val="none"/>
                <w:shd w:val="clear" w:color="auto" w:fill="auto"/>
                <w:lang w:val="en-US" w:eastAsia="zh-CN" w:bidi="ar"/>
              </w:rPr>
              <w:t>总计</w:t>
            </w:r>
          </w:p>
        </w:tc>
        <w:tc>
          <w:tcPr>
            <w:tcW w:w="188" w:type="pct"/>
            <w:tcBorders>
              <w:top w:val="single" w:sz="4" w:space="0" w:color="auto"/>
              <w:left w:val="single" w:sz="4" w:space="0" w:color="auto"/>
              <w:bottom w:val="single" w:sz="4" w:space="0" w:color="auto"/>
              <w:right w:val="single" w:sz="4" w:space="0" w:color="auto"/>
            </w:tcBorders>
            <w:vAlign w:val="center"/>
          </w:tcPr>
          <w:p>
            <w:pPr>
              <w:pStyle w:val="Normal0"/>
              <w:keepNext w:val="0"/>
              <w:keepLines w:val="0"/>
              <w:widowControl/>
              <w:suppressLineNumbers w:val="0"/>
              <w:spacing w:before="0" w:after="0"/>
              <w:jc w:val="center"/>
              <w:textAlignment w:val="center"/>
              <w:rPr>
                <w:rFonts w:ascii="宋体" w:eastAsia="宋体" w:hAnsi="宋体" w:cs="宋体" w:hint="eastAsia"/>
                <w:b w:val="0"/>
                <w:bCs w:val="0"/>
                <w:i w:val="0"/>
                <w:color w:val="000000"/>
                <w:kern w:val="2"/>
                <w:sz w:val="15"/>
                <w:szCs w:val="15"/>
                <w:u w:val="none"/>
                <w:shd w:val="clear" w:color="auto" w:fill="auto"/>
                <w:lang w:val="en-US" w:eastAsia="zh-CN" w:bidi="ar-SA"/>
              </w:rPr>
            </w:pPr>
            <w:r>
              <w:rPr>
                <w:rFonts w:ascii="宋体" w:eastAsia="宋体" w:hAnsi="宋体" w:cs="宋体" w:hint="eastAsia"/>
                <w:b w:val="0"/>
                <w:bCs w:val="0"/>
                <w:i w:val="0"/>
                <w:color w:val="000000"/>
                <w:kern w:val="0"/>
                <w:sz w:val="15"/>
                <w:szCs w:val="15"/>
                <w:u w:val="none"/>
                <w:shd w:val="clear" w:color="auto" w:fill="auto"/>
                <w:lang w:val="en-US" w:eastAsia="zh-CN" w:bidi="ar"/>
              </w:rPr>
              <w:t>58</w:t>
            </w:r>
          </w:p>
        </w:tc>
        <w:tc>
          <w:tcPr>
            <w:tcW w:w="465" w:type="pct"/>
            <w:tcBorders>
              <w:top w:val="single" w:sz="4" w:space="0" w:color="auto"/>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r>
              <w:rPr>
                <w:rFonts w:ascii="Times New Roman" w:eastAsia="宋体" w:hAnsi="Times New Roman"/>
                <w:b w:val="0"/>
                <w:sz w:val="16"/>
              </w:rPr>
              <w:t>10,263.14</w:t>
            </w:r>
          </w:p>
        </w:tc>
        <w:tc>
          <w:tcPr>
            <w:tcW w:w="465" w:type="pct"/>
            <w:tcBorders>
              <w:top w:val="single" w:sz="4" w:space="0" w:color="auto"/>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r>
              <w:rPr>
                <w:rFonts w:ascii="Times New Roman" w:eastAsia="宋体" w:hAnsi="Times New Roman"/>
                <w:b w:val="0"/>
                <w:sz w:val="16"/>
              </w:rPr>
              <w:t>10,258.44</w:t>
            </w:r>
          </w:p>
        </w:tc>
        <w:tc>
          <w:tcPr>
            <w:tcW w:w="465" w:type="pct"/>
            <w:tcBorders>
              <w:top w:val="single" w:sz="4" w:space="0" w:color="auto"/>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r>
              <w:rPr>
                <w:rFonts w:ascii="Times New Roman" w:eastAsia="宋体" w:hAnsi="Times New Roman"/>
                <w:b w:val="0"/>
                <w:sz w:val="16"/>
              </w:rPr>
              <w:t>4.70</w:t>
            </w:r>
          </w:p>
        </w:tc>
        <w:tc>
          <w:tcPr>
            <w:tcW w:w="472" w:type="pct"/>
            <w:tcBorders>
              <w:top w:val="single" w:sz="4" w:space="0" w:color="auto"/>
              <w:left w:val="single" w:sz="4" w:space="0" w:color="auto"/>
              <w:bottom w:val="single" w:sz="4" w:space="0" w:color="auto"/>
              <w:right w:val="single" w:sz="4" w:space="0" w:color="auto"/>
            </w:tcBorders>
            <w:tcMar>
              <w:left w:w="20" w:type="dxa"/>
              <w:right w:w="20" w:type="dxa"/>
            </w:tcMar>
            <w:vAlign w:val="center"/>
          </w:tcPr>
          <w:p>
            <w:pPr>
              <w:pStyle w:val="Normal0"/>
              <w:spacing w:before="0" w:after="0" w:line="240" w:lineRule="auto"/>
              <w:jc w:val="right"/>
              <w:rPr>
                <w:rFonts w:ascii="宋体" w:eastAsia="宋体" w:hAnsi="宋体" w:cs="宋体" w:hint="eastAsia"/>
                <w:b/>
                <w:bCs w:val="0"/>
                <w:sz w:val="15"/>
                <w:szCs w:val="15"/>
                <w:shd w:val="clear" w:color="auto" w:fill="auto"/>
                <w:vertAlign w:val="baseline"/>
              </w:rPr>
            </w:pPr>
          </w:p>
        </w:tc>
      </w:tr>
      <w:tr>
        <w:tblPrEx>
          <w:tblW w:w="5364" w:type="pct"/>
          <w:jc w:val="center"/>
          <w:tblInd w:w="-369" w:type="dxa"/>
          <w:tblCellMar>
            <w:top w:w="0" w:type="dxa"/>
            <w:left w:w="108" w:type="dxa"/>
            <w:bottom w:w="0" w:type="dxa"/>
            <w:right w:w="108" w:type="dxa"/>
          </w:tblCellMar>
        </w:tblPrEx>
        <w:trPr>
          <w:jc w:val="center"/>
        </w:trPr>
        <w:tc>
          <w:tcPr>
            <w:tcW w:w="5000" w:type="pct"/>
            <w:gridSpan w:val="9"/>
            <w:tcBorders>
              <w:top w:val="single" w:sz="4" w:space="0" w:color="auto"/>
              <w:left w:val="nil"/>
              <w:bottom w:val="nil"/>
              <w:right w:val="nil"/>
            </w:tcBorders>
          </w:tcPr>
          <w:p>
            <w:pPr>
              <w:pStyle w:val="Normal0"/>
              <w:spacing w:before="0" w:after="0"/>
              <w:rPr>
                <w:rFonts w:ascii="宋体" w:eastAsia="宋体" w:hAnsi="宋体" w:cs="宋体" w:hint="eastAsia"/>
                <w:sz w:val="15"/>
                <w:szCs w:val="15"/>
                <w:shd w:val="clear" w:color="auto" w:fill="auto"/>
                <w:vertAlign w:val="baseline"/>
              </w:rPr>
            </w:pPr>
            <w:r>
              <w:rPr>
                <w:rFonts w:ascii="宋体" w:eastAsia="宋体" w:hAnsi="宋体" w:cs="宋体" w:hint="eastAsia"/>
                <w:sz w:val="15"/>
                <w:szCs w:val="15"/>
                <w:shd w:val="clear" w:color="auto" w:fill="auto"/>
                <w:vertAlign w:val="baseline"/>
              </w:rPr>
              <w:t>注：本表反映</w:t>
            </w:r>
            <w:r>
              <w:rPr>
                <w:rFonts w:ascii="宋体" w:eastAsia="宋体" w:hAnsi="宋体" w:cs="宋体" w:hint="eastAsia"/>
                <w:sz w:val="15"/>
                <w:szCs w:val="15"/>
                <w:shd w:val="clear" w:color="auto" w:fill="auto"/>
                <w:vertAlign w:val="baseline"/>
                <w:lang w:val="en-US"/>
              </w:rPr>
              <w:t>部门</w:t>
            </w:r>
            <w:r>
              <w:rPr>
                <w:rFonts w:ascii="宋体" w:eastAsia="宋体" w:hAnsi="宋体" w:cs="宋体" w:hint="eastAsia"/>
                <w:sz w:val="15"/>
                <w:szCs w:val="15"/>
                <w:shd w:val="clear" w:color="auto" w:fill="auto"/>
                <w:vertAlign w:val="baseline"/>
              </w:rPr>
              <w:t>本年度一般公共预算财政拨款、政府性基金预算财政拨款和国有资本经营预算财政拨款的总收支和年末结转结余情况。</w:t>
            </w:r>
          </w:p>
        </w:tc>
      </w:tr>
    </w:tbl>
    <w:p>
      <w:pPr>
        <w:sectPr>
          <w:pgSz w:w="11906" w:h="16838"/>
          <w:pgMar w:top="720" w:right="720" w:bottom="720" w:left="720" w:header="851" w:footer="992" w:gutter="0"/>
          <w:cols w:num="1" w:space="425"/>
          <w:docGrid w:type="lines" w:linePitch="312" w:charSpace="0"/>
        </w:sectPr>
      </w:pPr>
    </w:p>
    <w:tbl>
      <w:tblPr>
        <w:tblStyle w:val="TableGrid0"/>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68"/>
        <w:gridCol w:w="438"/>
        <w:gridCol w:w="455"/>
        <w:gridCol w:w="4478"/>
        <w:gridCol w:w="1615"/>
        <w:gridCol w:w="1611"/>
        <w:gridCol w:w="1617"/>
      </w:tblGrid>
      <w:tr>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3"/>
          <w:tblHeader/>
          <w:jc w:val="center"/>
        </w:trPr>
        <w:tc>
          <w:tcPr>
            <w:tcW w:w="5000" w:type="pct"/>
            <w:gridSpan w:val="7"/>
            <w:tcBorders>
              <w:top w:val="nil"/>
              <w:left w:val="nil"/>
              <w:bottom w:val="nil"/>
              <w:right w:val="nil"/>
            </w:tcBorders>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黑体" w:hAnsi="Times New Roman" w:cs="黑体" w:hint="eastAsia"/>
                <w:sz w:val="32"/>
                <w:szCs w:val="32"/>
                <w:shd w:val="clear" w:color="auto" w:fill="auto"/>
                <w:vertAlign w:val="baseline"/>
                <w:lang w:val="en-US"/>
              </w:rPr>
              <w:t>一般公共预算财政拨款支出决算表</w:t>
            </w:r>
          </w:p>
        </w:tc>
      </w:tr>
      <w:tr>
        <w:tblPrEx>
          <w:tblW w:w="5000" w:type="pct"/>
          <w:jc w:val="center"/>
          <w:tblInd w:w="0" w:type="dxa"/>
          <w:tblCellMar>
            <w:top w:w="0" w:type="dxa"/>
            <w:left w:w="108" w:type="dxa"/>
            <w:bottom w:w="0" w:type="dxa"/>
            <w:right w:w="108" w:type="dxa"/>
          </w:tblCellMar>
        </w:tblPrEx>
        <w:trPr>
          <w:trHeight w:val="23"/>
          <w:tblHeader/>
          <w:jc w:val="center"/>
        </w:trPr>
        <w:tc>
          <w:tcPr>
            <w:tcW w:w="219"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05"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13"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096"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755"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754" w:type="pct"/>
            <w:tcBorders>
              <w:top w:val="nil"/>
              <w:left w:val="nil"/>
              <w:bottom w:val="nil"/>
              <w:right w:val="nil"/>
            </w:tcBorders>
            <w:vAlign w:val="center"/>
          </w:tcPr>
          <w:p>
            <w:pPr>
              <w:pStyle w:val="Normal0"/>
              <w:spacing w:before="0" w:after="0"/>
              <w:jc w:val="right"/>
              <w:rPr>
                <w:rFonts w:ascii="Times New Roman" w:eastAsia="宋体" w:hAnsi="Times New Roman" w:cs="宋体" w:hint="eastAsia"/>
                <w:sz w:val="20"/>
                <w:szCs w:val="20"/>
                <w:shd w:val="clear" w:color="auto" w:fill="auto"/>
                <w:vertAlign w:val="baseline"/>
              </w:rPr>
            </w:pPr>
          </w:p>
        </w:tc>
        <w:tc>
          <w:tcPr>
            <w:tcW w:w="756" w:type="pct"/>
            <w:tcBorders>
              <w:top w:val="nil"/>
              <w:left w:val="nil"/>
              <w:bottom w:val="nil"/>
              <w:right w:val="nil"/>
            </w:tcBorders>
            <w:vAlign w:val="center"/>
          </w:tcPr>
          <w:p>
            <w:pPr>
              <w:pStyle w:val="Normal0"/>
              <w:spacing w:before="0" w:after="0"/>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公开</w:t>
            </w:r>
            <w:r>
              <w:rPr>
                <w:rFonts w:ascii="Times New Roman" w:eastAsia="宋体" w:hAnsi="Times New Roman" w:cs="宋体" w:hint="default"/>
                <w:sz w:val="20"/>
                <w:szCs w:val="20"/>
                <w:shd w:val="clear" w:color="auto" w:fill="auto"/>
                <w:vertAlign w:val="baseline"/>
              </w:rPr>
              <w:t>05</w:t>
            </w:r>
            <w:r>
              <w:rPr>
                <w:rFonts w:ascii="Times New Roman" w:eastAsia="宋体" w:hAnsi="Times New Roman" w:cs="宋体" w:hint="eastAsia"/>
                <w:sz w:val="20"/>
                <w:szCs w:val="20"/>
                <w:shd w:val="clear" w:color="auto" w:fill="auto"/>
                <w:vertAlign w:val="baseline"/>
                <w:lang w:val="en-US"/>
              </w:rPr>
              <w:t>表</w:t>
            </w:r>
          </w:p>
        </w:tc>
      </w:tr>
      <w:tr>
        <w:tblPrEx>
          <w:tblW w:w="5000" w:type="pct"/>
          <w:jc w:val="center"/>
          <w:tblInd w:w="0" w:type="dxa"/>
          <w:tblCellMar>
            <w:top w:w="0" w:type="dxa"/>
            <w:left w:w="108" w:type="dxa"/>
            <w:bottom w:w="0" w:type="dxa"/>
            <w:right w:w="108" w:type="dxa"/>
          </w:tblCellMar>
        </w:tblPrEx>
        <w:trPr>
          <w:trHeight w:val="23"/>
          <w:tblHeader/>
          <w:jc w:val="center"/>
        </w:trPr>
        <w:tc>
          <w:tcPr>
            <w:tcW w:w="3489" w:type="pct"/>
            <w:gridSpan w:val="5"/>
            <w:tcBorders>
              <w:top w:val="nil"/>
              <w:left w:val="nil"/>
              <w:bottom w:val="single" w:sz="4" w:space="0" w:color="auto"/>
              <w:right w:val="nil"/>
            </w:tcBorders>
            <w:vAlign w:val="center"/>
          </w:tcPr>
          <w:p>
            <w:pPr>
              <w:pStyle w:val="Normal0"/>
              <w:spacing w:before="0" w:after="0"/>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rPr>
              <w:t>部门：铜陵市铜官区新城办事处</w:t>
            </w:r>
          </w:p>
        </w:tc>
        <w:tc>
          <w:tcPr>
            <w:tcW w:w="1510" w:type="pct"/>
            <w:gridSpan w:val="2"/>
            <w:tcBorders>
              <w:top w:val="nil"/>
              <w:left w:val="nil"/>
              <w:bottom w:val="single" w:sz="4" w:space="0" w:color="auto"/>
              <w:right w:val="nil"/>
            </w:tcBorders>
            <w:vAlign w:val="center"/>
          </w:tcPr>
          <w:p>
            <w:pPr>
              <w:pStyle w:val="Normal0"/>
              <w:spacing w:before="0" w:after="0"/>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金额单位</w:t>
            </w:r>
            <w:r>
              <w:rPr>
                <w:rFonts w:ascii="Times New Roman" w:eastAsia="宋体" w:hAnsi="Times New Roman" w:cs="宋体" w:hint="default"/>
                <w:sz w:val="20"/>
                <w:szCs w:val="20"/>
                <w:shd w:val="clear" w:color="auto" w:fill="auto"/>
                <w:vertAlign w:val="baseline"/>
              </w:rPr>
              <w:t>：</w:t>
            </w:r>
            <w:r>
              <w:rPr>
                <w:rFonts w:ascii="Times New Roman" w:eastAsia="宋体" w:hAnsi="Times New Roman" w:cs="宋体" w:hint="eastAsia"/>
                <w:sz w:val="20"/>
                <w:szCs w:val="20"/>
                <w:shd w:val="clear" w:color="auto" w:fill="auto"/>
                <w:vertAlign w:val="baseline"/>
                <w:lang w:val="en-US"/>
              </w:rPr>
              <w:t>万元</w:t>
            </w:r>
          </w:p>
        </w:tc>
      </w:tr>
      <w:tr>
        <w:tblPrEx>
          <w:tblW w:w="5000" w:type="pct"/>
          <w:jc w:val="center"/>
          <w:tblInd w:w="0" w:type="dxa"/>
          <w:tblCellMar>
            <w:top w:w="0" w:type="dxa"/>
            <w:left w:w="108" w:type="dxa"/>
            <w:bottom w:w="0" w:type="dxa"/>
            <w:right w:w="108" w:type="dxa"/>
          </w:tblCellMar>
        </w:tblPrEx>
        <w:trPr>
          <w:trHeight w:val="23"/>
          <w:tblHeader/>
          <w:jc w:val="center"/>
        </w:trPr>
        <w:tc>
          <w:tcPr>
            <w:tcW w:w="637" w:type="pct"/>
            <w:gridSpan w:val="3"/>
            <w:vMerge w:val="restart"/>
            <w:tcBorders>
              <w:top w:val="single" w:sz="4" w:space="0" w:color="auto"/>
            </w:tcBorders>
            <w:vAlign w:val="center"/>
          </w:tcPr>
          <w:p>
            <w:pPr>
              <w:pStyle w:val="Normal0"/>
              <w:spacing w:before="0" w:after="0"/>
              <w:jc w:val="center"/>
              <w:rPr>
                <w:rFonts w:ascii="Times New Roman" w:eastAsia="宋体" w:hAnsi="Times New Roman" w:cs="宋体" w:hint="eastAsia"/>
                <w:color w:val="auto"/>
                <w:sz w:val="20"/>
                <w:szCs w:val="20"/>
                <w:shd w:val="clear" w:color="auto" w:fill="auto"/>
                <w:vertAlign w:val="baseline"/>
              </w:rPr>
            </w:pPr>
            <w:r>
              <w:rPr>
                <w:rFonts w:ascii="宋体" w:eastAsia="宋体" w:hAnsi="宋体" w:cs="宋体" w:hint="eastAsia"/>
                <w:i w:val="0"/>
                <w:color w:val="auto"/>
                <w:kern w:val="0"/>
                <w:sz w:val="22"/>
                <w:szCs w:val="22"/>
                <w:u w:val="none"/>
                <w:lang w:val="en-US" w:eastAsia="zh-CN" w:bidi="ar"/>
              </w:rPr>
              <w:t>科目代码</w:t>
            </w:r>
          </w:p>
        </w:tc>
        <w:tc>
          <w:tcPr>
            <w:tcW w:w="2096" w:type="pct"/>
            <w:vMerge w:val="restart"/>
            <w:tcBorders>
              <w:top w:val="single" w:sz="4" w:space="0" w:color="auto"/>
            </w:tcBorders>
            <w:vAlign w:val="center"/>
          </w:tcPr>
          <w:p>
            <w:pPr>
              <w:pStyle w:val="Normal0"/>
              <w:spacing w:before="0" w:after="0"/>
              <w:jc w:val="center"/>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科目名称</w:t>
            </w:r>
          </w:p>
        </w:tc>
        <w:tc>
          <w:tcPr>
            <w:tcW w:w="2265" w:type="pct"/>
            <w:gridSpan w:val="3"/>
            <w:tcBorders>
              <w:top w:val="single" w:sz="4" w:space="0" w:color="auto"/>
            </w:tcBorders>
            <w:vAlign w:val="center"/>
          </w:tcPr>
          <w:p>
            <w:pPr>
              <w:pStyle w:val="Normal0"/>
              <w:spacing w:before="0" w:after="0"/>
              <w:jc w:val="center"/>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本年支出</w:t>
            </w:r>
          </w:p>
        </w:tc>
      </w:tr>
      <w:tr>
        <w:tblPrEx>
          <w:tblW w:w="5000" w:type="pct"/>
          <w:jc w:val="center"/>
          <w:tblInd w:w="0" w:type="dxa"/>
          <w:tblCellMar>
            <w:top w:w="0" w:type="dxa"/>
            <w:left w:w="108" w:type="dxa"/>
            <w:bottom w:w="0" w:type="dxa"/>
            <w:right w:w="108" w:type="dxa"/>
          </w:tblCellMar>
        </w:tblPrEx>
        <w:trPr>
          <w:trHeight w:val="23"/>
          <w:tblHeader/>
          <w:jc w:val="center"/>
        </w:trPr>
        <w:tc>
          <w:tcPr>
            <w:tcW w:w="637" w:type="pct"/>
            <w:gridSpan w:val="3"/>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096"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755" w:type="pc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合计</w:t>
            </w:r>
          </w:p>
        </w:tc>
        <w:tc>
          <w:tcPr>
            <w:tcW w:w="754" w:type="pc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基本支出</w:t>
            </w:r>
          </w:p>
        </w:tc>
        <w:tc>
          <w:tcPr>
            <w:tcW w:w="756"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项目支出</w:t>
            </w:r>
          </w:p>
        </w:tc>
      </w:tr>
      <w:tr>
        <w:tblPrEx>
          <w:tblW w:w="5000" w:type="pct"/>
          <w:jc w:val="center"/>
          <w:tblInd w:w="0" w:type="dxa"/>
          <w:tblCellMar>
            <w:top w:w="0" w:type="dxa"/>
            <w:left w:w="108" w:type="dxa"/>
            <w:bottom w:w="0" w:type="dxa"/>
            <w:right w:w="108" w:type="dxa"/>
          </w:tblCellMar>
        </w:tblPrEx>
        <w:trPr>
          <w:trHeight w:val="23"/>
          <w:tblHeader/>
          <w:jc w:val="center"/>
        </w:trPr>
        <w:tc>
          <w:tcPr>
            <w:tcW w:w="219"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类</w:t>
            </w:r>
          </w:p>
        </w:tc>
        <w:tc>
          <w:tcPr>
            <w:tcW w:w="205"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款</w:t>
            </w:r>
          </w:p>
        </w:tc>
        <w:tc>
          <w:tcPr>
            <w:tcW w:w="213"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w:t>
            </w:r>
          </w:p>
        </w:tc>
        <w:tc>
          <w:tcPr>
            <w:tcW w:w="2096"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栏次</w:t>
            </w:r>
          </w:p>
        </w:tc>
        <w:tc>
          <w:tcPr>
            <w:tcW w:w="755"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1</w:t>
            </w:r>
          </w:p>
        </w:tc>
        <w:tc>
          <w:tcPr>
            <w:tcW w:w="754"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2</w:t>
            </w:r>
          </w:p>
        </w:tc>
        <w:tc>
          <w:tcPr>
            <w:tcW w:w="756"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3</w:t>
            </w:r>
          </w:p>
        </w:tc>
      </w:tr>
      <w:tr>
        <w:tblPrEx>
          <w:tblW w:w="5000" w:type="pct"/>
          <w:jc w:val="center"/>
          <w:tblInd w:w="0" w:type="dxa"/>
          <w:tblCellMar>
            <w:top w:w="0" w:type="dxa"/>
            <w:left w:w="108" w:type="dxa"/>
            <w:bottom w:w="0" w:type="dxa"/>
            <w:right w:w="108" w:type="dxa"/>
          </w:tblCellMar>
        </w:tblPrEx>
        <w:trPr>
          <w:trHeight w:val="23"/>
          <w:jc w:val="center"/>
        </w:trPr>
        <w:tc>
          <w:tcPr>
            <w:tcW w:w="219"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05"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13"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096" w:type="pct"/>
            <w:vAlign w:val="center"/>
          </w:tcPr>
          <w:p>
            <w:pPr>
              <w:pStyle w:val="Normal0"/>
              <w:spacing w:before="0" w:after="0"/>
              <w:jc w:val="center"/>
              <w:rPr>
                <w:rFonts w:ascii="Times New Roman" w:eastAsia="宋体" w:hAnsi="Times New Roman" w:cs="宋体" w:hint="eastAsia"/>
                <w:b/>
                <w:bCs/>
                <w:sz w:val="20"/>
                <w:szCs w:val="20"/>
                <w:shd w:val="clear" w:color="auto" w:fill="auto"/>
                <w:vertAlign w:val="baseline"/>
                <w:lang w:val="en-US"/>
              </w:rPr>
            </w:pPr>
            <w:r>
              <w:rPr>
                <w:rFonts w:ascii="Times New Roman" w:eastAsia="宋体" w:hAnsi="Times New Roman" w:cs="宋体" w:hint="eastAsia"/>
                <w:b/>
                <w:bCs/>
                <w:sz w:val="20"/>
                <w:szCs w:val="20"/>
                <w:shd w:val="clear" w:color="auto" w:fill="auto"/>
                <w:vertAlign w:val="baseline"/>
                <w:lang w:val="en-US"/>
              </w:rPr>
              <w:t>合计</w:t>
            </w:r>
          </w:p>
        </w:tc>
        <w:tc>
          <w:tcPr>
            <w:tcW w:w="755"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r>
              <w:rPr>
                <w:rFonts w:ascii="Times New Roman" w:eastAsia="宋体" w:hAnsi="Times New Roman"/>
                <w:b w:val="0"/>
                <w:sz w:val="16"/>
              </w:rPr>
              <w:t>10,258.44</w:t>
            </w:r>
          </w:p>
        </w:tc>
        <w:tc>
          <w:tcPr>
            <w:tcW w:w="754"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r>
              <w:rPr>
                <w:rFonts w:ascii="Times New Roman" w:eastAsia="宋体" w:hAnsi="Times New Roman"/>
                <w:b w:val="0"/>
                <w:sz w:val="16"/>
              </w:rPr>
              <w:t>2,777.96</w:t>
            </w:r>
          </w:p>
        </w:tc>
        <w:tc>
          <w:tcPr>
            <w:tcW w:w="756"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r>
              <w:rPr>
                <w:rFonts w:ascii="Times New Roman" w:eastAsia="宋体" w:hAnsi="Times New Roman"/>
                <w:b w:val="0"/>
                <w:sz w:val="16"/>
              </w:rPr>
              <w:t>7,480.48</w:t>
            </w:r>
          </w:p>
        </w:tc>
      </w:tr>
      <w:tr>
        <w:tblPrEx>
          <w:tblW w:w="5000" w:type="pct"/>
          <w:jc w:val="center"/>
          <w:tblInd w:w="0" w:type="dxa"/>
          <w:tblCellMar>
            <w:top w:w="0" w:type="dxa"/>
            <w:left w:w="108" w:type="dxa"/>
            <w:bottom w:w="0" w:type="dxa"/>
            <w:right w:w="108" w:type="dxa"/>
          </w:tblCellMar>
        </w:tblPrEx>
        <w:trPr>
          <w:trHeight w:val="23"/>
          <w:jc w:val="center"/>
        </w:trPr>
        <w:tc>
          <w:tcPr>
            <w:tcW w:w="637" w:type="pct"/>
            <w:gridSpan w:val="3"/>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201</w:t>
            </w:r>
          </w:p>
        </w:tc>
        <w:tc>
          <w:tcPr>
            <w:tcW w:w="2096" w:type="pct"/>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b/>
                <w:sz w:val="16"/>
              </w:rPr>
              <w:t>一般公共服务支出</w:t>
            </w:r>
          </w:p>
        </w:tc>
        <w:tc>
          <w:tcPr>
            <w:tcW w:w="755"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26.17</w:t>
            </w:r>
          </w:p>
        </w:tc>
        <w:tc>
          <w:tcPr>
            <w:tcW w:w="754"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23.73</w:t>
            </w:r>
          </w:p>
        </w:tc>
        <w:tc>
          <w:tcPr>
            <w:tcW w:w="756"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2.44</w:t>
            </w:r>
          </w:p>
        </w:tc>
      </w:tr>
      <w:tr>
        <w:tblPrEx>
          <w:tblW w:w="5000" w:type="pct"/>
          <w:jc w:val="center"/>
          <w:tblInd w:w="0" w:type="dxa"/>
          <w:tblCellMar>
            <w:top w:w="0" w:type="dxa"/>
            <w:left w:w="108" w:type="dxa"/>
            <w:bottom w:w="0" w:type="dxa"/>
            <w:right w:w="108" w:type="dxa"/>
          </w:tblCellMar>
        </w:tblPrEx>
        <w:trPr>
          <w:trHeight w:val="23"/>
          <w:jc w:val="center"/>
        </w:trPr>
        <w:tc>
          <w:tcPr>
            <w:tcW w:w="637" w:type="pct"/>
            <w:gridSpan w:val="3"/>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20105</w:t>
            </w:r>
          </w:p>
        </w:tc>
        <w:tc>
          <w:tcPr>
            <w:tcW w:w="2096" w:type="pct"/>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b w:val="0"/>
                <w:sz w:val="16"/>
              </w:rPr>
              <w:t>统计信息事务</w:t>
            </w:r>
          </w:p>
        </w:tc>
        <w:tc>
          <w:tcPr>
            <w:tcW w:w="755"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1.29</w:t>
            </w:r>
          </w:p>
        </w:tc>
        <w:tc>
          <w:tcPr>
            <w:tcW w:w="754"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756"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1.29</w:t>
            </w:r>
          </w:p>
        </w:tc>
      </w:tr>
      <w:tr>
        <w:tblPrEx>
          <w:tblW w:w="5000" w:type="pct"/>
          <w:jc w:val="center"/>
          <w:tblInd w:w="0" w:type="dxa"/>
          <w:tblCellMar>
            <w:top w:w="0" w:type="dxa"/>
            <w:left w:w="108" w:type="dxa"/>
            <w:bottom w:w="0" w:type="dxa"/>
            <w:right w:w="108" w:type="dxa"/>
          </w:tblCellMar>
        </w:tblPrEx>
        <w:trPr>
          <w:trHeight w:val="23"/>
          <w:jc w:val="center"/>
        </w:trPr>
        <w:tc>
          <w:tcPr>
            <w:tcW w:w="637" w:type="pct"/>
            <w:gridSpan w:val="3"/>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2010507</w:t>
            </w:r>
          </w:p>
        </w:tc>
        <w:tc>
          <w:tcPr>
            <w:tcW w:w="2096" w:type="pct"/>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b w:val="0"/>
                <w:sz w:val="16"/>
              </w:rPr>
              <w:t>专项普查活动</w:t>
            </w:r>
          </w:p>
        </w:tc>
        <w:tc>
          <w:tcPr>
            <w:tcW w:w="755"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1.29</w:t>
            </w:r>
          </w:p>
        </w:tc>
        <w:tc>
          <w:tcPr>
            <w:tcW w:w="754"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756"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1.29</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20123</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民族事务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2012304</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民族工作专项</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0.24</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群众团体事务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24.64</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23.73</w:t>
            </w: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0.91</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2012902</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一般行政管理事务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0.17</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0.17</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2012906</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工会事务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0.74</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0.74</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2012999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其他群众团体事务支出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23.73</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23.73</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204</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sz w:val="16"/>
              </w:rPr>
              <w:t>公共安全支出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2.26</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2.26</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20499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其他公共安全支出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2049999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其他公共安全支出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2.26</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208</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sz w:val="16"/>
              </w:rPr>
              <w:t>社会保障和就业支出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175.04</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141.03</w:t>
            </w: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34.02</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20802</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民政管理事务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2080299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其他民政管理事务支出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17.80</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行政事业单位养老支出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135.46</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135.46</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2080501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行政单位离退休</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20.65</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20.65</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2080505</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机关事业单位基本养老保险缴费支出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77.96</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77.96</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2080506</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机关事业单位职业年金缴费支出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36.86</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36.86</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20808</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抚恤</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12.24</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12.24</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2080805</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义务兵优待</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2.88</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2.88</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2080899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其他优抚支出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9.36</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9.36</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20811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残疾人事业</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2081105</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残疾人就业</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0.90</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20828</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退役军人管理事务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3.08</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3.08</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2082804</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拥军优属</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1.08</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1.08</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2082899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其他退役军人事务管理支出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2.00</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2.00</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其他社会保障和就业支出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2089999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其他社会保障和就业支出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5.56</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210</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sz w:val="16"/>
              </w:rPr>
              <w:t>卫生健康支出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43.27</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38.94</w:t>
            </w: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4.32</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21004</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公共卫生</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2100408</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基本公共卫生服务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1.43</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行政事业单位医疗</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2101101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行政单位医疗</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38.94</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21016</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老龄卫生健康事务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2101601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老龄卫生健康事务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2.89</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212</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sz w:val="16"/>
              </w:rPr>
              <w:t>城乡社区支出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3,724.12</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2,423.59</w:t>
            </w: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1,300.53</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城乡社区管理事务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3,458.54</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2,423.59</w:t>
            </w: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1,034.95</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2120101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行政运行</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2,630.05</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2,423.59</w:t>
            </w: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206.46</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2120102</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一般行政管理事务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14.61</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14.61</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2120199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其他城乡社区管理事务支出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813.88</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813.88</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21205</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城乡社区环境卫生</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2120501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城乡社区环境卫生</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59.32</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其他城乡社区支出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2129999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其他城乡社区支出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206.26</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213</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sz w:val="16"/>
              </w:rPr>
              <w:t>农林水支出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60.70</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60.70</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农业农村</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2130110</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执法监管</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28.54</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21303</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水利</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2130399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其他水利支出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16.81</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21307</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农村综合改革</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2130705</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对村民委员会和村党支部的补助</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15.35</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215</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sz w:val="16"/>
              </w:rPr>
              <w:t>资源勘探工业信息等支出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250.00</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250.00</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21599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其他资源勘探工业信息等支出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2159999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其他资源勘探工业信息等支出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250.00</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216</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sz w:val="16"/>
              </w:rPr>
              <w:t>商业服务业等支出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5,702.64</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5,702.64</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21699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其他商业服务业等支出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2169999</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其他商业服务业等支出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5,702.64</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221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sz w:val="16"/>
              </w:rPr>
              <w:t>住房保障支出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264.83</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150.66</w:t>
            </w: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114.17</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保障性安居工程支出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2210108</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老旧小区改造</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114.17</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22102</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住房改革支出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2210201</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住房公积金</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611"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150.66</w:t>
            </w:r>
          </w:p>
        </w:tc>
        <w:tc>
          <w:tcPr>
            <w:tcW w:w="1617" w:type="dxa"/>
            <w:tcMar>
              <w:left w:w="20" w:type="dxa"/>
              <w:right w:w="20" w:type="dxa"/>
            </w:tcMar>
            <w:vAlign w:val="center"/>
          </w:tcPr>
          <w:p>
            <w:pPr>
              <w:pStyle w:val="Normal0"/>
              <w:spacing w:before="0" w:after="0" w:line="240" w:lineRule="auto"/>
              <w:jc w:val="right"/>
            </w:pP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sz w:val="16"/>
              </w:rPr>
              <w:t>224</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sz w:val="16"/>
              </w:rPr>
              <w:t>灾害防治及应急管理支出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9.41</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sz w:val="16"/>
              </w:rPr>
              <w:t>9.41</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22407</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自然灾害救灾及恢复重建支出</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r>
      <w:tr>
        <w:tblPrEx>
          <w:tblW w:w="5000" w:type="pct"/>
          <w:jc w:val="center"/>
          <w:tblInd w:w="0" w:type="dxa"/>
          <w:tblCellMar>
            <w:top w:w="0" w:type="dxa"/>
            <w:left w:w="108" w:type="dxa"/>
            <w:bottom w:w="0" w:type="dxa"/>
            <w:right w:w="108" w:type="dxa"/>
          </w:tblCellMar>
        </w:tblPrEx>
        <w:trPr>
          <w:trHeight w:val="4"/>
          <w:jc w:val="center"/>
        </w:trPr>
        <w:tc>
          <w:tcPr>
            <w:tcW w:w="1361" w:type="dxa"/>
            <w:gridSpan w:val="3"/>
            <w:tcMar>
              <w:left w:w="20" w:type="dxa"/>
              <w:right w:w="20" w:type="dxa"/>
            </w:tcMar>
            <w:vAlign w:val="center"/>
          </w:tcPr>
          <w:p>
            <w:pPr>
              <w:pStyle w:val="Normal0"/>
              <w:spacing w:before="0" w:after="0" w:line="240" w:lineRule="auto"/>
            </w:pPr>
            <w:r>
              <w:rPr>
                <w:rFonts w:ascii="Times New Roman" w:eastAsia="宋体" w:hAnsi="Times New Roman"/>
                <w:b w:val="0"/>
                <w:sz w:val="16"/>
              </w:rPr>
              <w:t>2240703</w:t>
            </w:r>
          </w:p>
        </w:tc>
        <w:tc>
          <w:tcPr>
            <w:tcW w:w="4478" w:type="dxa"/>
            <w:tcMar>
              <w:left w:w="20" w:type="dxa"/>
              <w:right w:w="20" w:type="dxa"/>
            </w:tcMar>
            <w:vAlign w:val="center"/>
          </w:tcPr>
          <w:p>
            <w:pPr>
              <w:pStyle w:val="Normal0"/>
              <w:spacing w:before="0" w:after="0" w:line="240" w:lineRule="auto"/>
            </w:pPr>
            <w:r>
              <w:rPr>
                <w:rFonts w:ascii="Times New Roman" w:eastAsia="宋体" w:hAnsi="Times New Roman"/>
                <w:b w:val="0"/>
                <w:sz w:val="16"/>
              </w:rPr>
              <w:t>自然灾害救灾补助</w:t>
            </w:r>
          </w:p>
        </w:tc>
        <w:tc>
          <w:tcPr>
            <w:tcW w:w="1615"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c>
          <w:tcPr>
            <w:tcW w:w="1611" w:type="dxa"/>
            <w:tcMar>
              <w:left w:w="20" w:type="dxa"/>
              <w:right w:w="20" w:type="dxa"/>
            </w:tcMar>
            <w:vAlign w:val="center"/>
          </w:tcPr>
          <w:p>
            <w:pPr>
              <w:pStyle w:val="Normal0"/>
              <w:spacing w:before="0" w:after="0" w:line="240" w:lineRule="auto"/>
              <w:jc w:val="right"/>
            </w:pPr>
          </w:p>
        </w:tc>
        <w:tc>
          <w:tcPr>
            <w:tcW w:w="1617" w:type="dxa"/>
            <w:tcMar>
              <w:left w:w="20" w:type="dxa"/>
              <w:right w:w="20" w:type="dxa"/>
            </w:tcMar>
            <w:vAlign w:val="center"/>
          </w:tcPr>
          <w:p>
            <w:pPr>
              <w:pStyle w:val="Normal0"/>
              <w:spacing w:before="0" w:after="0" w:line="240" w:lineRule="auto"/>
              <w:jc w:val="right"/>
            </w:pPr>
            <w:r>
              <w:rPr>
                <w:rFonts w:ascii="Times New Roman" w:eastAsia="宋体" w:hAnsi="Times New Roman"/>
                <w:b w:val="0"/>
                <w:sz w:val="16"/>
              </w:rPr>
              <w:t>9.41</w:t>
            </w:r>
          </w:p>
        </w:tc>
      </w:tr>
    </w:tbl>
    <w:p>
      <w:pPr>
        <w:pStyle w:val="Normal0"/>
        <w:rPr>
          <w:rFonts w:ascii="Times New Roman" w:eastAsia="宋体" w:hAnsi="Times New Roman" w:cs="宋体" w:hint="eastAsia"/>
          <w:sz w:val="20"/>
          <w:szCs w:val="20"/>
          <w:shd w:val="clear" w:color="auto" w:fill="auto"/>
        </w:rPr>
        <w:sectPr>
          <w:pgSz w:w="11906" w:h="16838"/>
          <w:pgMar w:top="720" w:right="720" w:bottom="720" w:left="720" w:header="851" w:footer="992" w:gutter="0"/>
          <w:cols w:num="1" w:space="425"/>
          <w:docGrid w:type="lines" w:linePitch="312" w:charSpace="0"/>
        </w:sectPr>
      </w:pPr>
      <w:r>
        <w:rPr>
          <w:rFonts w:ascii="Times New Roman" w:eastAsia="宋体" w:hAnsi="Times New Roman" w:cs="宋体" w:hint="eastAsia"/>
          <w:sz w:val="20"/>
          <w:szCs w:val="20"/>
          <w:shd w:val="clear" w:color="auto" w:fill="auto"/>
        </w:rPr>
        <w:t>注：本表反映部门本年度一般公共预算财政拨款支出情况。</w:t>
      </w:r>
    </w:p>
    <w:tbl>
      <w:tblPr>
        <w:tblStyle w:val="TableNormal"/>
        <w:tblW w:w="5000" w:type="pct"/>
        <w:jc w:val="center"/>
        <w:tblInd w:w="0" w:type="dxa"/>
        <w:tblCellMar>
          <w:top w:w="0" w:type="dxa"/>
          <w:left w:w="0" w:type="dxa"/>
          <w:bottom w:w="0" w:type="dxa"/>
          <w:right w:w="0" w:type="dxa"/>
        </w:tblCellMar>
      </w:tblPr>
      <w:tblGrid>
        <w:gridCol w:w="572"/>
        <w:gridCol w:w="2160"/>
        <w:gridCol w:w="1111"/>
        <w:gridCol w:w="569"/>
        <w:gridCol w:w="1716"/>
        <w:gridCol w:w="1064"/>
        <w:gridCol w:w="640"/>
        <w:gridCol w:w="2420"/>
        <w:gridCol w:w="1112"/>
      </w:tblGrid>
      <w:tr>
        <w:tblPrEx>
          <w:tblW w:w="5000" w:type="pct"/>
          <w:jc w:val="center"/>
          <w:tblInd w:w="0" w:type="dxa"/>
          <w:tblCellMar>
            <w:top w:w="0" w:type="dxa"/>
            <w:left w:w="0" w:type="dxa"/>
            <w:bottom w:w="0" w:type="dxa"/>
            <w:right w:w="0" w:type="dxa"/>
          </w:tblCellMar>
        </w:tblPrEx>
        <w:trPr>
          <w:trHeight w:val="0"/>
          <w:jc w:val="center"/>
        </w:trPr>
        <w:tc>
          <w:tcPr>
            <w:tcW w:w="11364" w:type="dxa"/>
            <w:gridSpan w:val="9"/>
            <w:tcBorders>
              <w:top w:val="nil"/>
              <w:left w:val="nil"/>
              <w:bottom w:val="nil"/>
              <w:right w:val="nil"/>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bottom"/>
              <w:rPr>
                <w:rFonts w:ascii="Times New Roman" w:eastAsia="宋体" w:hAnsi="Times New Roman" w:cs="宋体" w:hint="default"/>
                <w:i w:val="0"/>
                <w:color w:val="000000"/>
                <w:sz w:val="16"/>
                <w:szCs w:val="16"/>
                <w:u w:val="none"/>
                <w:shd w:val="clear" w:color="auto" w:fill="auto"/>
                <w:lang w:val="en-US"/>
              </w:rPr>
            </w:pPr>
            <w:r>
              <w:rPr>
                <w:rFonts w:ascii="Times New Roman" w:eastAsia="黑体" w:hAnsi="Times New Roman" w:cs="黑体" w:hint="eastAsia"/>
                <w:i w:val="0"/>
                <w:color w:val="000000"/>
                <w:sz w:val="32"/>
                <w:szCs w:val="32"/>
                <w:u w:val="none"/>
                <w:shd w:val="clear" w:color="auto" w:fill="auto"/>
                <w:lang w:val="en-US"/>
              </w:rPr>
              <w:t>一般公共预算财政拨款基本支出决算</w:t>
            </w:r>
            <w:r>
              <w:rPr>
                <w:rFonts w:ascii="Times New Roman" w:eastAsia="黑体" w:hAnsi="Times New Roman" w:cs="黑体" w:hint="eastAsia"/>
                <w:i w:val="0"/>
                <w:color w:val="000000"/>
                <w:sz w:val="32"/>
                <w:szCs w:val="32"/>
                <w:u w:val="none"/>
                <w:shd w:val="clear" w:color="auto" w:fill="auto"/>
                <w:lang w:val="en-US" w:eastAsia="zh-CN"/>
              </w:rPr>
              <w:t>明细</w:t>
            </w:r>
            <w:r>
              <w:rPr>
                <w:rFonts w:ascii="Times New Roman" w:eastAsia="黑体" w:hAnsi="Times New Roman" w:cs="黑体" w:hint="eastAsia"/>
                <w:i w:val="0"/>
                <w:color w:val="000000"/>
                <w:sz w:val="32"/>
                <w:szCs w:val="32"/>
                <w:u w:val="none"/>
                <w:shd w:val="clear" w:color="auto" w:fill="auto"/>
                <w:lang w:val="en-US"/>
              </w:rPr>
              <w:t>表</w:t>
            </w:r>
          </w:p>
        </w:tc>
      </w:tr>
      <w:tr>
        <w:tblPrEx>
          <w:tblW w:w="5000" w:type="pct"/>
          <w:jc w:val="center"/>
          <w:tblInd w:w="0" w:type="dxa"/>
          <w:tblCellMar>
            <w:top w:w="0" w:type="dxa"/>
            <w:left w:w="0" w:type="dxa"/>
            <w:bottom w:w="0" w:type="dxa"/>
            <w:right w:w="0" w:type="dxa"/>
          </w:tblCellMar>
        </w:tblPrEx>
        <w:trPr>
          <w:trHeight w:val="0"/>
          <w:jc w:val="center"/>
        </w:trPr>
        <w:tc>
          <w:tcPr>
            <w:tcW w:w="572" w:type="dxa"/>
            <w:tcBorders>
              <w:top w:val="nil"/>
              <w:left w:val="nil"/>
              <w:bottom w:val="nil"/>
              <w:right w:val="nil"/>
            </w:tcBorders>
            <w:noWrap w:val="0"/>
            <w:tcMar>
              <w:top w:w="12" w:type="dxa"/>
              <w:left w:w="12" w:type="dxa"/>
              <w:right w:w="12" w:type="dxa"/>
            </w:tcMar>
            <w:vAlign w:val="bottom"/>
          </w:tcPr>
          <w:p>
            <w:pPr>
              <w:pStyle w:val="Normal0"/>
              <w:spacing w:before="0" w:after="0"/>
              <w:rPr>
                <w:rFonts w:ascii="Times New Roman" w:hAnsi="Times New Roman" w:cs="Arial" w:hint="eastAsia"/>
                <w:i w:val="0"/>
                <w:color w:val="000000"/>
                <w:sz w:val="20"/>
                <w:szCs w:val="20"/>
                <w:u w:val="none"/>
                <w:shd w:val="clear" w:color="auto" w:fill="auto"/>
              </w:rPr>
            </w:pPr>
          </w:p>
        </w:tc>
        <w:tc>
          <w:tcPr>
            <w:tcW w:w="2160" w:type="dxa"/>
            <w:tcBorders>
              <w:top w:val="nil"/>
              <w:left w:val="nil"/>
              <w:bottom w:val="nil"/>
              <w:right w:val="nil"/>
            </w:tcBorders>
            <w:noWrap w:val="0"/>
            <w:tcMar>
              <w:top w:w="12" w:type="dxa"/>
              <w:left w:w="12" w:type="dxa"/>
              <w:right w:w="12" w:type="dxa"/>
            </w:tcMar>
            <w:vAlign w:val="bottom"/>
          </w:tcPr>
          <w:p>
            <w:pPr>
              <w:pStyle w:val="Normal0"/>
              <w:spacing w:before="0" w:after="0"/>
              <w:rPr>
                <w:rFonts w:ascii="Times New Roman" w:hAnsi="Times New Roman" w:cs="Arial" w:hint="default"/>
                <w:i w:val="0"/>
                <w:color w:val="000000"/>
                <w:sz w:val="20"/>
                <w:szCs w:val="20"/>
                <w:u w:val="none"/>
                <w:shd w:val="clear" w:color="auto" w:fill="auto"/>
              </w:rPr>
            </w:pPr>
          </w:p>
        </w:tc>
        <w:tc>
          <w:tcPr>
            <w:tcW w:w="1111" w:type="dxa"/>
            <w:tcBorders>
              <w:top w:val="nil"/>
              <w:left w:val="nil"/>
              <w:bottom w:val="nil"/>
              <w:right w:val="nil"/>
            </w:tcBorders>
            <w:noWrap w:val="0"/>
            <w:tcMar>
              <w:top w:w="12" w:type="dxa"/>
              <w:left w:w="12" w:type="dxa"/>
              <w:right w:w="12" w:type="dxa"/>
            </w:tcMar>
            <w:vAlign w:val="bottom"/>
          </w:tcPr>
          <w:p>
            <w:pPr>
              <w:pStyle w:val="Normal0"/>
              <w:spacing w:before="0" w:after="0"/>
              <w:rPr>
                <w:rFonts w:ascii="Times New Roman" w:hAnsi="Times New Roman" w:cs="Arial" w:hint="default"/>
                <w:i w:val="0"/>
                <w:color w:val="000000"/>
                <w:sz w:val="20"/>
                <w:szCs w:val="20"/>
                <w:u w:val="none"/>
                <w:shd w:val="clear" w:color="auto" w:fill="auto"/>
              </w:rPr>
            </w:pPr>
          </w:p>
        </w:tc>
        <w:tc>
          <w:tcPr>
            <w:tcW w:w="569" w:type="dxa"/>
            <w:tcBorders>
              <w:top w:val="nil"/>
              <w:left w:val="nil"/>
              <w:bottom w:val="nil"/>
              <w:right w:val="nil"/>
            </w:tcBorders>
            <w:noWrap w:val="0"/>
            <w:tcMar>
              <w:top w:w="12" w:type="dxa"/>
              <w:left w:w="12" w:type="dxa"/>
              <w:right w:w="12" w:type="dxa"/>
            </w:tcMar>
            <w:vAlign w:val="bottom"/>
          </w:tcPr>
          <w:p>
            <w:pPr>
              <w:pStyle w:val="Normal0"/>
              <w:spacing w:before="0" w:after="0"/>
              <w:rPr>
                <w:rFonts w:ascii="Times New Roman" w:hAnsi="Times New Roman" w:cs="Arial" w:hint="default"/>
                <w:i w:val="0"/>
                <w:color w:val="000000"/>
                <w:sz w:val="20"/>
                <w:szCs w:val="20"/>
                <w:u w:val="none"/>
                <w:shd w:val="clear" w:color="auto" w:fill="auto"/>
              </w:rPr>
            </w:pPr>
          </w:p>
        </w:tc>
        <w:tc>
          <w:tcPr>
            <w:tcW w:w="1716" w:type="dxa"/>
            <w:tcBorders>
              <w:top w:val="nil"/>
              <w:left w:val="nil"/>
              <w:bottom w:val="nil"/>
              <w:right w:val="nil"/>
            </w:tcBorders>
            <w:noWrap w:val="0"/>
            <w:tcMar>
              <w:top w:w="12" w:type="dxa"/>
              <w:left w:w="12" w:type="dxa"/>
              <w:right w:w="12" w:type="dxa"/>
            </w:tcMar>
            <w:vAlign w:val="bottom"/>
          </w:tcPr>
          <w:p>
            <w:pPr>
              <w:pStyle w:val="Normal0"/>
              <w:spacing w:before="0" w:after="0"/>
              <w:rPr>
                <w:rFonts w:ascii="Times New Roman" w:hAnsi="Times New Roman" w:cs="Arial" w:hint="default"/>
                <w:i w:val="0"/>
                <w:color w:val="000000"/>
                <w:sz w:val="20"/>
                <w:szCs w:val="20"/>
                <w:u w:val="none"/>
                <w:shd w:val="clear" w:color="auto" w:fill="auto"/>
              </w:rPr>
            </w:pPr>
          </w:p>
        </w:tc>
        <w:tc>
          <w:tcPr>
            <w:tcW w:w="1064" w:type="dxa"/>
            <w:tcBorders>
              <w:top w:val="nil"/>
              <w:left w:val="nil"/>
              <w:bottom w:val="nil"/>
              <w:right w:val="nil"/>
            </w:tcBorders>
            <w:noWrap w:val="0"/>
            <w:tcMar>
              <w:top w:w="12" w:type="dxa"/>
              <w:left w:w="12" w:type="dxa"/>
              <w:right w:w="12" w:type="dxa"/>
            </w:tcMar>
            <w:vAlign w:val="bottom"/>
          </w:tcPr>
          <w:p>
            <w:pPr>
              <w:pStyle w:val="Normal0"/>
              <w:spacing w:before="0" w:after="0"/>
              <w:rPr>
                <w:rFonts w:ascii="Times New Roman" w:hAnsi="Times New Roman" w:cs="Arial" w:hint="default"/>
                <w:i w:val="0"/>
                <w:color w:val="000000"/>
                <w:sz w:val="20"/>
                <w:szCs w:val="20"/>
                <w:u w:val="none"/>
                <w:shd w:val="clear" w:color="auto" w:fill="auto"/>
              </w:rPr>
            </w:pPr>
          </w:p>
        </w:tc>
        <w:tc>
          <w:tcPr>
            <w:tcW w:w="640" w:type="dxa"/>
            <w:tcBorders>
              <w:top w:val="nil"/>
              <w:left w:val="nil"/>
              <w:bottom w:val="nil"/>
              <w:right w:val="nil"/>
            </w:tcBorders>
            <w:noWrap w:val="0"/>
            <w:tcMar>
              <w:top w:w="12" w:type="dxa"/>
              <w:left w:w="12" w:type="dxa"/>
              <w:right w:w="12" w:type="dxa"/>
            </w:tcMar>
            <w:vAlign w:val="bottom"/>
          </w:tcPr>
          <w:p>
            <w:pPr>
              <w:pStyle w:val="Normal0"/>
              <w:spacing w:before="0" w:after="0"/>
              <w:rPr>
                <w:rFonts w:ascii="Times New Roman" w:hAnsi="Times New Roman" w:cs="Arial" w:hint="default"/>
                <w:i w:val="0"/>
                <w:color w:val="000000"/>
                <w:sz w:val="20"/>
                <w:szCs w:val="20"/>
                <w:u w:val="none"/>
                <w:shd w:val="clear" w:color="auto" w:fill="auto"/>
              </w:rPr>
            </w:pPr>
          </w:p>
        </w:tc>
        <w:tc>
          <w:tcPr>
            <w:tcW w:w="2420" w:type="dxa"/>
            <w:tcBorders>
              <w:top w:val="nil"/>
              <w:left w:val="nil"/>
              <w:bottom w:val="nil"/>
              <w:right w:val="nil"/>
            </w:tcBorders>
            <w:noWrap w:val="0"/>
            <w:tcMar>
              <w:top w:w="12" w:type="dxa"/>
              <w:left w:w="12" w:type="dxa"/>
              <w:right w:w="12" w:type="dxa"/>
            </w:tcMar>
            <w:vAlign w:val="bottom"/>
          </w:tcPr>
          <w:p>
            <w:pPr>
              <w:pStyle w:val="Normal0"/>
              <w:spacing w:before="0" w:after="0"/>
              <w:rPr>
                <w:rFonts w:ascii="Times New Roman" w:hAnsi="Times New Roman" w:cs="Arial" w:hint="default"/>
                <w:i w:val="0"/>
                <w:color w:val="000000"/>
                <w:sz w:val="20"/>
                <w:szCs w:val="20"/>
                <w:u w:val="none"/>
                <w:shd w:val="clear" w:color="auto" w:fill="auto"/>
              </w:rPr>
            </w:pPr>
          </w:p>
        </w:tc>
        <w:tc>
          <w:tcPr>
            <w:tcW w:w="1112" w:type="dxa"/>
            <w:tcBorders>
              <w:top w:val="nil"/>
              <w:left w:val="nil"/>
              <w:bottom w:val="nil"/>
              <w:right w:val="nil"/>
            </w:tcBorders>
            <w:noWrap w:val="0"/>
            <w:tcMar>
              <w:top w:w="12" w:type="dxa"/>
              <w:left w:w="12" w:type="dxa"/>
              <w:right w:w="12" w:type="dxa"/>
            </w:tcMar>
            <w:vAlign w:val="bottom"/>
          </w:tcPr>
          <w:p>
            <w:pPr>
              <w:pStyle w:val="Normal0"/>
              <w:keepNext w:val="0"/>
              <w:keepLines w:val="0"/>
              <w:widowControl/>
              <w:suppressLineNumbers w:val="0"/>
              <w:spacing w:before="0" w:after="0"/>
              <w:jc w:val="right"/>
              <w:textAlignment w:val="bottom"/>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公开06表</w:t>
            </w:r>
          </w:p>
        </w:tc>
      </w:tr>
      <w:tr>
        <w:tblPrEx>
          <w:tblW w:w="5000" w:type="pct"/>
          <w:jc w:val="center"/>
          <w:tblInd w:w="0" w:type="dxa"/>
          <w:tblCellMar>
            <w:top w:w="0" w:type="dxa"/>
            <w:left w:w="0" w:type="dxa"/>
            <w:bottom w:w="0" w:type="dxa"/>
            <w:right w:w="0" w:type="dxa"/>
          </w:tblCellMar>
        </w:tblPrEx>
        <w:trPr>
          <w:trHeight w:val="0"/>
          <w:jc w:val="center"/>
        </w:trPr>
        <w:tc>
          <w:tcPr>
            <w:tcW w:w="7832" w:type="dxa"/>
            <w:gridSpan w:val="7"/>
            <w:tcBorders>
              <w:top w:val="nil"/>
              <w:left w:val="nil"/>
              <w:bottom w:val="nil"/>
              <w:right w:val="nil"/>
            </w:tcBorders>
            <w:noWrap w:val="0"/>
            <w:tcMar>
              <w:top w:w="12" w:type="dxa"/>
              <w:left w:w="12" w:type="dxa"/>
              <w:right w:w="12" w:type="dxa"/>
            </w:tcMar>
            <w:vAlign w:val="bottom"/>
          </w:tcPr>
          <w:p>
            <w:pPr>
              <w:pStyle w:val="Normal0"/>
              <w:spacing w:before="0" w:after="0"/>
              <w:rPr>
                <w:rFonts w:ascii="Times New Roman" w:hAnsi="Times New Roman" w:cs="Arial" w:hint="default"/>
                <w:i w:val="0"/>
                <w:color w:val="000000"/>
                <w:sz w:val="18"/>
                <w:szCs w:val="18"/>
                <w:u w:val="none"/>
                <w:shd w:val="clear" w:color="auto" w:fill="auto"/>
              </w:rPr>
            </w:pPr>
            <w:r>
              <w:rPr>
                <w:rFonts w:ascii="Times New Roman" w:eastAsia="宋体" w:hAnsi="Times New Roman" w:cs="宋体" w:hint="eastAsia"/>
                <w:sz w:val="18"/>
                <w:szCs w:val="18"/>
                <w:shd w:val="clear" w:color="auto" w:fill="auto"/>
                <w:vertAlign w:val="baseline"/>
              </w:rPr>
              <w:t>部门：铜陵市铜官区新城办事处</w:t>
            </w:r>
          </w:p>
        </w:tc>
        <w:tc>
          <w:tcPr>
            <w:tcW w:w="3532" w:type="dxa"/>
            <w:gridSpan w:val="2"/>
            <w:tcBorders>
              <w:top w:val="nil"/>
              <w:left w:val="nil"/>
              <w:bottom w:val="nil"/>
              <w:right w:val="nil"/>
            </w:tcBorders>
            <w:noWrap w:val="0"/>
            <w:tcMar>
              <w:top w:w="12" w:type="dxa"/>
              <w:left w:w="12" w:type="dxa"/>
              <w:right w:w="12" w:type="dxa"/>
            </w:tcMar>
            <w:vAlign w:val="bottom"/>
          </w:tcPr>
          <w:p>
            <w:pPr>
              <w:pStyle w:val="Normal0"/>
              <w:keepNext w:val="0"/>
              <w:keepLines w:val="0"/>
              <w:widowControl/>
              <w:suppressLineNumbers w:val="0"/>
              <w:spacing w:before="0" w:after="0"/>
              <w:jc w:val="right"/>
              <w:textAlignment w:val="bottom"/>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eastAsia="zh-CN" w:bidi="ar"/>
              </w:rPr>
              <w:t>金额单位：万元</w:t>
            </w:r>
          </w:p>
        </w:tc>
      </w:tr>
      <w:tr>
        <w:tblPrEx>
          <w:tblW w:w="5000" w:type="pct"/>
          <w:jc w:val="center"/>
          <w:tblInd w:w="0" w:type="dxa"/>
          <w:tblCellMar>
            <w:top w:w="0" w:type="dxa"/>
            <w:left w:w="0" w:type="dxa"/>
            <w:bottom w:w="0" w:type="dxa"/>
            <w:right w:w="0" w:type="dxa"/>
          </w:tblCellMar>
        </w:tblPrEx>
        <w:trPr>
          <w:trHeight w:val="0"/>
          <w:jc w:val="center"/>
        </w:trPr>
        <w:tc>
          <w:tcPr>
            <w:tcW w:w="3843" w:type="dxa"/>
            <w:gridSpan w:val="3"/>
            <w:tcBorders>
              <w:top w:val="single" w:sz="4" w:space="0" w:color="000000"/>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eastAsia="zh-CN" w:bidi="ar"/>
              </w:rPr>
              <w:t>人员经费</w:t>
            </w:r>
          </w:p>
        </w:tc>
        <w:tc>
          <w:tcPr>
            <w:tcW w:w="7521" w:type="dxa"/>
            <w:gridSpan w:val="6"/>
            <w:tcBorders>
              <w:top w:val="single" w:sz="4" w:space="0" w:color="000000"/>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eastAsia="zh-CN" w:bidi="ar"/>
              </w:rPr>
              <w:t>公用经费</w:t>
            </w:r>
          </w:p>
        </w:tc>
      </w:tr>
      <w:tr>
        <w:tblPrEx>
          <w:tblW w:w="5000" w:type="pct"/>
          <w:jc w:val="center"/>
          <w:tblInd w:w="0" w:type="dxa"/>
          <w:tblCellMar>
            <w:top w:w="0" w:type="dxa"/>
            <w:left w:w="0" w:type="dxa"/>
            <w:bottom w:w="0" w:type="dxa"/>
            <w:right w:w="0" w:type="dxa"/>
          </w:tblCellMar>
        </w:tblPrEx>
        <w:trPr>
          <w:trHeight w:val="740"/>
          <w:jc w:val="center"/>
        </w:trPr>
        <w:tc>
          <w:tcPr>
            <w:tcW w:w="572" w:type="dxa"/>
            <w:vMerge w:val="restart"/>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kern w:val="0"/>
                <w:sz w:val="18"/>
                <w:szCs w:val="18"/>
                <w:u w:val="none"/>
                <w:shd w:val="clear" w:color="auto" w:fill="auto"/>
                <w:lang w:val="en-US" w:eastAsia="zh-CN" w:bidi="ar"/>
              </w:rPr>
            </w:pPr>
            <w:r>
              <w:rPr>
                <w:rFonts w:ascii="Times New Roman" w:eastAsia="宋体" w:hAnsi="Times New Roman" w:cs="宋体" w:hint="eastAsia"/>
                <w:i w:val="0"/>
                <w:color w:val="000000"/>
                <w:kern w:val="0"/>
                <w:sz w:val="18"/>
                <w:szCs w:val="18"/>
                <w:u w:val="none"/>
                <w:shd w:val="clear" w:color="auto" w:fill="auto"/>
                <w:lang w:val="en-US" w:eastAsia="zh-CN" w:bidi="ar"/>
              </w:rPr>
              <w:t>科目</w:t>
            </w:r>
          </w:p>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bidi="ar"/>
              </w:rPr>
              <w:t>代</w:t>
            </w:r>
            <w:r>
              <w:rPr>
                <w:rFonts w:ascii="Times New Roman" w:eastAsia="宋体" w:hAnsi="Times New Roman" w:cs="宋体" w:hint="eastAsia"/>
                <w:i w:val="0"/>
                <w:color w:val="000000"/>
                <w:kern w:val="0"/>
                <w:sz w:val="18"/>
                <w:szCs w:val="18"/>
                <w:u w:val="none"/>
                <w:shd w:val="clear" w:color="auto" w:fill="auto"/>
                <w:lang w:val="en-US" w:eastAsia="zh-CN" w:bidi="ar"/>
              </w:rPr>
              <w:t>码</w:t>
            </w:r>
          </w:p>
        </w:tc>
        <w:tc>
          <w:tcPr>
            <w:tcW w:w="2160" w:type="dxa"/>
            <w:vMerge w:val="restart"/>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eastAsia="zh-CN" w:bidi="ar"/>
              </w:rPr>
              <w:t>科目名称</w:t>
            </w:r>
          </w:p>
        </w:tc>
        <w:tc>
          <w:tcPr>
            <w:tcW w:w="1111" w:type="dxa"/>
            <w:vMerge w:val="restart"/>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eastAsia="zh-CN" w:bidi="ar"/>
              </w:rPr>
              <w:t>金额</w:t>
            </w:r>
          </w:p>
        </w:tc>
        <w:tc>
          <w:tcPr>
            <w:tcW w:w="569" w:type="dxa"/>
            <w:vMerge w:val="restart"/>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kern w:val="0"/>
                <w:sz w:val="18"/>
                <w:szCs w:val="18"/>
                <w:u w:val="none"/>
                <w:shd w:val="clear" w:color="auto" w:fill="auto"/>
                <w:lang w:val="en-US" w:eastAsia="zh-CN" w:bidi="ar"/>
              </w:rPr>
            </w:pPr>
            <w:r>
              <w:rPr>
                <w:rFonts w:ascii="Times New Roman" w:eastAsia="宋体" w:hAnsi="Times New Roman" w:cs="宋体" w:hint="eastAsia"/>
                <w:i w:val="0"/>
                <w:color w:val="000000"/>
                <w:kern w:val="0"/>
                <w:sz w:val="18"/>
                <w:szCs w:val="18"/>
                <w:u w:val="none"/>
                <w:shd w:val="clear" w:color="auto" w:fill="auto"/>
                <w:lang w:val="en-US" w:eastAsia="zh-CN" w:bidi="ar"/>
              </w:rPr>
              <w:t>科目</w:t>
            </w:r>
          </w:p>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bidi="ar"/>
              </w:rPr>
              <w:t>代</w:t>
            </w:r>
            <w:r>
              <w:rPr>
                <w:rFonts w:ascii="Times New Roman" w:eastAsia="宋体" w:hAnsi="Times New Roman" w:cs="宋体" w:hint="eastAsia"/>
                <w:i w:val="0"/>
                <w:color w:val="000000"/>
                <w:kern w:val="0"/>
                <w:sz w:val="18"/>
                <w:szCs w:val="18"/>
                <w:u w:val="none"/>
                <w:shd w:val="clear" w:color="auto" w:fill="auto"/>
                <w:lang w:val="en-US" w:eastAsia="zh-CN" w:bidi="ar"/>
              </w:rPr>
              <w:t>码</w:t>
            </w:r>
          </w:p>
        </w:tc>
        <w:tc>
          <w:tcPr>
            <w:tcW w:w="1716" w:type="dxa"/>
            <w:vMerge w:val="restart"/>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eastAsia="zh-CN" w:bidi="ar"/>
              </w:rPr>
              <w:t>科目名称</w:t>
            </w:r>
          </w:p>
        </w:tc>
        <w:tc>
          <w:tcPr>
            <w:tcW w:w="1064" w:type="dxa"/>
            <w:vMerge w:val="restart"/>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eastAsia="zh-CN" w:bidi="ar"/>
              </w:rPr>
              <w:t>金额</w:t>
            </w:r>
          </w:p>
        </w:tc>
        <w:tc>
          <w:tcPr>
            <w:tcW w:w="640" w:type="dxa"/>
            <w:vMerge w:val="restart"/>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kern w:val="0"/>
                <w:sz w:val="18"/>
                <w:szCs w:val="18"/>
                <w:u w:val="none"/>
                <w:shd w:val="clear" w:color="auto" w:fill="auto"/>
                <w:lang w:val="en-US" w:eastAsia="zh-CN" w:bidi="ar"/>
              </w:rPr>
            </w:pPr>
            <w:r>
              <w:rPr>
                <w:rFonts w:ascii="Times New Roman" w:eastAsia="宋体" w:hAnsi="Times New Roman" w:cs="宋体" w:hint="eastAsia"/>
                <w:i w:val="0"/>
                <w:color w:val="000000"/>
                <w:kern w:val="0"/>
                <w:sz w:val="18"/>
                <w:szCs w:val="18"/>
                <w:u w:val="none"/>
                <w:shd w:val="clear" w:color="auto" w:fill="auto"/>
                <w:lang w:val="en-US" w:eastAsia="zh-CN" w:bidi="ar"/>
              </w:rPr>
              <w:t>科目</w:t>
            </w:r>
          </w:p>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bidi="ar"/>
              </w:rPr>
              <w:t>代</w:t>
            </w:r>
            <w:r>
              <w:rPr>
                <w:rFonts w:ascii="Times New Roman" w:eastAsia="宋体" w:hAnsi="Times New Roman" w:cs="宋体" w:hint="eastAsia"/>
                <w:i w:val="0"/>
                <w:color w:val="000000"/>
                <w:kern w:val="0"/>
                <w:sz w:val="18"/>
                <w:szCs w:val="18"/>
                <w:u w:val="none"/>
                <w:shd w:val="clear" w:color="auto" w:fill="auto"/>
                <w:lang w:val="en-US" w:eastAsia="zh-CN" w:bidi="ar"/>
              </w:rPr>
              <w:t>码</w:t>
            </w:r>
          </w:p>
        </w:tc>
        <w:tc>
          <w:tcPr>
            <w:tcW w:w="2420" w:type="dxa"/>
            <w:vMerge w:val="restart"/>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eastAsia="zh-CN" w:bidi="ar"/>
              </w:rPr>
              <w:t>科目名称</w:t>
            </w:r>
          </w:p>
        </w:tc>
        <w:tc>
          <w:tcPr>
            <w:tcW w:w="1112" w:type="dxa"/>
            <w:vMerge w:val="restart"/>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cs="宋体" w:hint="eastAsia"/>
                <w:i w:val="0"/>
                <w:color w:val="000000"/>
                <w:kern w:val="0"/>
                <w:sz w:val="18"/>
                <w:szCs w:val="18"/>
                <w:u w:val="none"/>
                <w:shd w:val="clear" w:color="auto" w:fill="auto"/>
                <w:lang w:val="en-US" w:eastAsia="zh-CN" w:bidi="ar"/>
              </w:rPr>
              <w:t>金额</w:t>
            </w:r>
          </w:p>
        </w:tc>
      </w:tr>
      <w:tr>
        <w:tblPrEx>
          <w:tblW w:w="5000" w:type="pct"/>
          <w:jc w:val="center"/>
          <w:tblInd w:w="0" w:type="dxa"/>
          <w:tblCellMar>
            <w:top w:w="0" w:type="dxa"/>
            <w:left w:w="0" w:type="dxa"/>
            <w:bottom w:w="0" w:type="dxa"/>
            <w:right w:w="0" w:type="dxa"/>
          </w:tblCellMar>
        </w:tblPrEx>
        <w:trPr>
          <w:trHeight w:val="388"/>
          <w:jc w:val="center"/>
        </w:trPr>
        <w:tc>
          <w:tcPr>
            <w:tcW w:w="572" w:type="dxa"/>
            <w:vMerge/>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jc w:val="center"/>
              <w:rPr>
                <w:rFonts w:ascii="Times New Roman" w:eastAsia="宋体" w:hAnsi="Times New Roman" w:cs="宋体" w:hint="eastAsia"/>
                <w:i w:val="0"/>
                <w:color w:val="000000"/>
                <w:sz w:val="22"/>
                <w:szCs w:val="22"/>
                <w:u w:val="none"/>
                <w:shd w:val="clear" w:color="auto" w:fill="auto"/>
              </w:rPr>
            </w:pPr>
          </w:p>
        </w:tc>
        <w:tc>
          <w:tcPr>
            <w:tcW w:w="2160" w:type="dxa"/>
            <w:vMerge/>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jc w:val="center"/>
              <w:rPr>
                <w:rFonts w:ascii="Times New Roman" w:eastAsia="宋体" w:hAnsi="Times New Roman" w:cs="宋体" w:hint="eastAsia"/>
                <w:i w:val="0"/>
                <w:color w:val="000000"/>
                <w:sz w:val="22"/>
                <w:szCs w:val="22"/>
                <w:u w:val="none"/>
                <w:shd w:val="clear" w:color="auto" w:fill="auto"/>
              </w:rPr>
            </w:pPr>
          </w:p>
        </w:tc>
        <w:tc>
          <w:tcPr>
            <w:tcW w:w="1111" w:type="dxa"/>
            <w:vMerge/>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jc w:val="center"/>
              <w:rPr>
                <w:rFonts w:ascii="Times New Roman" w:eastAsia="宋体" w:hAnsi="Times New Roman" w:cs="宋体" w:hint="eastAsia"/>
                <w:i w:val="0"/>
                <w:color w:val="000000"/>
                <w:sz w:val="22"/>
                <w:szCs w:val="22"/>
                <w:u w:val="none"/>
                <w:shd w:val="clear" w:color="auto" w:fill="auto"/>
              </w:rPr>
            </w:pPr>
          </w:p>
        </w:tc>
        <w:tc>
          <w:tcPr>
            <w:tcW w:w="569" w:type="dxa"/>
            <w:vMerge/>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jc w:val="center"/>
              <w:rPr>
                <w:rFonts w:ascii="Times New Roman" w:eastAsia="宋体" w:hAnsi="Times New Roman" w:cs="宋体" w:hint="eastAsia"/>
                <w:i w:val="0"/>
                <w:color w:val="000000"/>
                <w:sz w:val="22"/>
                <w:szCs w:val="22"/>
                <w:u w:val="none"/>
                <w:shd w:val="clear" w:color="auto" w:fill="auto"/>
              </w:rPr>
            </w:pPr>
          </w:p>
        </w:tc>
        <w:tc>
          <w:tcPr>
            <w:tcW w:w="1716" w:type="dxa"/>
            <w:vMerge/>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jc w:val="center"/>
              <w:rPr>
                <w:rFonts w:ascii="Times New Roman" w:eastAsia="宋体" w:hAnsi="Times New Roman" w:cs="宋体" w:hint="eastAsia"/>
                <w:i w:val="0"/>
                <w:color w:val="000000"/>
                <w:sz w:val="22"/>
                <w:szCs w:val="22"/>
                <w:u w:val="none"/>
                <w:shd w:val="clear" w:color="auto" w:fill="auto"/>
              </w:rPr>
            </w:pPr>
          </w:p>
        </w:tc>
        <w:tc>
          <w:tcPr>
            <w:tcW w:w="1064" w:type="dxa"/>
            <w:vMerge/>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jc w:val="center"/>
              <w:rPr>
                <w:rFonts w:ascii="Times New Roman" w:eastAsia="宋体" w:hAnsi="Times New Roman" w:cs="宋体" w:hint="eastAsia"/>
                <w:i w:val="0"/>
                <w:color w:val="000000"/>
                <w:sz w:val="22"/>
                <w:szCs w:val="22"/>
                <w:u w:val="none"/>
                <w:shd w:val="clear" w:color="auto" w:fill="auto"/>
              </w:rPr>
            </w:pPr>
          </w:p>
        </w:tc>
        <w:tc>
          <w:tcPr>
            <w:tcW w:w="640" w:type="dxa"/>
            <w:vMerge/>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jc w:val="center"/>
              <w:rPr>
                <w:rFonts w:ascii="Times New Roman" w:eastAsia="宋体" w:hAnsi="Times New Roman" w:cs="宋体" w:hint="eastAsia"/>
                <w:i w:val="0"/>
                <w:color w:val="000000"/>
                <w:sz w:val="22"/>
                <w:szCs w:val="22"/>
                <w:u w:val="none"/>
                <w:shd w:val="clear" w:color="auto" w:fill="auto"/>
              </w:rPr>
            </w:pPr>
          </w:p>
        </w:tc>
        <w:tc>
          <w:tcPr>
            <w:tcW w:w="2420" w:type="dxa"/>
            <w:vMerge/>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jc w:val="center"/>
              <w:rPr>
                <w:rFonts w:ascii="Times New Roman" w:eastAsia="宋体" w:hAnsi="Times New Roman" w:cs="宋体" w:hint="eastAsia"/>
                <w:i w:val="0"/>
                <w:color w:val="000000"/>
                <w:sz w:val="22"/>
                <w:szCs w:val="22"/>
                <w:u w:val="none"/>
                <w:shd w:val="clear" w:color="auto" w:fill="auto"/>
              </w:rPr>
            </w:pPr>
          </w:p>
        </w:tc>
        <w:tc>
          <w:tcPr>
            <w:tcW w:w="1112" w:type="dxa"/>
            <w:vMerge/>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jc w:val="center"/>
              <w:rPr>
                <w:rFonts w:ascii="Times New Roman" w:eastAsia="宋体" w:hAnsi="Times New Roman" w:cs="宋体" w:hint="eastAsia"/>
                <w:i w:val="0"/>
                <w:color w:val="000000"/>
                <w:sz w:val="22"/>
                <w:szCs w:val="22"/>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sz w:val="16"/>
                <w:szCs w:val="16"/>
                <w:u w:val="none"/>
                <w:shd w:val="clear" w:color="auto" w:fill="auto"/>
              </w:rPr>
            </w:pPr>
            <w:r>
              <w:rPr>
                <w:rFonts w:ascii="Times New Roman" w:eastAsia="宋体" w:hAnsi="Times New Roman" w:cs="宋体" w:hint="eastAsia"/>
                <w:b/>
                <w:bCs/>
                <w:i w:val="0"/>
                <w:color w:val="000000"/>
                <w:kern w:val="0"/>
                <w:sz w:val="16"/>
                <w:szCs w:val="16"/>
                <w:u w:val="none"/>
                <w:shd w:val="clear" w:color="auto" w:fill="auto"/>
                <w:lang w:val="en-US" w:eastAsia="zh-CN" w:bidi="ar"/>
              </w:rPr>
              <w:t>301</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工资福利支出</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default"/>
                <w:b/>
                <w:bCs/>
                <w:i w:val="0"/>
                <w:color w:val="000000"/>
                <w:kern w:val="0"/>
                <w:sz w:val="16"/>
                <w:szCs w:val="16"/>
                <w:u w:val="none"/>
                <w:shd w:val="clear" w:color="auto" w:fill="auto"/>
                <w:lang w:eastAsia="zh-CN" w:bidi="ar"/>
              </w:rPr>
            </w:pPr>
            <w:r>
              <w:rPr>
                <w:rFonts w:ascii="Times New Roman" w:eastAsia="宋体" w:hAnsi="Times New Roman"/>
                <w:b w:val="0"/>
                <w:sz w:val="16"/>
              </w:rPr>
              <w:t>2,358.51</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302</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商品和服务支出</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b w:val="0"/>
                <w:sz w:val="16"/>
              </w:rPr>
              <w:t>356.79</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30703</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国内债务发行费用</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b/>
                <w:bCs/>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30101</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基本工资</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163.44</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30201</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办公费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32.11</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30704</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国外债务发行费用</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30102</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津贴补贴</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81.81</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30202</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印刷费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6.27</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310</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资本性支出</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b w:val="0"/>
                <w:sz w:val="16"/>
              </w:rPr>
              <w:t>9.83</w:t>
            </w: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30103</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奖金</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184.56</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30203</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咨询费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7.93</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31001</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房屋建筑物购建</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90"/>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30106</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伙食补助费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125.66</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30204</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手续费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31002</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办公设备购置</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r>
              <w:rPr>
                <w:rFonts w:ascii="Times New Roman" w:eastAsia="宋体" w:hAnsi="Times New Roman"/>
                <w:b w:val="0"/>
                <w:sz w:val="16"/>
              </w:rPr>
              <w:t>9.83</w:t>
            </w:r>
          </w:p>
        </w:tc>
      </w:tr>
      <w:tr>
        <w:tblPrEx>
          <w:tblW w:w="5000" w:type="pct"/>
          <w:jc w:val="center"/>
          <w:tblInd w:w="0" w:type="dxa"/>
          <w:tblCellMar>
            <w:top w:w="0" w:type="dxa"/>
            <w:left w:w="0" w:type="dxa"/>
            <w:bottom w:w="0" w:type="dxa"/>
            <w:right w:w="0" w:type="dxa"/>
          </w:tblCellMar>
        </w:tblPrEx>
        <w:trPr>
          <w:trHeight w:val="232"/>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30107</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绩效工资</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133.19</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30205</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水费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2.22</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31003</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专用设备购置</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b/>
                <w:bCs/>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2"/>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30108</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机关事业单位基本养老保险缴费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84.70</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30206</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电费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15.15</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31005</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基础设施建设</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2"/>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30109</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职业年金缴费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48.05</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30207</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邮电费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10.80</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31006</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大型修缮</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30110</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职工基本医疗保险缴费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124.74</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30208</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取暖费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31007</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信息网络及软件购置更新</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30111</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公务员医疗补助缴费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30209</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物业管理费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16.55</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31008</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物资储备</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30112</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其他社会保障缴费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219.08</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30211</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差旅费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1.34</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31009</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土地补偿</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30113</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住房公积金</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150.66</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30212</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因公出国（境）费用</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31010</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安置补助</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30114</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医疗费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2.20</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30213</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维修(护)费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11.08</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31011</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地上附着物和青苗补偿</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30199</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其他工资福利支出</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1,040.42</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30214</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租赁费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1.60</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31012</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拆迁补偿</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sz w:val="16"/>
                <w:szCs w:val="16"/>
                <w:u w:val="none"/>
                <w:shd w:val="clear" w:color="auto" w:fill="auto"/>
              </w:rPr>
            </w:pPr>
            <w:r>
              <w:rPr>
                <w:rFonts w:ascii="Times New Roman" w:eastAsia="宋体" w:hAnsi="Times New Roman" w:cs="宋体" w:hint="eastAsia"/>
                <w:b/>
                <w:bCs/>
                <w:i w:val="0"/>
                <w:color w:val="000000"/>
                <w:kern w:val="0"/>
                <w:sz w:val="16"/>
                <w:szCs w:val="16"/>
                <w:u w:val="none"/>
                <w:shd w:val="clear" w:color="auto" w:fill="auto"/>
                <w:lang w:val="en-US" w:eastAsia="zh-CN" w:bidi="ar"/>
              </w:rPr>
              <w:t>303</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对个人和家庭的补助</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b w:val="0"/>
                <w:sz w:val="16"/>
              </w:rPr>
              <w:t>52.82</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30215</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会议费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31013</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公务用车购置</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30301</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离休费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30216</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培训费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2.62</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31019</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其他交通工具购置</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auto"/>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30302</w:t>
            </w:r>
          </w:p>
        </w:tc>
        <w:tc>
          <w:tcPr>
            <w:tcW w:w="2160" w:type="dxa"/>
            <w:tcBorders>
              <w:top w:val="nil"/>
              <w:left w:val="nil"/>
              <w:bottom w:val="single" w:sz="4" w:space="0" w:color="auto"/>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退休费</w:t>
            </w:r>
          </w:p>
        </w:tc>
        <w:tc>
          <w:tcPr>
            <w:tcW w:w="1111" w:type="dxa"/>
            <w:tcBorders>
              <w:top w:val="nil"/>
              <w:left w:val="nil"/>
              <w:bottom w:val="single" w:sz="4" w:space="0" w:color="auto"/>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23.60</w:t>
            </w:r>
          </w:p>
        </w:tc>
        <w:tc>
          <w:tcPr>
            <w:tcW w:w="569" w:type="dxa"/>
            <w:tcBorders>
              <w:top w:val="nil"/>
              <w:left w:val="nil"/>
              <w:bottom w:val="single" w:sz="4" w:space="0" w:color="auto"/>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30217</w:t>
            </w:r>
          </w:p>
        </w:tc>
        <w:tc>
          <w:tcPr>
            <w:tcW w:w="1716" w:type="dxa"/>
            <w:tcBorders>
              <w:top w:val="nil"/>
              <w:left w:val="nil"/>
              <w:bottom w:val="single" w:sz="4" w:space="0" w:color="auto"/>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公务接待费</w:t>
            </w:r>
          </w:p>
        </w:tc>
        <w:tc>
          <w:tcPr>
            <w:tcW w:w="1064" w:type="dxa"/>
            <w:tcBorders>
              <w:top w:val="nil"/>
              <w:left w:val="nil"/>
              <w:bottom w:val="single" w:sz="4" w:space="0" w:color="auto"/>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0.61</w:t>
            </w:r>
          </w:p>
        </w:tc>
        <w:tc>
          <w:tcPr>
            <w:tcW w:w="640" w:type="dxa"/>
            <w:tcBorders>
              <w:top w:val="nil"/>
              <w:left w:val="nil"/>
              <w:bottom w:val="single" w:sz="4" w:space="0" w:color="auto"/>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31021</w:t>
            </w:r>
          </w:p>
        </w:tc>
        <w:tc>
          <w:tcPr>
            <w:tcW w:w="2420" w:type="dxa"/>
            <w:tcBorders>
              <w:top w:val="nil"/>
              <w:left w:val="nil"/>
              <w:bottom w:val="single" w:sz="4" w:space="0" w:color="auto"/>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文物和陈列品购置</w:t>
            </w:r>
          </w:p>
        </w:tc>
        <w:tc>
          <w:tcPr>
            <w:tcW w:w="1112" w:type="dxa"/>
            <w:tcBorders>
              <w:top w:val="nil"/>
              <w:left w:val="nil"/>
              <w:bottom w:val="single" w:sz="4" w:space="0" w:color="auto"/>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single" w:sz="4" w:space="0" w:color="auto"/>
              <w:left w:val="single" w:sz="4" w:space="0" w:color="auto"/>
              <w:bottom w:val="single" w:sz="4" w:space="0" w:color="auto"/>
              <w:right w:val="single" w:sz="4" w:space="0" w:color="auto"/>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30303</w:t>
            </w:r>
          </w:p>
        </w:tc>
        <w:tc>
          <w:tcPr>
            <w:tcW w:w="2160" w:type="dxa"/>
            <w:tcBorders>
              <w:top w:val="single" w:sz="4" w:space="0" w:color="auto"/>
              <w:left w:val="single" w:sz="4" w:space="0" w:color="auto"/>
              <w:bottom w:val="single" w:sz="4" w:space="0" w:color="auto"/>
              <w:right w:val="single" w:sz="4" w:space="0" w:color="auto"/>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退职（役）费</w:t>
            </w:r>
          </w:p>
        </w:tc>
        <w:tc>
          <w:tcPr>
            <w:tcW w:w="1111" w:type="dxa"/>
            <w:tcBorders>
              <w:top w:val="single" w:sz="4" w:space="0" w:color="auto"/>
              <w:left w:val="single" w:sz="4" w:space="0" w:color="auto"/>
              <w:bottom w:val="single" w:sz="4" w:space="0" w:color="auto"/>
              <w:right w:val="single" w:sz="4" w:space="0" w:color="auto"/>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single" w:sz="4" w:space="0" w:color="auto"/>
              <w:left w:val="single" w:sz="4" w:space="0" w:color="auto"/>
              <w:bottom w:val="single" w:sz="4" w:space="0" w:color="auto"/>
              <w:right w:val="single" w:sz="4" w:space="0" w:color="auto"/>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30218</w:t>
            </w:r>
          </w:p>
        </w:tc>
        <w:tc>
          <w:tcPr>
            <w:tcW w:w="1716" w:type="dxa"/>
            <w:tcBorders>
              <w:top w:val="single" w:sz="4" w:space="0" w:color="auto"/>
              <w:left w:val="single" w:sz="4" w:space="0" w:color="auto"/>
              <w:bottom w:val="single" w:sz="4" w:space="0" w:color="auto"/>
              <w:right w:val="single" w:sz="4" w:space="0" w:color="auto"/>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专用材料费</w:t>
            </w:r>
          </w:p>
        </w:tc>
        <w:tc>
          <w:tcPr>
            <w:tcW w:w="1064" w:type="dxa"/>
            <w:tcBorders>
              <w:top w:val="single" w:sz="4" w:space="0" w:color="auto"/>
              <w:left w:val="single" w:sz="4" w:space="0" w:color="auto"/>
              <w:bottom w:val="single" w:sz="4" w:space="0" w:color="auto"/>
              <w:right w:val="single" w:sz="4" w:space="0" w:color="auto"/>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single" w:sz="4" w:space="0" w:color="auto"/>
              <w:left w:val="single" w:sz="4" w:space="0" w:color="auto"/>
              <w:bottom w:val="single" w:sz="4" w:space="0" w:color="auto"/>
              <w:right w:val="single" w:sz="4" w:space="0" w:color="auto"/>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31022</w:t>
            </w:r>
          </w:p>
        </w:tc>
        <w:tc>
          <w:tcPr>
            <w:tcW w:w="2420" w:type="dxa"/>
            <w:tcBorders>
              <w:top w:val="single" w:sz="4" w:space="0" w:color="auto"/>
              <w:left w:val="single" w:sz="4" w:space="0" w:color="auto"/>
              <w:bottom w:val="single" w:sz="4" w:space="0" w:color="auto"/>
              <w:right w:val="single" w:sz="4" w:space="0" w:color="auto"/>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无形资产购置</w:t>
            </w:r>
          </w:p>
        </w:tc>
        <w:tc>
          <w:tcPr>
            <w:tcW w:w="1112" w:type="dxa"/>
            <w:tcBorders>
              <w:top w:val="single" w:sz="4" w:space="0" w:color="auto"/>
              <w:left w:val="single" w:sz="4" w:space="0" w:color="auto"/>
              <w:bottom w:val="single" w:sz="4" w:space="0" w:color="auto"/>
              <w:right w:val="single" w:sz="4" w:space="0" w:color="auto"/>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single" w:sz="4" w:space="0" w:color="auto"/>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30304</w:t>
            </w:r>
          </w:p>
        </w:tc>
        <w:tc>
          <w:tcPr>
            <w:tcW w:w="2160" w:type="dxa"/>
            <w:tcBorders>
              <w:top w:val="single" w:sz="4" w:space="0" w:color="auto"/>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抚恤金</w:t>
            </w:r>
          </w:p>
        </w:tc>
        <w:tc>
          <w:tcPr>
            <w:tcW w:w="1111" w:type="dxa"/>
            <w:tcBorders>
              <w:top w:val="single" w:sz="4" w:space="0" w:color="auto"/>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single" w:sz="4" w:space="0" w:color="auto"/>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30224</w:t>
            </w:r>
          </w:p>
        </w:tc>
        <w:tc>
          <w:tcPr>
            <w:tcW w:w="1716" w:type="dxa"/>
            <w:tcBorders>
              <w:top w:val="single" w:sz="4" w:space="0" w:color="auto"/>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被装购置费</w:t>
            </w:r>
          </w:p>
        </w:tc>
        <w:tc>
          <w:tcPr>
            <w:tcW w:w="1064" w:type="dxa"/>
            <w:tcBorders>
              <w:top w:val="single" w:sz="4" w:space="0" w:color="auto"/>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single" w:sz="4" w:space="0" w:color="auto"/>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31099</w:t>
            </w:r>
          </w:p>
        </w:tc>
        <w:tc>
          <w:tcPr>
            <w:tcW w:w="2420" w:type="dxa"/>
            <w:tcBorders>
              <w:top w:val="single" w:sz="4" w:space="0" w:color="auto"/>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其他资本性支出</w:t>
            </w:r>
          </w:p>
        </w:tc>
        <w:tc>
          <w:tcPr>
            <w:tcW w:w="1112" w:type="dxa"/>
            <w:tcBorders>
              <w:top w:val="single" w:sz="4" w:space="0" w:color="auto"/>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30305</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生活补助</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30225</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专用燃料费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312</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对企业补助</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30306</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救济费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30226</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劳务费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17.73</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31201</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资本金注入</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59"/>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30307</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医疗费补助</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30227</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委托业务费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17.38</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31203</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政府投资基金股权投资</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30308</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助学金</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30228</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工会经费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99.05</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31204</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费用补贴</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b/>
                <w:bCs/>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30309</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奖励金</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0.30</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30229</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福利费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31205</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利息补贴</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30310</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个人农业生产补贴</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30231</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公务用车运行维护费</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13.17</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31299 </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其他对企业补助</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30311</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代缴社会保险费</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30239</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其他交通费用</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55.53</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399</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其他支出</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16"/>
                <w:szCs w:val="16"/>
                <w:u w:val="none"/>
                <w:shd w:val="clear" w:color="auto" w:fill="auto"/>
              </w:rPr>
            </w:pPr>
            <w:r>
              <w:rPr>
                <w:rFonts w:ascii="Times New Roman" w:eastAsia="宋体" w:hAnsi="Times New Roman" w:cs="宋体" w:hint="eastAsia"/>
                <w:i w:val="0"/>
                <w:color w:val="000000"/>
                <w:kern w:val="0"/>
                <w:sz w:val="16"/>
                <w:szCs w:val="16"/>
                <w:u w:val="none"/>
                <w:shd w:val="clear" w:color="auto" w:fill="auto"/>
                <w:lang w:val="en-US" w:eastAsia="zh-CN" w:bidi="ar"/>
              </w:rPr>
              <w:t>30399</w:t>
            </w: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其他对个人和家庭的补助</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28.92</w:t>
            </w: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30240</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税金及附加费用</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宋体" w:eastAsia="宋体" w:hAnsi="宋体" w:cs="宋体" w:hint="eastAsia"/>
                <w:i w:val="0"/>
                <w:color w:val="000000"/>
                <w:kern w:val="0"/>
                <w:sz w:val="16"/>
                <w:szCs w:val="16"/>
                <w:u w:val="none"/>
                <w:lang w:val="en-US" w:eastAsia="zh-CN" w:bidi="ar"/>
              </w:rPr>
              <w:t>39907</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宋体" w:eastAsia="宋体" w:hAnsi="宋体" w:cs="宋体" w:hint="eastAsia"/>
                <w:i w:val="0"/>
                <w:color w:val="000000"/>
                <w:kern w:val="0"/>
                <w:sz w:val="16"/>
                <w:szCs w:val="16"/>
                <w:u w:val="none"/>
                <w:lang w:val="en-US" w:eastAsia="zh-CN" w:bidi="ar"/>
              </w:rPr>
              <w:t xml:space="preserve">  国家赔偿费用支出</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12"/>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spacing w:before="0" w:after="0"/>
              <w:jc w:val="left"/>
              <w:rPr>
                <w:rFonts w:ascii="Times New Roman" w:eastAsia="宋体" w:hAnsi="Times New Roman" w:cs="宋体" w:hint="eastAsia"/>
                <w:i w:val="0"/>
                <w:color w:val="000000"/>
                <w:sz w:val="16"/>
                <w:szCs w:val="16"/>
                <w:u w:val="none"/>
                <w:shd w:val="clear" w:color="auto" w:fill="auto"/>
              </w:rPr>
            </w:pP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1111"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30299</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其他商品和服务支出</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Times New Roman" w:eastAsia="宋体" w:hAnsi="Times New Roman"/>
                <w:b w:val="0"/>
                <w:sz w:val="16"/>
              </w:rPr>
              <w:t>45.66</w:t>
            </w: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宋体" w:eastAsia="宋体" w:hAnsi="宋体" w:cs="宋体" w:hint="eastAsia"/>
                <w:i w:val="0"/>
                <w:color w:val="000000"/>
                <w:kern w:val="0"/>
                <w:sz w:val="16"/>
                <w:szCs w:val="16"/>
                <w:u w:val="none"/>
                <w:lang w:val="en-US" w:eastAsia="zh-CN" w:bidi="ar"/>
              </w:rPr>
              <w:t>39908</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宋体" w:eastAsia="宋体" w:hAnsi="宋体" w:cs="宋体" w:hint="eastAsia"/>
                <w:i w:val="0"/>
                <w:color w:val="000000"/>
                <w:kern w:val="0"/>
                <w:sz w:val="16"/>
                <w:szCs w:val="16"/>
                <w:u w:val="none"/>
                <w:lang w:val="en-US" w:eastAsia="zh-CN" w:bidi="ar"/>
              </w:rPr>
              <w:t xml:space="preserve">  对民间非营利组织和群众性自治组织补贴</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spacing w:before="0" w:after="0"/>
              <w:jc w:val="left"/>
              <w:rPr>
                <w:rFonts w:ascii="Times New Roman" w:eastAsia="宋体" w:hAnsi="Times New Roman" w:cs="宋体" w:hint="eastAsia"/>
                <w:i w:val="0"/>
                <w:color w:val="000000"/>
                <w:sz w:val="16"/>
                <w:szCs w:val="16"/>
                <w:u w:val="none"/>
                <w:shd w:val="clear" w:color="auto" w:fill="auto"/>
              </w:rPr>
            </w:pP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1111"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Bold" w:eastAsia="宋体" w:hAnsi="Times New Roman Bold" w:cs="Times New Roman Bold" w:hint="default"/>
                <w:b/>
                <w:bCs/>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307</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Bold" w:eastAsia="宋体" w:hAnsi="Times New Roman Bold" w:cs="Times New Roman Bold" w:hint="default"/>
                <w:b/>
                <w:bCs/>
                <w:i w:val="0"/>
                <w:color w:val="000000"/>
                <w:kern w:val="0"/>
                <w:sz w:val="16"/>
                <w:szCs w:val="16"/>
                <w:u w:val="none"/>
                <w:shd w:val="clear" w:color="auto" w:fill="auto"/>
                <w:lang w:val="en-US" w:eastAsia="zh-CN" w:bidi="ar"/>
              </w:rPr>
            </w:pPr>
            <w:r>
              <w:rPr>
                <w:rFonts w:ascii="Times New Roman" w:eastAsia="宋体" w:hAnsi="Times New Roman" w:cs="宋体" w:hint="eastAsia"/>
                <w:b/>
                <w:bCs/>
                <w:i w:val="0"/>
                <w:color w:val="000000"/>
                <w:kern w:val="0"/>
                <w:sz w:val="16"/>
                <w:szCs w:val="16"/>
                <w:u w:val="none"/>
                <w:shd w:val="clear" w:color="auto" w:fill="auto"/>
                <w:lang w:val="en-US" w:eastAsia="zh-CN" w:bidi="ar"/>
              </w:rPr>
              <w:t>债务利息及费用支出</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auto"/>
                <w:kern w:val="0"/>
                <w:sz w:val="16"/>
                <w:szCs w:val="16"/>
                <w:u w:val="none"/>
                <w:shd w:val="clear" w:color="auto" w:fill="auto"/>
                <w:lang w:val="en-US" w:eastAsia="zh-CN" w:bidi="ar"/>
              </w:rPr>
            </w:pPr>
            <w:r>
              <w:rPr>
                <w:rFonts w:ascii="宋体" w:eastAsia="宋体" w:hAnsi="宋体" w:cs="宋体" w:hint="eastAsia"/>
                <w:i w:val="0"/>
                <w:color w:val="auto"/>
                <w:kern w:val="0"/>
                <w:sz w:val="16"/>
                <w:szCs w:val="16"/>
                <w:u w:val="none"/>
                <w:lang w:val="en-US" w:eastAsia="zh-CN" w:bidi="ar"/>
              </w:rPr>
              <w:t>39909</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b/>
                <w:bCs/>
                <w:i w:val="0"/>
                <w:color w:val="auto"/>
                <w:kern w:val="0"/>
                <w:sz w:val="16"/>
                <w:szCs w:val="16"/>
                <w:u w:val="none"/>
                <w:shd w:val="clear" w:color="auto" w:fill="auto"/>
                <w:lang w:val="en-US" w:eastAsia="zh-CN" w:bidi="ar"/>
              </w:rPr>
            </w:pPr>
            <w:r>
              <w:rPr>
                <w:rFonts w:ascii="宋体" w:eastAsia="宋体" w:hAnsi="宋体" w:cs="宋体" w:hint="eastAsia"/>
                <w:i w:val="0"/>
                <w:color w:val="auto"/>
                <w:kern w:val="0"/>
                <w:sz w:val="16"/>
                <w:szCs w:val="16"/>
                <w:u w:val="none"/>
                <w:lang w:val="en-US" w:eastAsia="zh-CN" w:bidi="ar"/>
              </w:rPr>
              <w:t xml:space="preserve">  经常性赠与</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b/>
                <w:bCs/>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spacing w:before="0" w:after="0"/>
              <w:jc w:val="left"/>
              <w:rPr>
                <w:rFonts w:ascii="Times New Roman" w:eastAsia="宋体" w:hAnsi="Times New Roman" w:cs="宋体" w:hint="eastAsia"/>
                <w:i w:val="0"/>
                <w:color w:val="000000"/>
                <w:sz w:val="16"/>
                <w:szCs w:val="16"/>
                <w:u w:val="none"/>
                <w:shd w:val="clear" w:color="auto" w:fill="auto"/>
              </w:rPr>
            </w:pP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1111"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Bold" w:eastAsia="宋体" w:hAnsi="Times New Roman Bold" w:cs="Times New Roman Bold" w:hint="default"/>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30701</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Bold" w:eastAsia="宋体" w:hAnsi="Times New Roman Bold" w:cs="Times New Roman Bold" w:hint="default"/>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国内债务付息</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auto"/>
                <w:kern w:val="0"/>
                <w:sz w:val="16"/>
                <w:szCs w:val="16"/>
                <w:u w:val="none"/>
                <w:shd w:val="clear" w:color="auto" w:fill="auto"/>
                <w:lang w:val="en-US" w:eastAsia="zh-CN" w:bidi="ar"/>
              </w:rPr>
            </w:pPr>
            <w:r>
              <w:rPr>
                <w:rFonts w:ascii="宋体" w:eastAsia="宋体" w:hAnsi="宋体" w:cs="宋体" w:hint="eastAsia"/>
                <w:i w:val="0"/>
                <w:color w:val="auto"/>
                <w:kern w:val="0"/>
                <w:sz w:val="16"/>
                <w:szCs w:val="16"/>
                <w:u w:val="none"/>
                <w:lang w:val="en-US" w:eastAsia="zh-CN" w:bidi="ar"/>
              </w:rPr>
              <w:t>39910</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auto"/>
                <w:kern w:val="0"/>
                <w:sz w:val="16"/>
                <w:szCs w:val="16"/>
                <w:u w:val="none"/>
                <w:shd w:val="clear" w:color="auto" w:fill="auto"/>
                <w:lang w:val="en-US" w:eastAsia="zh-CN" w:bidi="ar"/>
              </w:rPr>
            </w:pPr>
            <w:r>
              <w:rPr>
                <w:rFonts w:ascii="宋体" w:eastAsia="宋体" w:hAnsi="宋体" w:cs="宋体" w:hint="eastAsia"/>
                <w:i w:val="0"/>
                <w:color w:val="auto"/>
                <w:kern w:val="0"/>
                <w:sz w:val="16"/>
                <w:szCs w:val="16"/>
                <w:u w:val="none"/>
                <w:lang w:val="en-US" w:eastAsia="zh-CN" w:bidi="ar"/>
              </w:rPr>
              <w:t xml:space="preserve">  资本性赠与</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8"/>
                <w:szCs w:val="18"/>
                <w:u w:val="none"/>
                <w:shd w:val="clear" w:color="auto" w:fill="auto"/>
              </w:rPr>
            </w:pPr>
          </w:p>
        </w:tc>
      </w:tr>
      <w:tr>
        <w:tblPrEx>
          <w:tblW w:w="5000" w:type="pct"/>
          <w:jc w:val="center"/>
          <w:tblInd w:w="0" w:type="dxa"/>
          <w:tblCellMar>
            <w:top w:w="0" w:type="dxa"/>
            <w:left w:w="0" w:type="dxa"/>
            <w:bottom w:w="0" w:type="dxa"/>
            <w:right w:w="0" w:type="dxa"/>
          </w:tblCellMar>
        </w:tblPrEx>
        <w:trPr>
          <w:trHeight w:val="235"/>
          <w:jc w:val="center"/>
        </w:trPr>
        <w:tc>
          <w:tcPr>
            <w:tcW w:w="572" w:type="dxa"/>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spacing w:before="0" w:after="0"/>
              <w:jc w:val="left"/>
              <w:rPr>
                <w:rFonts w:ascii="Times New Roman" w:eastAsia="宋体" w:hAnsi="Times New Roman" w:cs="宋体" w:hint="eastAsia"/>
                <w:i w:val="0"/>
                <w:color w:val="000000"/>
                <w:sz w:val="13"/>
                <w:szCs w:val="13"/>
                <w:u w:val="none"/>
                <w:shd w:val="clear" w:color="auto" w:fill="auto"/>
              </w:rPr>
            </w:pPr>
          </w:p>
        </w:tc>
        <w:tc>
          <w:tcPr>
            <w:tcW w:w="216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1111"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569"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Bold" w:eastAsia="宋体" w:hAnsi="Times New Roman Bold" w:cs="Times New Roman Bold" w:hint="default"/>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30702</w:t>
            </w:r>
          </w:p>
        </w:tc>
        <w:tc>
          <w:tcPr>
            <w:tcW w:w="1716"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Bold" w:eastAsia="宋体" w:hAnsi="Times New Roman Bold" w:cs="Times New Roman Bold" w:hint="default"/>
                <w:b/>
                <w:bCs/>
                <w:i w:val="0"/>
                <w:color w:val="000000"/>
                <w:kern w:val="0"/>
                <w:sz w:val="16"/>
                <w:szCs w:val="16"/>
                <w:u w:val="none"/>
                <w:shd w:val="clear" w:color="auto" w:fill="auto"/>
                <w:lang w:val="en-US" w:eastAsia="zh-CN" w:bidi="ar"/>
              </w:rPr>
            </w:pPr>
            <w:r>
              <w:rPr>
                <w:rFonts w:ascii="Times New Roman" w:eastAsia="宋体" w:hAnsi="Times New Roman" w:cs="宋体" w:hint="eastAsia"/>
                <w:i w:val="0"/>
                <w:color w:val="000000"/>
                <w:kern w:val="0"/>
                <w:sz w:val="16"/>
                <w:szCs w:val="16"/>
                <w:u w:val="none"/>
                <w:shd w:val="clear" w:color="auto" w:fill="auto"/>
                <w:lang w:val="en-US" w:eastAsia="zh-CN" w:bidi="ar"/>
              </w:rPr>
              <w:t xml:space="preserve">  国外债务付息</w:t>
            </w:r>
          </w:p>
        </w:tc>
        <w:tc>
          <w:tcPr>
            <w:tcW w:w="1064"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keepNext w:val="0"/>
              <w:keepLines w:val="0"/>
              <w:widowControl/>
              <w:suppressLineNumbers w:val="0"/>
              <w:spacing w:before="0" w:after="0" w:line="240" w:lineRule="auto"/>
              <w:jc w:val="righ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p>
        </w:tc>
        <w:tc>
          <w:tcPr>
            <w:tcW w:w="64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宋体" w:eastAsia="宋体" w:hAnsi="宋体" w:cs="宋体" w:hint="eastAsia"/>
                <w:i w:val="0"/>
                <w:color w:val="000000"/>
                <w:kern w:val="0"/>
                <w:sz w:val="16"/>
                <w:szCs w:val="16"/>
                <w:u w:val="none"/>
                <w:lang w:val="en-US" w:eastAsia="zh-CN" w:bidi="ar"/>
              </w:rPr>
              <w:t>39999</w:t>
            </w:r>
          </w:p>
        </w:tc>
        <w:tc>
          <w:tcPr>
            <w:tcW w:w="2420" w:type="dxa"/>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kern w:val="0"/>
                <w:sz w:val="16"/>
                <w:szCs w:val="16"/>
                <w:u w:val="none"/>
                <w:shd w:val="clear" w:color="auto" w:fill="auto"/>
                <w:lang w:val="en-US" w:eastAsia="zh-CN" w:bidi="ar"/>
              </w:rPr>
            </w:pPr>
            <w:r>
              <w:rPr>
                <w:rFonts w:ascii="宋体" w:eastAsia="宋体" w:hAnsi="宋体" w:cs="宋体" w:hint="eastAsia"/>
                <w:i w:val="0"/>
                <w:color w:val="000000"/>
                <w:kern w:val="0"/>
                <w:sz w:val="16"/>
                <w:szCs w:val="16"/>
                <w:u w:val="none"/>
                <w:lang w:val="en-US" w:eastAsia="zh-CN" w:bidi="ar"/>
              </w:rPr>
              <w:t xml:space="preserve">  其他支出</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i w:val="0"/>
                <w:color w:val="000000"/>
                <w:sz w:val="15"/>
                <w:szCs w:val="15"/>
                <w:u w:val="none"/>
                <w:shd w:val="clear" w:color="auto" w:fill="auto"/>
              </w:rPr>
            </w:pPr>
          </w:p>
        </w:tc>
      </w:tr>
      <w:tr>
        <w:tblPrEx>
          <w:tblW w:w="5000" w:type="pct"/>
          <w:jc w:val="center"/>
          <w:tblInd w:w="0" w:type="dxa"/>
          <w:tblCellMar>
            <w:top w:w="0" w:type="dxa"/>
            <w:left w:w="0" w:type="dxa"/>
            <w:bottom w:w="0" w:type="dxa"/>
            <w:right w:w="0" w:type="dxa"/>
          </w:tblCellMar>
        </w:tblPrEx>
        <w:trPr>
          <w:trHeight w:val="318"/>
          <w:jc w:val="center"/>
        </w:trPr>
        <w:tc>
          <w:tcPr>
            <w:tcW w:w="2732" w:type="dxa"/>
            <w:gridSpan w:val="2"/>
            <w:tcBorders>
              <w:top w:val="nil"/>
              <w:left w:val="single" w:sz="4" w:space="0" w:color="000000"/>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b/>
                <w:bCs/>
                <w:i w:val="0"/>
                <w:color w:val="000000"/>
                <w:sz w:val="16"/>
                <w:szCs w:val="16"/>
                <w:u w:val="none"/>
                <w:shd w:val="clear" w:color="auto" w:fill="auto"/>
              </w:rPr>
            </w:pPr>
            <w:r>
              <w:rPr>
                <w:rFonts w:ascii="Times New Roman" w:eastAsia="宋体" w:hAnsi="Times New Roman" w:cs="宋体" w:hint="eastAsia"/>
                <w:b/>
                <w:bCs/>
                <w:i w:val="0"/>
                <w:color w:val="000000"/>
                <w:kern w:val="0"/>
                <w:sz w:val="16"/>
                <w:szCs w:val="16"/>
                <w:u w:val="none"/>
                <w:shd w:val="clear" w:color="auto" w:fill="auto"/>
                <w:lang w:val="en-US" w:eastAsia="zh-CN" w:bidi="ar"/>
              </w:rPr>
              <w:t>人员经费合计</w:t>
            </w:r>
          </w:p>
        </w:tc>
        <w:tc>
          <w:tcPr>
            <w:tcW w:w="1111"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b/>
                <w:bCs/>
                <w:i w:val="0"/>
                <w:color w:val="000000"/>
                <w:sz w:val="16"/>
                <w:szCs w:val="16"/>
                <w:u w:val="none"/>
                <w:shd w:val="clear" w:color="auto" w:fill="auto"/>
              </w:rPr>
            </w:pPr>
            <w:r>
              <w:rPr>
                <w:rFonts w:ascii="Times New Roman" w:eastAsia="宋体" w:hAnsi="Times New Roman"/>
                <w:b w:val="0"/>
                <w:sz w:val="16"/>
              </w:rPr>
              <w:t>2,411.34</w:t>
            </w:r>
          </w:p>
        </w:tc>
        <w:tc>
          <w:tcPr>
            <w:tcW w:w="6409" w:type="dxa"/>
            <w:gridSpan w:val="5"/>
            <w:tcBorders>
              <w:top w:val="nil"/>
              <w:left w:val="nil"/>
              <w:bottom w:val="single" w:sz="4" w:space="0" w:color="000000"/>
              <w:right w:val="single" w:sz="4" w:space="0" w:color="000000"/>
            </w:tcBorders>
            <w:noWrap w:val="0"/>
            <w:tcMar>
              <w:top w:w="12" w:type="dxa"/>
              <w:left w:w="12" w:type="dxa"/>
              <w:right w:w="12" w:type="dxa"/>
            </w:tcMar>
            <w:vAlign w:val="center"/>
          </w:tcPr>
          <w:p>
            <w:pPr>
              <w:pStyle w:val="Normal0"/>
              <w:keepNext w:val="0"/>
              <w:keepLines w:val="0"/>
              <w:widowControl/>
              <w:suppressLineNumbers w:val="0"/>
              <w:spacing w:before="0" w:after="0"/>
              <w:jc w:val="center"/>
              <w:textAlignment w:val="center"/>
              <w:rPr>
                <w:rFonts w:ascii="Times New Roman" w:eastAsia="宋体" w:hAnsi="Times New Roman" w:cs="宋体" w:hint="eastAsia"/>
                <w:b/>
                <w:bCs/>
                <w:i w:val="0"/>
                <w:color w:val="000000"/>
                <w:sz w:val="16"/>
                <w:szCs w:val="16"/>
                <w:u w:val="none"/>
                <w:shd w:val="clear" w:color="auto" w:fill="auto"/>
              </w:rPr>
            </w:pPr>
            <w:r>
              <w:rPr>
                <w:rFonts w:ascii="Times New Roman" w:eastAsia="宋体" w:hAnsi="Times New Roman" w:cs="宋体" w:hint="eastAsia"/>
                <w:b/>
                <w:bCs/>
                <w:i w:val="0"/>
                <w:color w:val="000000"/>
                <w:kern w:val="0"/>
                <w:sz w:val="16"/>
                <w:szCs w:val="16"/>
                <w:u w:val="none"/>
                <w:shd w:val="clear" w:color="auto" w:fill="auto"/>
                <w:lang w:val="en-US" w:eastAsia="zh-CN" w:bidi="ar"/>
              </w:rPr>
              <w:t>公用经费合计</w:t>
            </w:r>
          </w:p>
        </w:tc>
        <w:tc>
          <w:tcPr>
            <w:tcW w:w="1112" w:type="dxa"/>
            <w:tcBorders>
              <w:top w:val="nil"/>
              <w:left w:val="nil"/>
              <w:bottom w:val="single" w:sz="4" w:space="0" w:color="000000"/>
              <w:right w:val="single" w:sz="4" w:space="0" w:color="000000"/>
            </w:tcBorders>
            <w:noWrap w:val="0"/>
            <w:tcMar>
              <w:top w:w="12" w:type="dxa"/>
              <w:left w:w="20" w:type="dxa"/>
              <w:right w:w="20" w:type="dxa"/>
            </w:tcMar>
            <w:vAlign w:val="center"/>
          </w:tcPr>
          <w:p>
            <w:pPr>
              <w:pStyle w:val="Normal0"/>
              <w:spacing w:before="0" w:after="0" w:line="240" w:lineRule="auto"/>
              <w:jc w:val="right"/>
              <w:rPr>
                <w:rFonts w:ascii="Times New Roman" w:eastAsia="宋体" w:hAnsi="Times New Roman" w:cs="宋体" w:hint="eastAsia"/>
                <w:b/>
                <w:bCs/>
                <w:i w:val="0"/>
                <w:color w:val="000000"/>
                <w:sz w:val="18"/>
                <w:szCs w:val="18"/>
                <w:u w:val="none"/>
                <w:shd w:val="clear" w:color="auto" w:fill="auto"/>
              </w:rPr>
            </w:pPr>
            <w:r>
              <w:rPr>
                <w:rFonts w:ascii="Times New Roman" w:eastAsia="宋体" w:hAnsi="Times New Roman"/>
                <w:b w:val="0"/>
                <w:sz w:val="16"/>
              </w:rPr>
              <w:t>366.62</w:t>
            </w:r>
          </w:p>
        </w:tc>
      </w:tr>
      <w:tr>
        <w:tblPrEx>
          <w:tblW w:w="5000" w:type="pct"/>
          <w:jc w:val="center"/>
          <w:tblInd w:w="0" w:type="dxa"/>
          <w:tblCellMar>
            <w:top w:w="0" w:type="dxa"/>
            <w:left w:w="0" w:type="dxa"/>
            <w:bottom w:w="0" w:type="dxa"/>
            <w:right w:w="0" w:type="dxa"/>
          </w:tblCellMar>
        </w:tblPrEx>
        <w:trPr>
          <w:trHeight w:val="90"/>
          <w:jc w:val="center"/>
        </w:trPr>
        <w:tc>
          <w:tcPr>
            <w:tcW w:w="11364" w:type="dxa"/>
            <w:gridSpan w:val="9"/>
            <w:tcBorders>
              <w:top w:val="nil"/>
              <w:left w:val="nil"/>
              <w:bottom w:val="nil"/>
              <w:right w:val="nil"/>
            </w:tcBorders>
            <w:noWrap w:val="0"/>
            <w:tcMar>
              <w:top w:w="12" w:type="dxa"/>
              <w:left w:w="12" w:type="dxa"/>
              <w:right w:w="12" w:type="dxa"/>
            </w:tcMar>
            <w:vAlign w:val="center"/>
          </w:tcPr>
          <w:p>
            <w:pPr>
              <w:pStyle w:val="Normal0"/>
              <w:keepNext w:val="0"/>
              <w:keepLines w:val="0"/>
              <w:widowControl/>
              <w:suppressLineNumbers w:val="0"/>
              <w:spacing w:before="0" w:after="0"/>
              <w:jc w:val="left"/>
              <w:textAlignment w:val="center"/>
              <w:rPr>
                <w:rFonts w:ascii="Times New Roman" w:eastAsia="宋体" w:hAnsi="Times New Roman" w:cs="宋体" w:hint="eastAsia"/>
                <w:i w:val="0"/>
                <w:color w:val="000000"/>
                <w:sz w:val="20"/>
                <w:szCs w:val="20"/>
                <w:u w:val="none"/>
                <w:shd w:val="clear" w:color="auto" w:fill="auto"/>
              </w:rPr>
            </w:pPr>
            <w:r>
              <w:rPr>
                <w:rFonts w:ascii="Times New Roman" w:eastAsia="宋体" w:hAnsi="Times New Roman" w:cs="宋体" w:hint="eastAsia"/>
                <w:i w:val="0"/>
                <w:color w:val="000000"/>
                <w:kern w:val="0"/>
                <w:sz w:val="20"/>
                <w:szCs w:val="20"/>
                <w:u w:val="none"/>
                <w:shd w:val="clear" w:color="auto" w:fill="auto"/>
                <w:lang w:val="en-US" w:eastAsia="zh-CN" w:bidi="ar"/>
              </w:rPr>
              <w:t>注：本表反映部门本年度一般公共预算财政拨款基本支出明细情况。</w:t>
            </w:r>
          </w:p>
        </w:tc>
      </w:tr>
    </w:tbl>
    <w:p>
      <w:pPr>
        <w:sectPr>
          <w:pgSz w:w="11906" w:h="16838"/>
          <w:pgMar w:top="720" w:right="283" w:bottom="720" w:left="283" w:header="851" w:footer="992" w:gutter="0"/>
          <w:cols w:num="1" w:space="0"/>
          <w:rtlGutter w:val="0"/>
          <w:docGrid w:type="lines" w:linePitch="312" w:charSpace="0"/>
        </w:sectPr>
      </w:pPr>
    </w:p>
    <w:tbl>
      <w:tblPr>
        <w:tblStyle w:val="TableGrid0"/>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57"/>
        <w:gridCol w:w="402"/>
        <w:gridCol w:w="402"/>
        <w:gridCol w:w="2757"/>
        <w:gridCol w:w="963"/>
        <w:gridCol w:w="963"/>
        <w:gridCol w:w="969"/>
        <w:gridCol w:w="963"/>
        <w:gridCol w:w="963"/>
        <w:gridCol w:w="969"/>
        <w:gridCol w:w="963"/>
        <w:gridCol w:w="963"/>
        <w:gridCol w:w="996"/>
        <w:gridCol w:w="963"/>
        <w:gridCol w:w="963"/>
        <w:gridCol w:w="963"/>
        <w:gridCol w:w="969"/>
      </w:tblGrid>
      <w:tr>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3"/>
          <w:tblHeader/>
          <w:jc w:val="center"/>
        </w:trPr>
        <w:tc>
          <w:tcPr>
            <w:tcW w:w="5000" w:type="pct"/>
            <w:gridSpan w:val="17"/>
            <w:tcBorders>
              <w:top w:val="nil"/>
              <w:left w:val="nil"/>
              <w:bottom w:val="nil"/>
              <w:right w:val="nil"/>
            </w:tcBorders>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黑体" w:hAnsi="Times New Roman" w:cs="黑体" w:hint="eastAsia"/>
                <w:sz w:val="32"/>
                <w:szCs w:val="32"/>
                <w:shd w:val="clear" w:color="auto" w:fill="auto"/>
                <w:vertAlign w:val="baseline"/>
                <w:lang w:val="en-US"/>
              </w:rPr>
              <w:t>政府性基金预算财政拨款收入支出决算表</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108"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12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121"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836"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2" w:type="pct"/>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588" w:type="pct"/>
            <w:gridSpan w:val="2"/>
            <w:tcBorders>
              <w:top w:val="nil"/>
              <w:left w:val="nil"/>
              <w:bottom w:val="nil"/>
              <w:right w:val="nil"/>
            </w:tcBorders>
            <w:vAlign w:val="center"/>
          </w:tcPr>
          <w:p>
            <w:pPr>
              <w:pStyle w:val="Normal0"/>
              <w:spacing w:before="0" w:after="0"/>
              <w:jc w:val="right"/>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公开</w:t>
            </w:r>
            <w:r>
              <w:rPr>
                <w:rFonts w:ascii="Times New Roman" w:eastAsia="宋体" w:hAnsi="Times New Roman" w:cs="宋体" w:hint="default"/>
                <w:sz w:val="20"/>
                <w:szCs w:val="20"/>
                <w:shd w:val="clear" w:color="auto" w:fill="auto"/>
                <w:vertAlign w:val="baseline"/>
              </w:rPr>
              <w:t>07</w:t>
            </w:r>
            <w:r>
              <w:rPr>
                <w:rFonts w:ascii="Times New Roman" w:eastAsia="宋体" w:hAnsi="Times New Roman" w:cs="宋体" w:hint="eastAsia"/>
                <w:sz w:val="20"/>
                <w:szCs w:val="20"/>
                <w:shd w:val="clear" w:color="auto" w:fill="auto"/>
                <w:vertAlign w:val="baseline"/>
                <w:lang w:val="en-US"/>
              </w:rPr>
              <w:t>表</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3825" w:type="pct"/>
            <w:gridSpan w:val="13"/>
            <w:tcBorders>
              <w:top w:val="nil"/>
              <w:left w:val="nil"/>
              <w:bottom w:val="single" w:sz="4" w:space="0" w:color="auto"/>
              <w:right w:val="nil"/>
            </w:tcBorders>
          </w:tcPr>
          <w:p>
            <w:pPr>
              <w:pStyle w:val="Normal0"/>
              <w:spacing w:before="0" w:after="0"/>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rPr>
              <w:t>部门：铜陵市铜官区新城办事处</w:t>
            </w:r>
          </w:p>
        </w:tc>
        <w:tc>
          <w:tcPr>
            <w:tcW w:w="292" w:type="pct"/>
            <w:tcBorders>
              <w:top w:val="nil"/>
              <w:left w:val="nil"/>
              <w:bottom w:val="single" w:sz="4" w:space="0" w:color="auto"/>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881" w:type="pct"/>
            <w:gridSpan w:val="3"/>
            <w:tcBorders>
              <w:top w:val="nil"/>
              <w:left w:val="nil"/>
              <w:bottom w:val="single" w:sz="4" w:space="0" w:color="auto"/>
              <w:right w:val="nil"/>
            </w:tcBorders>
          </w:tcPr>
          <w:p>
            <w:pPr>
              <w:pStyle w:val="Normal0"/>
              <w:spacing w:before="0" w:after="0"/>
              <w:jc w:val="right"/>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金额单位</w:t>
            </w:r>
            <w:r>
              <w:rPr>
                <w:rFonts w:ascii="Times New Roman" w:eastAsia="宋体" w:hAnsi="Times New Roman" w:cs="宋体" w:hint="default"/>
                <w:sz w:val="20"/>
                <w:szCs w:val="20"/>
                <w:shd w:val="clear" w:color="auto" w:fill="auto"/>
                <w:vertAlign w:val="baseline"/>
              </w:rPr>
              <w:t>：</w:t>
            </w:r>
            <w:r>
              <w:rPr>
                <w:rFonts w:ascii="Times New Roman" w:eastAsia="宋体" w:hAnsi="Times New Roman" w:cs="宋体" w:hint="eastAsia"/>
                <w:sz w:val="20"/>
                <w:szCs w:val="20"/>
                <w:shd w:val="clear" w:color="auto" w:fill="auto"/>
                <w:vertAlign w:val="baseline"/>
                <w:lang w:val="en-US"/>
              </w:rPr>
              <w:t>万元</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352" w:type="pct"/>
            <w:gridSpan w:val="3"/>
            <w:vMerge w:val="restart"/>
            <w:tcBorders>
              <w:top w:val="single" w:sz="4" w:space="0" w:color="auto"/>
            </w:tcBorders>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科目代码</w:t>
            </w:r>
          </w:p>
        </w:tc>
        <w:tc>
          <w:tcPr>
            <w:tcW w:w="836" w:type="pct"/>
            <w:vMerge w:val="restart"/>
            <w:tcBorders>
              <w:top w:val="single" w:sz="4" w:space="0" w:color="auto"/>
            </w:tcBorders>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科目名称</w:t>
            </w:r>
          </w:p>
        </w:tc>
        <w:tc>
          <w:tcPr>
            <w:tcW w:w="878" w:type="pct"/>
            <w:gridSpan w:val="3"/>
            <w:tcBorders>
              <w:top w:val="single" w:sz="4" w:space="0" w:color="auto"/>
            </w:tcBorders>
            <w:vAlign w:val="center"/>
          </w:tcPr>
          <w:p>
            <w:pPr>
              <w:pStyle w:val="Normal0"/>
              <w:spacing w:before="0" w:after="0"/>
              <w:jc w:val="center"/>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年初结转和结余</w:t>
            </w:r>
          </w:p>
        </w:tc>
        <w:tc>
          <w:tcPr>
            <w:tcW w:w="878" w:type="pct"/>
            <w:gridSpan w:val="3"/>
            <w:tcBorders>
              <w:top w:val="single" w:sz="4" w:space="0" w:color="auto"/>
            </w:tcBorders>
            <w:vAlign w:val="center"/>
          </w:tcPr>
          <w:p>
            <w:pPr>
              <w:pStyle w:val="Normal0"/>
              <w:spacing w:before="0" w:after="0"/>
              <w:jc w:val="center"/>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本年收入</w:t>
            </w:r>
          </w:p>
        </w:tc>
        <w:tc>
          <w:tcPr>
            <w:tcW w:w="878" w:type="pct"/>
            <w:gridSpan w:val="3"/>
            <w:tcBorders>
              <w:top w:val="single" w:sz="4" w:space="0" w:color="auto"/>
            </w:tcBorders>
            <w:vAlign w:val="center"/>
          </w:tcPr>
          <w:p>
            <w:pPr>
              <w:pStyle w:val="Normal0"/>
              <w:spacing w:before="0" w:after="0"/>
              <w:jc w:val="center"/>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本年支出</w:t>
            </w:r>
          </w:p>
        </w:tc>
        <w:tc>
          <w:tcPr>
            <w:tcW w:w="1174" w:type="pct"/>
            <w:gridSpan w:val="4"/>
            <w:tcBorders>
              <w:top w:val="single" w:sz="4" w:space="0" w:color="auto"/>
            </w:tcBorders>
            <w:vAlign w:val="center"/>
          </w:tcPr>
          <w:p>
            <w:pPr>
              <w:pStyle w:val="Normal0"/>
              <w:spacing w:before="0" w:after="0"/>
              <w:jc w:val="center"/>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年末结转和结余</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352" w:type="pct"/>
            <w:gridSpan w:val="3"/>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836"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合计</w:t>
            </w:r>
          </w:p>
        </w:tc>
        <w:tc>
          <w:tcPr>
            <w:tcW w:w="292" w:type="pct"/>
            <w:vMerge w:val="restar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基本支出结转</w:t>
            </w:r>
          </w:p>
        </w:tc>
        <w:tc>
          <w:tcPr>
            <w:tcW w:w="292" w:type="pct"/>
            <w:vMerge w:val="restar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项目支出结转和结余</w:t>
            </w:r>
          </w:p>
        </w:tc>
        <w:tc>
          <w:tcPr>
            <w:tcW w:w="292"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合计</w:t>
            </w:r>
          </w:p>
        </w:tc>
        <w:tc>
          <w:tcPr>
            <w:tcW w:w="292"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基本支出</w:t>
            </w:r>
          </w:p>
        </w:tc>
        <w:tc>
          <w:tcPr>
            <w:tcW w:w="292" w:type="pct"/>
            <w:vMerge w:val="restar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项目支出</w:t>
            </w:r>
          </w:p>
        </w:tc>
        <w:tc>
          <w:tcPr>
            <w:tcW w:w="292"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合计</w:t>
            </w:r>
          </w:p>
        </w:tc>
        <w:tc>
          <w:tcPr>
            <w:tcW w:w="292" w:type="pct"/>
            <w:vMerge w:val="restar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基本支出</w:t>
            </w:r>
          </w:p>
        </w:tc>
        <w:tc>
          <w:tcPr>
            <w:tcW w:w="292" w:type="pct"/>
            <w:vMerge w:val="restar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项目支出</w:t>
            </w:r>
          </w:p>
        </w:tc>
        <w:tc>
          <w:tcPr>
            <w:tcW w:w="292"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合计</w:t>
            </w:r>
          </w:p>
        </w:tc>
        <w:tc>
          <w:tcPr>
            <w:tcW w:w="292" w:type="pct"/>
            <w:vMerge w:val="restar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基本支出结转</w:t>
            </w:r>
          </w:p>
        </w:tc>
        <w:tc>
          <w:tcPr>
            <w:tcW w:w="588" w:type="pct"/>
            <w:gridSpan w:val="2"/>
            <w:vAlign w:val="center"/>
          </w:tcPr>
          <w:p>
            <w:pPr>
              <w:pStyle w:val="Normal0"/>
              <w:spacing w:before="0" w:after="0"/>
              <w:jc w:val="center"/>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项目支出结转和结余</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352" w:type="pct"/>
            <w:gridSpan w:val="3"/>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836"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项目支出结转</w:t>
            </w:r>
          </w:p>
        </w:tc>
        <w:tc>
          <w:tcPr>
            <w:tcW w:w="295"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项目支出结余</w:t>
            </w:r>
          </w:p>
        </w:tc>
      </w:tr>
      <w:tr>
        <w:tblPrEx>
          <w:tblW w:w="5000" w:type="pct"/>
          <w:jc w:val="center"/>
          <w:tblInd w:w="0" w:type="dxa"/>
          <w:tblLayout w:type="fixed"/>
          <w:tblCellMar>
            <w:top w:w="0" w:type="dxa"/>
            <w:left w:w="108" w:type="dxa"/>
            <w:bottom w:w="0" w:type="dxa"/>
            <w:right w:w="108" w:type="dxa"/>
          </w:tblCellMar>
        </w:tblPrEx>
        <w:trPr>
          <w:trHeight w:val="23"/>
          <w:tblHeader/>
          <w:jc w:val="center"/>
        </w:trPr>
        <w:tc>
          <w:tcPr>
            <w:tcW w:w="108"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类</w:t>
            </w:r>
          </w:p>
        </w:tc>
        <w:tc>
          <w:tcPr>
            <w:tcW w:w="122"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款</w:t>
            </w:r>
          </w:p>
        </w:tc>
        <w:tc>
          <w:tcPr>
            <w:tcW w:w="121" w:type="pct"/>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w:t>
            </w:r>
          </w:p>
        </w:tc>
        <w:tc>
          <w:tcPr>
            <w:tcW w:w="836" w:type="pc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栏次</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1</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2</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3</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4</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5</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6</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7</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8</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9</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10</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11</w:t>
            </w:r>
          </w:p>
        </w:tc>
        <w:tc>
          <w:tcPr>
            <w:tcW w:w="292"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12</w:t>
            </w:r>
          </w:p>
        </w:tc>
        <w:tc>
          <w:tcPr>
            <w:tcW w:w="295" w:type="pct"/>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13</w:t>
            </w: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108"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122"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121" w:type="pct"/>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836" w:type="pct"/>
            <w:vAlign w:val="center"/>
          </w:tcPr>
          <w:p>
            <w:pPr>
              <w:pStyle w:val="Normal0"/>
              <w:spacing w:before="0" w:after="0"/>
              <w:jc w:val="center"/>
              <w:rPr>
                <w:rFonts w:ascii="Times New Roman" w:eastAsia="宋体" w:hAnsi="Times New Roman" w:cs="宋体" w:hint="eastAsia"/>
                <w:b/>
                <w:bCs/>
                <w:sz w:val="20"/>
                <w:szCs w:val="20"/>
                <w:shd w:val="clear" w:color="auto" w:fill="auto"/>
                <w:vertAlign w:val="baseline"/>
                <w:lang w:val="en-US"/>
              </w:rPr>
            </w:pPr>
            <w:r>
              <w:rPr>
                <w:rFonts w:ascii="Times New Roman" w:eastAsia="宋体" w:hAnsi="Times New Roman" w:cs="宋体" w:hint="eastAsia"/>
                <w:b/>
                <w:bCs/>
                <w:sz w:val="20"/>
                <w:szCs w:val="20"/>
                <w:shd w:val="clear" w:color="auto" w:fill="auto"/>
                <w:vertAlign w:val="baseline"/>
                <w:lang w:val="en-US"/>
              </w:rPr>
              <w:t>合计</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p>
        </w:tc>
        <w:tc>
          <w:tcPr>
            <w:tcW w:w="295" w:type="pct"/>
            <w:tcMar>
              <w:left w:w="20" w:type="dxa"/>
              <w:right w:w="20" w:type="dxa"/>
            </w:tcMar>
            <w:vAlign w:val="center"/>
          </w:tcPr>
          <w:p>
            <w:pPr>
              <w:pStyle w:val="Normal0"/>
              <w:spacing w:before="0" w:after="0" w:line="240" w:lineRule="auto"/>
              <w:jc w:val="right"/>
              <w:rPr>
                <w:rFonts w:ascii="Times New Roman" w:eastAsia="宋体" w:hAnsi="Times New Roman" w:cs="宋体" w:hint="eastAsia"/>
                <w:b/>
                <w:bCs/>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352" w:type="pct"/>
            <w:gridSpan w:val="3"/>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229</w:t>
            </w:r>
          </w:p>
        </w:tc>
        <w:tc>
          <w:tcPr>
            <w:tcW w:w="836" w:type="pct"/>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其他支出</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5"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352" w:type="pct"/>
            <w:gridSpan w:val="3"/>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22960</w:t>
            </w:r>
          </w:p>
        </w:tc>
        <w:tc>
          <w:tcPr>
            <w:tcW w:w="836" w:type="pct"/>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彩票公益金安排的支出</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5"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r>
      <w:tr>
        <w:tblPrEx>
          <w:tblW w:w="5000" w:type="pct"/>
          <w:jc w:val="center"/>
          <w:tblInd w:w="0" w:type="dxa"/>
          <w:tblLayout w:type="fixed"/>
          <w:tblCellMar>
            <w:top w:w="0" w:type="dxa"/>
            <w:left w:w="108" w:type="dxa"/>
            <w:bottom w:w="0" w:type="dxa"/>
            <w:right w:w="108" w:type="dxa"/>
          </w:tblCellMar>
        </w:tblPrEx>
        <w:trPr>
          <w:trHeight w:val="23"/>
          <w:jc w:val="center"/>
        </w:trPr>
        <w:tc>
          <w:tcPr>
            <w:tcW w:w="352" w:type="pct"/>
            <w:gridSpan w:val="3"/>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2296099</w:t>
            </w:r>
          </w:p>
        </w:tc>
        <w:tc>
          <w:tcPr>
            <w:tcW w:w="836" w:type="pct"/>
            <w:tcMar>
              <w:left w:w="20" w:type="dxa"/>
              <w:right w:w="20" w:type="dxa"/>
            </w:tcMar>
            <w:vAlign w:val="center"/>
          </w:tcPr>
          <w:p>
            <w:pPr>
              <w:pStyle w:val="Normal0"/>
              <w:spacing w:before="0" w:after="0" w:line="240" w:lineRule="auto"/>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用于其他社会公益事业的彩票公益金支出</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r>
              <w:rPr>
                <w:rFonts w:ascii="Times New Roman" w:eastAsia="宋体" w:hAnsi="Times New Roman"/>
                <w:b w:val="0"/>
                <w:sz w:val="16"/>
              </w:rPr>
              <w:t>4.70</w:t>
            </w: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2"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c>
          <w:tcPr>
            <w:tcW w:w="295" w:type="pct"/>
            <w:tcMar>
              <w:left w:w="20" w:type="dxa"/>
              <w:right w:w="20" w:type="dxa"/>
            </w:tcMar>
            <w:vAlign w:val="center"/>
          </w:tcPr>
          <w:p>
            <w:pPr>
              <w:pStyle w:val="Normal0"/>
              <w:spacing w:before="0" w:after="0" w:line="240" w:lineRule="auto"/>
              <w:jc w:val="right"/>
              <w:rPr>
                <w:rFonts w:ascii="Times New Roman" w:eastAsia="宋体" w:hAnsi="Times New Roman" w:cs="宋体" w:hint="eastAsia"/>
                <w:sz w:val="20"/>
                <w:szCs w:val="20"/>
                <w:shd w:val="clear" w:color="auto" w:fill="auto"/>
                <w:vertAlign w:val="baseline"/>
              </w:rPr>
            </w:pPr>
          </w:p>
        </w:tc>
      </w:tr>
    </w:tbl>
    <w:p>
      <w:pPr>
        <w:pStyle w:val="Normal0"/>
        <w:rPr>
          <w:rFonts w:ascii="Times New Roman" w:eastAsia="宋体" w:hAnsi="Times New Roman" w:cs="宋体" w:hint="eastAsia"/>
          <w:sz w:val="20"/>
          <w:szCs w:val="20"/>
          <w:shd w:val="clear" w:color="auto" w:fill="auto"/>
        </w:rPr>
        <w:sectPr>
          <w:pgSz w:w="16838" w:h="11906" w:orient="landscape"/>
          <w:pgMar w:top="720" w:right="283" w:bottom="720" w:left="283" w:header="851" w:footer="992" w:gutter="0"/>
          <w:cols w:num="1" w:space="425"/>
          <w:docGrid w:type="lines" w:linePitch="312" w:charSpace="0"/>
        </w:sectPr>
      </w:pPr>
      <w:r>
        <w:rPr>
          <w:rFonts w:ascii="Times New Roman" w:eastAsia="宋体" w:hAnsi="Times New Roman" w:cs="宋体" w:hint="eastAsia"/>
          <w:sz w:val="20"/>
          <w:szCs w:val="20"/>
          <w:shd w:val="clear" w:color="auto" w:fill="auto"/>
        </w:rPr>
        <w:t>注：本表反映部门本年度政府性基金预算财政拨款收入、支出及结转和结余情况。</w:t>
      </w:r>
    </w:p>
    <w:tbl>
      <w:tblPr>
        <w:tblStyle w:val="TableGrid0"/>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25"/>
        <w:gridCol w:w="500"/>
        <w:gridCol w:w="480"/>
        <w:gridCol w:w="2940"/>
        <w:gridCol w:w="1320"/>
        <w:gridCol w:w="1340"/>
        <w:gridCol w:w="1417"/>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3"/>
          <w:tblHeader/>
          <w:jc w:val="center"/>
        </w:trPr>
        <w:tc>
          <w:tcPr>
            <w:tcW w:w="8522" w:type="dxa"/>
            <w:gridSpan w:val="7"/>
            <w:tcBorders>
              <w:top w:val="nil"/>
              <w:left w:val="nil"/>
              <w:bottom w:val="nil"/>
              <w:right w:val="nil"/>
            </w:tcBorders>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黑体" w:hAnsi="Times New Roman" w:cs="黑体" w:hint="eastAsia"/>
                <w:sz w:val="30"/>
                <w:szCs w:val="30"/>
                <w:shd w:val="clear" w:color="auto" w:fill="auto"/>
                <w:vertAlign w:val="baseline"/>
                <w:lang w:val="en-US"/>
              </w:rPr>
              <w:t>国有资本经营预算财政拨款支出决算表</w:t>
            </w:r>
          </w:p>
        </w:tc>
      </w:tr>
      <w:tr>
        <w:tblPrEx>
          <w:tblW w:w="0" w:type="auto"/>
          <w:jc w:val="center"/>
          <w:tblInd w:w="0" w:type="dxa"/>
          <w:tblCellMar>
            <w:top w:w="0" w:type="dxa"/>
            <w:left w:w="108" w:type="dxa"/>
            <w:bottom w:w="0" w:type="dxa"/>
            <w:right w:w="108" w:type="dxa"/>
          </w:tblCellMar>
        </w:tblPrEx>
        <w:trPr>
          <w:trHeight w:val="23"/>
          <w:tblHeader/>
          <w:jc w:val="center"/>
        </w:trPr>
        <w:tc>
          <w:tcPr>
            <w:tcW w:w="525" w:type="dxa"/>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500" w:type="dxa"/>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480" w:type="dxa"/>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2940" w:type="dxa"/>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1320" w:type="dxa"/>
            <w:tcBorders>
              <w:top w:val="nil"/>
              <w:left w:val="nil"/>
              <w:bottom w:val="nil"/>
              <w:right w:val="nil"/>
            </w:tcBorders>
          </w:tcPr>
          <w:p>
            <w:pPr>
              <w:pStyle w:val="Normal0"/>
              <w:spacing w:before="0" w:after="0"/>
              <w:rPr>
                <w:rFonts w:ascii="Times New Roman" w:eastAsia="宋体" w:hAnsi="Times New Roman" w:cs="宋体" w:hint="eastAsia"/>
                <w:sz w:val="20"/>
                <w:szCs w:val="20"/>
                <w:shd w:val="clear" w:color="auto" w:fill="auto"/>
                <w:vertAlign w:val="baseline"/>
              </w:rPr>
            </w:pPr>
          </w:p>
        </w:tc>
        <w:tc>
          <w:tcPr>
            <w:tcW w:w="1340" w:type="dxa"/>
            <w:tcBorders>
              <w:top w:val="nil"/>
              <w:left w:val="nil"/>
              <w:bottom w:val="nil"/>
              <w:right w:val="nil"/>
            </w:tcBorders>
            <w:vAlign w:val="center"/>
          </w:tcPr>
          <w:p>
            <w:pPr>
              <w:pStyle w:val="Normal0"/>
              <w:spacing w:before="0" w:after="0"/>
              <w:jc w:val="right"/>
              <w:rPr>
                <w:rFonts w:ascii="Times New Roman" w:eastAsia="宋体" w:hAnsi="Times New Roman" w:cs="宋体" w:hint="eastAsia"/>
                <w:sz w:val="20"/>
                <w:szCs w:val="20"/>
                <w:shd w:val="clear" w:color="auto" w:fill="auto"/>
                <w:vertAlign w:val="baseline"/>
              </w:rPr>
            </w:pPr>
          </w:p>
        </w:tc>
        <w:tc>
          <w:tcPr>
            <w:tcW w:w="1417" w:type="dxa"/>
            <w:tcBorders>
              <w:top w:val="nil"/>
              <w:left w:val="nil"/>
              <w:bottom w:val="nil"/>
              <w:right w:val="nil"/>
            </w:tcBorders>
            <w:vAlign w:val="center"/>
          </w:tcPr>
          <w:p>
            <w:pPr>
              <w:pStyle w:val="Normal0"/>
              <w:spacing w:before="0" w:after="0"/>
              <w:jc w:val="right"/>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公开</w:t>
            </w:r>
            <w:r>
              <w:rPr>
                <w:rFonts w:ascii="Times New Roman" w:eastAsia="宋体" w:hAnsi="Times New Roman" w:cs="宋体" w:hint="default"/>
                <w:sz w:val="20"/>
                <w:szCs w:val="20"/>
                <w:shd w:val="clear" w:color="auto" w:fill="auto"/>
                <w:vertAlign w:val="baseline"/>
              </w:rPr>
              <w:t>08</w:t>
            </w:r>
            <w:r>
              <w:rPr>
                <w:rFonts w:ascii="Times New Roman" w:eastAsia="宋体" w:hAnsi="Times New Roman" w:cs="宋体" w:hint="eastAsia"/>
                <w:sz w:val="20"/>
                <w:szCs w:val="20"/>
                <w:shd w:val="clear" w:color="auto" w:fill="auto"/>
                <w:vertAlign w:val="baseline"/>
                <w:lang w:val="en-US"/>
              </w:rPr>
              <w:t>表</w:t>
            </w:r>
          </w:p>
        </w:tc>
      </w:tr>
      <w:tr>
        <w:tblPrEx>
          <w:tblW w:w="0" w:type="auto"/>
          <w:jc w:val="center"/>
          <w:tblInd w:w="0" w:type="dxa"/>
          <w:tblCellMar>
            <w:top w:w="0" w:type="dxa"/>
            <w:left w:w="108" w:type="dxa"/>
            <w:bottom w:w="0" w:type="dxa"/>
            <w:right w:w="108" w:type="dxa"/>
          </w:tblCellMar>
        </w:tblPrEx>
        <w:trPr>
          <w:trHeight w:val="23"/>
          <w:tblHeader/>
          <w:jc w:val="center"/>
        </w:trPr>
        <w:tc>
          <w:tcPr>
            <w:tcW w:w="5765" w:type="dxa"/>
            <w:gridSpan w:val="5"/>
            <w:tcBorders>
              <w:top w:val="nil"/>
              <w:left w:val="nil"/>
              <w:bottom w:val="single" w:sz="4" w:space="0" w:color="auto"/>
              <w:right w:val="nil"/>
            </w:tcBorders>
          </w:tcPr>
          <w:p>
            <w:pPr>
              <w:pStyle w:val="Normal0"/>
              <w:spacing w:before="0" w:after="0"/>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rPr>
              <w:t>部门：铜陵市铜官区新城办事处</w:t>
            </w:r>
          </w:p>
        </w:tc>
        <w:tc>
          <w:tcPr>
            <w:tcW w:w="2757" w:type="dxa"/>
            <w:gridSpan w:val="2"/>
            <w:tcBorders>
              <w:top w:val="nil"/>
              <w:left w:val="nil"/>
              <w:bottom w:val="single" w:sz="4" w:space="0" w:color="auto"/>
              <w:right w:val="nil"/>
            </w:tcBorders>
            <w:vAlign w:val="center"/>
          </w:tcPr>
          <w:p>
            <w:pPr>
              <w:pStyle w:val="Normal0"/>
              <w:spacing w:before="0" w:after="0"/>
              <w:jc w:val="right"/>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金额单位</w:t>
            </w:r>
            <w:r>
              <w:rPr>
                <w:rFonts w:ascii="Times New Roman" w:eastAsia="宋体" w:hAnsi="Times New Roman" w:cs="宋体" w:hint="default"/>
                <w:sz w:val="20"/>
                <w:szCs w:val="20"/>
                <w:shd w:val="clear" w:color="auto" w:fill="auto"/>
                <w:vertAlign w:val="baseline"/>
              </w:rPr>
              <w:t>：</w:t>
            </w:r>
            <w:r>
              <w:rPr>
                <w:rFonts w:ascii="Times New Roman" w:eastAsia="宋体" w:hAnsi="Times New Roman" w:cs="宋体" w:hint="eastAsia"/>
                <w:sz w:val="20"/>
                <w:szCs w:val="20"/>
                <w:shd w:val="clear" w:color="auto" w:fill="auto"/>
                <w:vertAlign w:val="baseline"/>
                <w:lang w:val="en-US"/>
              </w:rPr>
              <w:t>万元</w:t>
            </w:r>
          </w:p>
        </w:tc>
      </w:tr>
      <w:tr>
        <w:tblPrEx>
          <w:tblW w:w="0" w:type="auto"/>
          <w:jc w:val="center"/>
          <w:tblInd w:w="0" w:type="dxa"/>
          <w:tblCellMar>
            <w:top w:w="0" w:type="dxa"/>
            <w:left w:w="108" w:type="dxa"/>
            <w:bottom w:w="0" w:type="dxa"/>
            <w:right w:w="108" w:type="dxa"/>
          </w:tblCellMar>
        </w:tblPrEx>
        <w:trPr>
          <w:trHeight w:val="23"/>
          <w:tblHeader/>
          <w:jc w:val="center"/>
        </w:trPr>
        <w:tc>
          <w:tcPr>
            <w:tcW w:w="1505" w:type="dxa"/>
            <w:gridSpan w:val="3"/>
            <w:vMerge w:val="restart"/>
            <w:tcBorders>
              <w:top w:val="single" w:sz="4" w:space="0" w:color="auto"/>
            </w:tcBorders>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科目代码</w:t>
            </w:r>
          </w:p>
        </w:tc>
        <w:tc>
          <w:tcPr>
            <w:tcW w:w="2940" w:type="dxa"/>
            <w:vMerge w:val="restart"/>
            <w:tcBorders>
              <w:top w:val="single" w:sz="4" w:space="0" w:color="auto"/>
            </w:tcBorders>
            <w:vAlign w:val="center"/>
          </w:tcPr>
          <w:p>
            <w:pPr>
              <w:pStyle w:val="Normal0"/>
              <w:spacing w:before="0" w:after="0"/>
              <w:jc w:val="center"/>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科目名称</w:t>
            </w:r>
          </w:p>
        </w:tc>
        <w:tc>
          <w:tcPr>
            <w:tcW w:w="4077" w:type="dxa"/>
            <w:gridSpan w:val="3"/>
            <w:tcBorders>
              <w:top w:val="single" w:sz="4" w:space="0" w:color="auto"/>
            </w:tcBorders>
            <w:vAlign w:val="center"/>
          </w:tcPr>
          <w:p>
            <w:pPr>
              <w:pStyle w:val="Normal0"/>
              <w:spacing w:before="0" w:after="0"/>
              <w:jc w:val="center"/>
              <w:rPr>
                <w:rFonts w:ascii="Times New Roman" w:eastAsia="宋体" w:hAnsi="Times New Roman" w:cs="宋体" w:hint="eastAsia"/>
                <w:sz w:val="20"/>
                <w:szCs w:val="20"/>
                <w:shd w:val="clear" w:color="auto" w:fill="auto"/>
                <w:vertAlign w:val="baseline"/>
              </w:rPr>
            </w:pPr>
            <w:r>
              <w:rPr>
                <w:rFonts w:ascii="Times New Roman" w:eastAsia="宋体" w:hAnsi="Times New Roman" w:cs="宋体" w:hint="eastAsia"/>
                <w:sz w:val="20"/>
                <w:szCs w:val="20"/>
                <w:shd w:val="clear" w:color="auto" w:fill="auto"/>
                <w:vertAlign w:val="baseline"/>
                <w:lang w:val="en-US"/>
              </w:rPr>
              <w:t>本年支出</w:t>
            </w:r>
          </w:p>
        </w:tc>
      </w:tr>
      <w:tr>
        <w:tblPrEx>
          <w:tblW w:w="0" w:type="auto"/>
          <w:jc w:val="center"/>
          <w:tblInd w:w="0" w:type="dxa"/>
          <w:tblCellMar>
            <w:top w:w="0" w:type="dxa"/>
            <w:left w:w="108" w:type="dxa"/>
            <w:bottom w:w="0" w:type="dxa"/>
            <w:right w:w="108" w:type="dxa"/>
          </w:tblCellMar>
        </w:tblPrEx>
        <w:trPr>
          <w:trHeight w:val="23"/>
          <w:tblHeader/>
          <w:jc w:val="center"/>
        </w:trPr>
        <w:tc>
          <w:tcPr>
            <w:tcW w:w="1505" w:type="dxa"/>
            <w:gridSpan w:val="3"/>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40" w:type="dxa"/>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1320" w:type="dxa"/>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合计</w:t>
            </w:r>
          </w:p>
        </w:tc>
        <w:tc>
          <w:tcPr>
            <w:tcW w:w="1340" w:type="dxa"/>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基本支出</w:t>
            </w:r>
          </w:p>
        </w:tc>
        <w:tc>
          <w:tcPr>
            <w:tcW w:w="1417" w:type="dxa"/>
            <w:vAlign w:val="center"/>
          </w:tcPr>
          <w:p>
            <w:pPr>
              <w:pStyle w:val="Normal0"/>
              <w:spacing w:before="0" w:after="0"/>
              <w:jc w:val="center"/>
              <w:rPr>
                <w:rFonts w:ascii="Times New Roman" w:eastAsia="宋体" w:hAnsi="Times New Roman" w:cs="宋体" w:hint="default"/>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项目支出</w:t>
            </w:r>
          </w:p>
        </w:tc>
      </w:tr>
      <w:tr>
        <w:tblPrEx>
          <w:tblW w:w="0" w:type="auto"/>
          <w:jc w:val="center"/>
          <w:tblInd w:w="0" w:type="dxa"/>
          <w:tblCellMar>
            <w:top w:w="0" w:type="dxa"/>
            <w:left w:w="108" w:type="dxa"/>
            <w:bottom w:w="0" w:type="dxa"/>
            <w:right w:w="108" w:type="dxa"/>
          </w:tblCellMar>
        </w:tblPrEx>
        <w:trPr>
          <w:trHeight w:val="23"/>
          <w:tblHeader/>
          <w:jc w:val="center"/>
        </w:trPr>
        <w:tc>
          <w:tcPr>
            <w:tcW w:w="525" w:type="dxa"/>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类</w:t>
            </w:r>
          </w:p>
        </w:tc>
        <w:tc>
          <w:tcPr>
            <w:tcW w:w="500" w:type="dxa"/>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款</w:t>
            </w:r>
          </w:p>
        </w:tc>
        <w:tc>
          <w:tcPr>
            <w:tcW w:w="480" w:type="dxa"/>
            <w:vMerge w:val="restart"/>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项</w:t>
            </w:r>
          </w:p>
        </w:tc>
        <w:tc>
          <w:tcPr>
            <w:tcW w:w="2940" w:type="dxa"/>
            <w:vAlign w:val="center"/>
          </w:tcPr>
          <w:p>
            <w:pPr>
              <w:pStyle w:val="Normal0"/>
              <w:spacing w:before="0" w:after="0"/>
              <w:jc w:val="center"/>
              <w:rPr>
                <w:rFonts w:ascii="Times New Roman" w:eastAsia="宋体" w:hAnsi="Times New Roman" w:cs="宋体" w:hint="eastAsia"/>
                <w:sz w:val="20"/>
                <w:szCs w:val="20"/>
                <w:shd w:val="clear" w:color="auto" w:fill="auto"/>
                <w:vertAlign w:val="baseline"/>
                <w:lang w:val="en-US"/>
              </w:rPr>
            </w:pPr>
            <w:r>
              <w:rPr>
                <w:rFonts w:ascii="Times New Roman" w:eastAsia="宋体" w:hAnsi="Times New Roman" w:cs="宋体" w:hint="eastAsia"/>
                <w:sz w:val="20"/>
                <w:szCs w:val="20"/>
                <w:shd w:val="clear" w:color="auto" w:fill="auto"/>
                <w:vertAlign w:val="baseline"/>
                <w:lang w:val="en-US"/>
              </w:rPr>
              <w:t>栏次</w:t>
            </w:r>
          </w:p>
        </w:tc>
        <w:tc>
          <w:tcPr>
            <w:tcW w:w="1320" w:type="dxa"/>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1</w:t>
            </w:r>
          </w:p>
        </w:tc>
        <w:tc>
          <w:tcPr>
            <w:tcW w:w="1340" w:type="dxa"/>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2</w:t>
            </w:r>
          </w:p>
        </w:tc>
        <w:tc>
          <w:tcPr>
            <w:tcW w:w="1417" w:type="dxa"/>
            <w:vAlign w:val="center"/>
          </w:tcPr>
          <w:p>
            <w:pPr>
              <w:pStyle w:val="Normal0"/>
              <w:spacing w:before="0" w:after="0"/>
              <w:jc w:val="center"/>
              <w:rPr>
                <w:rFonts w:ascii="Times New Roman" w:eastAsia="宋体" w:hAnsi="Times New Roman" w:cs="宋体" w:hint="default"/>
                <w:sz w:val="20"/>
                <w:szCs w:val="20"/>
                <w:shd w:val="clear" w:color="auto" w:fill="auto"/>
                <w:vertAlign w:val="baseline"/>
              </w:rPr>
            </w:pPr>
            <w:r>
              <w:rPr>
                <w:rFonts w:ascii="Times New Roman" w:eastAsia="宋体" w:hAnsi="Times New Roman" w:cs="宋体" w:hint="default"/>
                <w:sz w:val="20"/>
                <w:szCs w:val="20"/>
                <w:shd w:val="clear" w:color="auto" w:fill="auto"/>
                <w:vertAlign w:val="baseline"/>
              </w:rPr>
              <w:t>3</w:t>
            </w:r>
          </w:p>
        </w:tc>
      </w:tr>
      <w:tr>
        <w:tblPrEx>
          <w:tblW w:w="0" w:type="auto"/>
          <w:jc w:val="center"/>
          <w:tblInd w:w="0" w:type="dxa"/>
          <w:tblCellMar>
            <w:top w:w="0" w:type="dxa"/>
            <w:left w:w="108" w:type="dxa"/>
            <w:bottom w:w="0" w:type="dxa"/>
            <w:right w:w="108" w:type="dxa"/>
          </w:tblCellMar>
        </w:tblPrEx>
        <w:trPr>
          <w:trHeight w:val="23"/>
          <w:jc w:val="center"/>
        </w:trPr>
        <w:tc>
          <w:tcPr>
            <w:tcW w:w="525" w:type="dxa"/>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500" w:type="dxa"/>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480" w:type="dxa"/>
            <w:vMerge/>
            <w:vAlign w:val="center"/>
          </w:tcPr>
          <w:p>
            <w:pPr>
              <w:pStyle w:val="Normal0"/>
              <w:jc w:val="center"/>
              <w:rPr>
                <w:rFonts w:ascii="Times New Roman" w:eastAsia="宋体" w:hAnsi="Times New Roman" w:cs="宋体" w:hint="eastAsia"/>
                <w:sz w:val="20"/>
                <w:szCs w:val="20"/>
                <w:shd w:val="clear" w:color="auto" w:fill="auto"/>
                <w:vertAlign w:val="baseline"/>
              </w:rPr>
            </w:pPr>
          </w:p>
        </w:tc>
        <w:tc>
          <w:tcPr>
            <w:tcW w:w="2940" w:type="dxa"/>
            <w:vAlign w:val="center"/>
          </w:tcPr>
          <w:p>
            <w:pPr>
              <w:pStyle w:val="Normal0"/>
              <w:spacing w:before="0" w:after="0"/>
              <w:jc w:val="center"/>
              <w:rPr>
                <w:rFonts w:ascii="Times New Roman" w:eastAsia="宋体" w:hAnsi="Times New Roman" w:cs="宋体" w:hint="eastAsia"/>
                <w:b/>
                <w:bCs/>
                <w:sz w:val="20"/>
                <w:szCs w:val="20"/>
                <w:shd w:val="clear" w:color="auto" w:fill="auto"/>
                <w:vertAlign w:val="baseline"/>
                <w:lang w:val="en-US"/>
              </w:rPr>
            </w:pPr>
            <w:r>
              <w:rPr>
                <w:rFonts w:ascii="Times New Roman" w:eastAsia="宋体" w:hAnsi="Times New Roman" w:cs="宋体" w:hint="eastAsia"/>
                <w:b/>
                <w:bCs/>
                <w:sz w:val="20"/>
                <w:szCs w:val="20"/>
                <w:shd w:val="clear" w:color="auto" w:fill="auto"/>
                <w:vertAlign w:val="baseline"/>
                <w:lang w:val="en-US"/>
              </w:rPr>
              <w:t>合计</w:t>
            </w:r>
          </w:p>
        </w:tc>
        <w:tc>
          <w:tcPr>
            <w:tcW w:w="1320" w:type="dxa"/>
            <w:vAlign w:val="center"/>
          </w:tcPr>
          <w:p>
            <w:pPr>
              <w:pStyle w:val="Normal0"/>
              <w:spacing w:before="0" w:after="0"/>
              <w:jc w:val="center"/>
              <w:rPr>
                <w:rFonts w:ascii="Times New Roman" w:eastAsia="宋体" w:hAnsi="Times New Roman" w:cs="宋体" w:hint="eastAsia"/>
                <w:b/>
                <w:bCs/>
                <w:sz w:val="20"/>
                <w:szCs w:val="20"/>
                <w:shd w:val="clear" w:color="auto" w:fill="auto"/>
                <w:vertAlign w:val="baseline"/>
              </w:rPr>
            </w:pPr>
          </w:p>
        </w:tc>
        <w:tc>
          <w:tcPr>
            <w:tcW w:w="1340" w:type="dxa"/>
            <w:vAlign w:val="center"/>
          </w:tcPr>
          <w:p>
            <w:pPr>
              <w:pStyle w:val="Normal0"/>
              <w:spacing w:before="0" w:after="0"/>
              <w:jc w:val="center"/>
              <w:rPr>
                <w:rFonts w:ascii="Times New Roman" w:eastAsia="宋体" w:hAnsi="Times New Roman" w:cs="宋体" w:hint="eastAsia"/>
                <w:b/>
                <w:bCs/>
                <w:sz w:val="20"/>
                <w:szCs w:val="20"/>
                <w:shd w:val="clear" w:color="auto" w:fill="auto"/>
                <w:vertAlign w:val="baseline"/>
              </w:rPr>
            </w:pPr>
          </w:p>
        </w:tc>
        <w:tc>
          <w:tcPr>
            <w:tcW w:w="1417" w:type="dxa"/>
            <w:vAlign w:val="center"/>
          </w:tcPr>
          <w:p>
            <w:pPr>
              <w:pStyle w:val="Normal0"/>
              <w:spacing w:before="0" w:after="0"/>
              <w:jc w:val="center"/>
              <w:rPr>
                <w:rFonts w:ascii="Times New Roman" w:eastAsia="宋体" w:hAnsi="Times New Roman" w:cs="宋体" w:hint="eastAsia"/>
                <w:b/>
                <w:bCs/>
                <w:sz w:val="20"/>
                <w:szCs w:val="20"/>
                <w:shd w:val="clear" w:color="auto" w:fill="auto"/>
                <w:vertAlign w:val="baseline"/>
              </w:rPr>
            </w:pPr>
          </w:p>
        </w:tc>
      </w:tr>
      <w:tr>
        <w:tblPrEx>
          <w:tblW w:w="0" w:type="auto"/>
          <w:jc w:val="center"/>
          <w:tblInd w:w="0" w:type="dxa"/>
          <w:tblCellMar>
            <w:top w:w="0" w:type="dxa"/>
            <w:left w:w="108" w:type="dxa"/>
            <w:bottom w:w="0" w:type="dxa"/>
            <w:right w:w="108" w:type="dxa"/>
          </w:tblCellMar>
        </w:tblPrEx>
        <w:trPr>
          <w:trHeight w:val="23"/>
          <w:jc w:val="center"/>
        </w:trPr>
        <w:tc>
          <w:tcPr>
            <w:tcW w:w="1505" w:type="dxa"/>
            <w:gridSpan w:val="3"/>
          </w:tcPr>
          <w:p>
            <w:pPr>
              <w:pStyle w:val="Normal0"/>
              <w:spacing w:before="0" w:after="0"/>
              <w:rPr>
                <w:rFonts w:ascii="Times New Roman" w:eastAsia="宋体" w:hAnsi="Times New Roman" w:cs="宋体" w:hint="eastAsia"/>
                <w:sz w:val="20"/>
                <w:szCs w:val="20"/>
                <w:shd w:val="clear" w:color="auto" w:fill="auto"/>
                <w:vertAlign w:val="baseline"/>
              </w:rPr>
            </w:pPr>
          </w:p>
        </w:tc>
        <w:tc>
          <w:tcPr>
            <w:tcW w:w="2940" w:type="dxa"/>
            <w:vAlign w:val="center"/>
          </w:tcPr>
          <w:p>
            <w:pPr>
              <w:pStyle w:val="Normal0"/>
              <w:spacing w:before="0" w:after="0"/>
              <w:jc w:val="both"/>
              <w:rPr>
                <w:rFonts w:ascii="Times New Roman" w:eastAsia="宋体" w:hAnsi="Times New Roman" w:cs="宋体" w:hint="eastAsia"/>
                <w:sz w:val="20"/>
                <w:szCs w:val="20"/>
                <w:shd w:val="clear" w:color="auto" w:fill="auto"/>
                <w:vertAlign w:val="baseline"/>
              </w:rPr>
            </w:pPr>
          </w:p>
        </w:tc>
        <w:tc>
          <w:tcPr>
            <w:tcW w:w="1320" w:type="dxa"/>
          </w:tcPr>
          <w:p>
            <w:pPr>
              <w:pStyle w:val="Normal0"/>
              <w:spacing w:before="0" w:after="0"/>
              <w:rPr>
                <w:rFonts w:ascii="Times New Roman" w:eastAsia="宋体" w:hAnsi="Times New Roman" w:cs="宋体" w:hint="eastAsia"/>
                <w:sz w:val="20"/>
                <w:szCs w:val="20"/>
                <w:shd w:val="clear" w:color="auto" w:fill="auto"/>
                <w:vertAlign w:val="baseline"/>
              </w:rPr>
            </w:pPr>
          </w:p>
        </w:tc>
        <w:tc>
          <w:tcPr>
            <w:tcW w:w="1340" w:type="dxa"/>
          </w:tcPr>
          <w:p>
            <w:pPr>
              <w:pStyle w:val="Normal0"/>
              <w:spacing w:before="0" w:after="0"/>
              <w:rPr>
                <w:rFonts w:ascii="Times New Roman" w:eastAsia="宋体" w:hAnsi="Times New Roman" w:cs="宋体" w:hint="eastAsia"/>
                <w:sz w:val="20"/>
                <w:szCs w:val="20"/>
                <w:shd w:val="clear" w:color="auto" w:fill="auto"/>
                <w:vertAlign w:val="baseline"/>
              </w:rPr>
            </w:pPr>
          </w:p>
        </w:tc>
        <w:tc>
          <w:tcPr>
            <w:tcW w:w="1417" w:type="dxa"/>
          </w:tcPr>
          <w:p>
            <w:pPr>
              <w:pStyle w:val="Normal0"/>
              <w:spacing w:before="0" w:after="0"/>
              <w:rPr>
                <w:rFonts w:ascii="Times New Roman" w:eastAsia="宋体" w:hAnsi="Times New Roman" w:cs="宋体" w:hint="eastAsia"/>
                <w:sz w:val="20"/>
                <w:szCs w:val="20"/>
                <w:shd w:val="clear" w:color="auto" w:fill="auto"/>
                <w:vertAlign w:val="baseline"/>
              </w:rPr>
            </w:pPr>
          </w:p>
        </w:tc>
      </w:tr>
      <w:tr>
        <w:tblPrEx>
          <w:tblW w:w="0" w:type="auto"/>
          <w:jc w:val="center"/>
          <w:tblInd w:w="0" w:type="dxa"/>
          <w:tblCellMar>
            <w:top w:w="0" w:type="dxa"/>
            <w:left w:w="108" w:type="dxa"/>
            <w:bottom w:w="0" w:type="dxa"/>
            <w:right w:w="108" w:type="dxa"/>
          </w:tblCellMar>
        </w:tblPrEx>
        <w:trPr>
          <w:trHeight w:val="23"/>
          <w:jc w:val="center"/>
        </w:trPr>
        <w:tc>
          <w:tcPr>
            <w:tcW w:w="1505" w:type="dxa"/>
            <w:gridSpan w:val="3"/>
          </w:tcPr>
          <w:p>
            <w:pPr>
              <w:pStyle w:val="Normal0"/>
              <w:spacing w:before="0" w:after="0"/>
              <w:rPr>
                <w:rFonts w:ascii="Times New Roman" w:eastAsia="宋体" w:hAnsi="Times New Roman" w:cs="宋体" w:hint="eastAsia"/>
                <w:sz w:val="20"/>
                <w:szCs w:val="20"/>
                <w:shd w:val="clear" w:color="auto" w:fill="auto"/>
                <w:vertAlign w:val="baseline"/>
              </w:rPr>
            </w:pPr>
          </w:p>
        </w:tc>
        <w:tc>
          <w:tcPr>
            <w:tcW w:w="2940" w:type="dxa"/>
            <w:vAlign w:val="center"/>
          </w:tcPr>
          <w:p>
            <w:pPr>
              <w:pStyle w:val="Normal0"/>
              <w:spacing w:before="0" w:after="0"/>
              <w:jc w:val="both"/>
              <w:rPr>
                <w:rFonts w:ascii="Times New Roman" w:eastAsia="宋体" w:hAnsi="Times New Roman" w:cs="宋体" w:hint="eastAsia"/>
                <w:sz w:val="20"/>
                <w:szCs w:val="20"/>
                <w:shd w:val="clear" w:color="auto" w:fill="auto"/>
                <w:vertAlign w:val="baseline"/>
              </w:rPr>
            </w:pPr>
          </w:p>
        </w:tc>
        <w:tc>
          <w:tcPr>
            <w:tcW w:w="1320" w:type="dxa"/>
          </w:tcPr>
          <w:p>
            <w:pPr>
              <w:pStyle w:val="Normal0"/>
              <w:spacing w:before="0" w:after="0"/>
              <w:rPr>
                <w:rFonts w:ascii="Times New Roman" w:eastAsia="宋体" w:hAnsi="Times New Roman" w:cs="宋体" w:hint="eastAsia"/>
                <w:sz w:val="20"/>
                <w:szCs w:val="20"/>
                <w:shd w:val="clear" w:color="auto" w:fill="auto"/>
                <w:vertAlign w:val="baseline"/>
              </w:rPr>
            </w:pPr>
          </w:p>
        </w:tc>
        <w:tc>
          <w:tcPr>
            <w:tcW w:w="1340" w:type="dxa"/>
          </w:tcPr>
          <w:p>
            <w:pPr>
              <w:pStyle w:val="Normal0"/>
              <w:spacing w:before="0" w:after="0"/>
              <w:rPr>
                <w:rFonts w:ascii="Times New Roman" w:eastAsia="宋体" w:hAnsi="Times New Roman" w:cs="宋体" w:hint="eastAsia"/>
                <w:sz w:val="20"/>
                <w:szCs w:val="20"/>
                <w:shd w:val="clear" w:color="auto" w:fill="auto"/>
                <w:vertAlign w:val="baseline"/>
              </w:rPr>
            </w:pPr>
          </w:p>
        </w:tc>
        <w:tc>
          <w:tcPr>
            <w:tcW w:w="1417" w:type="dxa"/>
          </w:tcPr>
          <w:p>
            <w:pPr>
              <w:pStyle w:val="Normal0"/>
              <w:spacing w:before="0" w:after="0"/>
              <w:rPr>
                <w:rFonts w:ascii="Times New Roman" w:eastAsia="宋体" w:hAnsi="Times New Roman" w:cs="宋体" w:hint="eastAsia"/>
                <w:sz w:val="20"/>
                <w:szCs w:val="20"/>
                <w:shd w:val="clear" w:color="auto" w:fill="auto"/>
                <w:vertAlign w:val="baseline"/>
              </w:rPr>
            </w:pPr>
          </w:p>
        </w:tc>
      </w:tr>
    </w:tbl>
    <w:p>
      <w:pPr>
        <w:pStyle w:val="Normal0"/>
        <w:rPr>
          <w:rFonts w:ascii="Times New Roman" w:eastAsia="宋体" w:hAnsi="Times New Roman" w:cs="宋体" w:hint="eastAsia"/>
          <w:sz w:val="20"/>
          <w:szCs w:val="20"/>
          <w:shd w:val="clear" w:color="auto" w:fill="auto"/>
        </w:rPr>
      </w:pPr>
      <w:r>
        <w:rPr>
          <w:rFonts w:ascii="Times New Roman" w:eastAsia="宋体" w:hAnsi="Times New Roman" w:cs="宋体" w:hint="eastAsia"/>
          <w:sz w:val="20"/>
          <w:szCs w:val="20"/>
          <w:shd w:val="clear" w:color="auto" w:fill="auto"/>
        </w:rPr>
        <w:t>注：本表反映部门本年度国有资本经营预算财政拨款支出情况。</w:t>
      </w:r>
    </w:p>
    <w:p>
      <w:pPr>
        <w:pStyle w:val="Normal0"/>
        <w:rPr>
          <w:rFonts w:ascii="Times New Roman" w:eastAsia="宋体" w:hAnsi="Times New Roman" w:cs="宋体" w:hint="eastAsia"/>
          <w:sz w:val="20"/>
          <w:szCs w:val="20"/>
          <w:shd w:val="clear" w:color="auto" w:fill="auto"/>
        </w:rPr>
        <w:sectPr>
          <w:pgSz w:w="11906" w:h="16838"/>
          <w:pgMar w:top="1440" w:right="1800" w:bottom="1440" w:left="1800" w:header="851" w:footer="992" w:gutter="0"/>
          <w:cols w:num="1" w:space="425"/>
          <w:docGrid w:type="lines" w:linePitch="312" w:charSpace="0"/>
        </w:sectPr>
      </w:pPr>
      <w:r>
        <w:rPr>
          <w:rFonts w:ascii="Times New Roman" w:eastAsia="宋体" w:hAnsi="Times New Roman" w:cs="宋体" w:hint="eastAsia"/>
          <w:sz w:val="20"/>
          <w:szCs w:val="20"/>
          <w:shd w:val="clear" w:color="auto" w:fill="auto"/>
        </w:rPr>
        <w:t>说明：铜陵市铜官区新城办事处没有国有资本经营预算财政拨款安排的支出，故本表无数据。</w:t>
      </w:r>
    </w:p>
    <w:p>
      <w:pPr>
        <w:keepNext w:val="0"/>
        <w:keepLines w:val="0"/>
        <w:pageBreakBefore/>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rPr>
      </w:pPr>
      <w:r>
        <w:rPr>
          <w:rFonts w:ascii="Times New Roman" w:eastAsia="黑体" w:hAnsi="Times New Roman" w:cs="黑体" w:hint="eastAsia"/>
          <w:sz w:val="32"/>
          <w:szCs w:val="32"/>
        </w:rPr>
        <w:t xml:space="preserve">第三部分 </w:t>
      </w:r>
      <w:r>
        <w:rPr>
          <w:rFonts w:ascii="Times New Roman" w:eastAsia="黑体" w:hAnsi="Times New Roman" w:cs="黑体" w:hint="default"/>
          <w:sz w:val="32"/>
          <w:szCs w:val="32"/>
        </w:rPr>
        <w:t>铜陵市铜官区新城办事处2024</w:t>
      </w:r>
      <w:r>
        <w:rPr>
          <w:rFonts w:ascii="Times New Roman" w:eastAsia="黑体" w:hAnsi="Times New Roman" w:cs="黑体" w:hint="eastAsia"/>
          <w:sz w:val="32"/>
          <w:szCs w:val="32"/>
        </w:rPr>
        <w:t>年度部门决算情况说明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lang w:val="en-US"/>
        </w:rPr>
      </w:pPr>
      <w:r>
        <w:rPr>
          <w:rFonts w:ascii="Times New Roman" w:eastAsia="黑体" w:hAnsi="Times New Roman" w:cs="黑体" w:hint="eastAsia"/>
          <w:sz w:val="32"/>
          <w:szCs w:val="32"/>
          <w:lang w:val="en-US"/>
        </w:rPr>
        <w:t>一</w:t>
      </w:r>
      <w:r>
        <w:rPr>
          <w:rFonts w:ascii="Times New Roman" w:eastAsia="黑体" w:hAnsi="Times New Roman" w:cs="黑体" w:hint="default"/>
          <w:sz w:val="32"/>
          <w:szCs w:val="32"/>
        </w:rPr>
        <w:t>、</w:t>
      </w:r>
      <w:r>
        <w:rPr>
          <w:rFonts w:ascii="Times New Roman" w:eastAsia="黑体" w:hAnsi="Times New Roman" w:cs="黑体" w:hint="eastAsia"/>
          <w:sz w:val="32"/>
          <w:szCs w:val="32"/>
          <w:lang w:val="en-US"/>
        </w:rPr>
        <w:t>收入支出决算总体情况说明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2024</w:t>
      </w:r>
      <w:r>
        <w:rPr>
          <w:rFonts w:ascii="Times New Roman" w:eastAsia="仿宋" w:hAnsi="Times New Roman" w:cs="仿宋" w:hint="eastAsia"/>
          <w:sz w:val="32"/>
          <w:szCs w:val="32"/>
          <w:lang w:val="en-US"/>
        </w:rPr>
        <w:t>年度收入总计</w:t>
      </w:r>
      <w:r>
        <w:rPr>
          <w:rFonts w:ascii="Times New Roman" w:eastAsia="仿宋" w:hAnsi="Times New Roman" w:cs="仿宋" w:hint="default"/>
          <w:sz w:val="32"/>
          <w:szCs w:val="32"/>
        </w:rPr>
        <w:t>13502.37</w:t>
      </w:r>
      <w:r>
        <w:rPr>
          <w:rFonts w:ascii="Times New Roman" w:eastAsia="仿宋" w:hAnsi="Times New Roman" w:cs="仿宋" w:hint="eastAsia"/>
          <w:sz w:val="32"/>
          <w:szCs w:val="32"/>
          <w:lang w:val="en-US"/>
        </w:rPr>
        <w:t>万元（含使用非财政拨款结余、年初结转和结余）、支出总计</w:t>
      </w:r>
      <w:r>
        <w:rPr>
          <w:rFonts w:ascii="Times New Roman" w:eastAsia="仿宋" w:hAnsi="Times New Roman" w:cs="仿宋" w:hint="default"/>
          <w:sz w:val="32"/>
          <w:szCs w:val="32"/>
        </w:rPr>
        <w:t>13502.37</w:t>
      </w:r>
      <w:r>
        <w:rPr>
          <w:rFonts w:ascii="Times New Roman" w:eastAsia="仿宋" w:hAnsi="Times New Roman" w:cs="仿宋" w:hint="eastAsia"/>
          <w:sz w:val="32"/>
          <w:szCs w:val="32"/>
          <w:lang w:val="en-US"/>
        </w:rPr>
        <w:t>万元（含结余分配、年末结转和结余）。</w:t>
      </w:r>
      <w:r>
        <w:rPr>
          <w:rFonts w:ascii="Times New Roman" w:eastAsia="仿宋" w:hAnsi="Times New Roman" w:cs="仿宋" w:hint="default"/>
          <w:sz w:val="32"/>
          <w:szCs w:val="32"/>
        </w:rPr>
        <w:t>与2023年相比，收、支总计各增加397.71万元，增长3.03%，主要原因：资金追加。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lang w:val="en-US"/>
        </w:rPr>
      </w:pPr>
      <w:r>
        <w:rPr>
          <w:rFonts w:ascii="Times New Roman" w:eastAsia="黑体" w:hAnsi="Times New Roman" w:cs="黑体" w:hint="eastAsia"/>
          <w:sz w:val="32"/>
          <w:szCs w:val="32"/>
          <w:lang w:val="en-US"/>
        </w:rPr>
        <w:t>二</w:t>
      </w:r>
      <w:r>
        <w:rPr>
          <w:rFonts w:ascii="Times New Roman" w:eastAsia="黑体" w:hAnsi="Times New Roman" w:cs="黑体" w:hint="eastAsia"/>
          <w:sz w:val="32"/>
          <w:szCs w:val="32"/>
        </w:rPr>
        <w:t>、</w:t>
      </w:r>
      <w:r>
        <w:rPr>
          <w:rFonts w:ascii="Times New Roman" w:eastAsia="黑体" w:hAnsi="Times New Roman" w:cs="黑体" w:hint="eastAsia"/>
          <w:sz w:val="32"/>
          <w:szCs w:val="32"/>
          <w:lang w:val="en-US"/>
        </w:rPr>
        <w:t>收入决算情况说明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_GB2312" w:hAnsi="Times New Roman" w:cs="仿宋_GB2312" w:hint="default"/>
          <w:sz w:val="32"/>
          <w:szCs w:val="32"/>
          <w:lang w:val="en-US"/>
        </w:rPr>
      </w:pPr>
      <w:r>
        <w:rPr>
          <w:rFonts w:ascii="Times New Roman" w:eastAsia="仿宋" w:hAnsi="Times New Roman" w:cs="仿宋" w:hint="default"/>
          <w:sz w:val="32"/>
          <w:szCs w:val="32"/>
          <w:lang w:val="en-US"/>
        </w:rPr>
        <w:t>2024年度收入合计12985.89万元，其中：财政拨款收入10263.14万元，占79.03%；事业收入0万元，占0%；经营收入0万元，占0%；其他收入2722.76万元，占20.97%。</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lang w:val="en-US"/>
        </w:rPr>
      </w:pPr>
      <w:r>
        <w:rPr>
          <w:rFonts w:ascii="Times New Roman" w:eastAsia="黑体" w:hAnsi="Times New Roman" w:cs="黑体" w:hint="eastAsia"/>
          <w:sz w:val="32"/>
          <w:szCs w:val="32"/>
          <w:lang w:val="en-US"/>
        </w:rPr>
        <w:t>三</w:t>
      </w:r>
      <w:r>
        <w:rPr>
          <w:rFonts w:ascii="Times New Roman" w:eastAsia="黑体" w:hAnsi="Times New Roman" w:cs="黑体" w:hint="eastAsia"/>
          <w:sz w:val="32"/>
          <w:szCs w:val="32"/>
        </w:rPr>
        <w:t>、</w:t>
      </w:r>
      <w:r>
        <w:rPr>
          <w:rFonts w:ascii="Times New Roman" w:eastAsia="黑体" w:hAnsi="Times New Roman" w:cs="黑体" w:hint="eastAsia"/>
          <w:sz w:val="32"/>
          <w:szCs w:val="32"/>
          <w:lang w:val="en-US"/>
        </w:rPr>
        <w:t>支出决算情况说明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_GB2312" w:hAnsi="Times New Roman" w:cs="仿宋_GB2312" w:hint="default"/>
          <w:sz w:val="32"/>
          <w:szCs w:val="32"/>
          <w:lang w:val="en-US"/>
        </w:rPr>
      </w:pPr>
      <w:r>
        <w:rPr>
          <w:rFonts w:ascii="Times New Roman" w:eastAsia="仿宋" w:hAnsi="Times New Roman" w:cs="仿宋" w:hint="default"/>
          <w:sz w:val="32"/>
          <w:szCs w:val="32"/>
          <w:lang w:val="en-US"/>
        </w:rPr>
        <w:t>2024年度支出合计12718.38万元，其中：基本支出2777.96万元，占21.84%；项目支出9940.42万元，占78.16%；经营支出0万元，占0%。</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lang w:val="en-US"/>
        </w:rPr>
      </w:pPr>
      <w:r>
        <w:rPr>
          <w:rFonts w:ascii="Times New Roman" w:eastAsia="黑体" w:hAnsi="Times New Roman" w:cs="黑体" w:hint="eastAsia"/>
          <w:sz w:val="32"/>
          <w:szCs w:val="32"/>
          <w:lang w:val="en-US"/>
        </w:rPr>
        <w:t>四、财政拨款收入支出决算总体情况说明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_GB2312" w:hAnsi="Times New Roman" w:cs="仿宋_GB2312" w:hint="default"/>
          <w:sz w:val="32"/>
          <w:szCs w:val="32"/>
        </w:rPr>
      </w:pPr>
      <w:r>
        <w:rPr>
          <w:rFonts w:ascii="Times New Roman" w:eastAsia="仿宋" w:hAnsi="Times New Roman" w:cs="仿宋" w:hint="default"/>
          <w:sz w:val="32"/>
          <w:szCs w:val="32"/>
        </w:rPr>
        <w:t>2024</w:t>
      </w:r>
      <w:r>
        <w:rPr>
          <w:rFonts w:ascii="Times New Roman" w:eastAsia="仿宋" w:hAnsi="Times New Roman" w:cs="仿宋" w:hint="default"/>
          <w:sz w:val="32"/>
          <w:szCs w:val="32"/>
          <w:lang w:val="en-US"/>
        </w:rPr>
        <w:t>年度财政拨款收入总计</w:t>
      </w:r>
      <w:r>
        <w:rPr>
          <w:rFonts w:ascii="Times New Roman" w:eastAsia="仿宋" w:hAnsi="Times New Roman" w:cs="仿宋" w:hint="default"/>
          <w:sz w:val="32"/>
          <w:szCs w:val="32"/>
        </w:rPr>
        <w:t>10263.14</w:t>
      </w:r>
      <w:r>
        <w:rPr>
          <w:rFonts w:ascii="Times New Roman" w:eastAsia="仿宋" w:hAnsi="Times New Roman" w:cs="仿宋" w:hint="default"/>
          <w:sz w:val="32"/>
          <w:szCs w:val="32"/>
          <w:lang w:val="en-US"/>
        </w:rPr>
        <w:t>万元（含年初财政拨款结转和结余），支出总计</w:t>
      </w:r>
      <w:r>
        <w:rPr>
          <w:rFonts w:ascii="Times New Roman" w:eastAsia="仿宋" w:hAnsi="Times New Roman" w:cs="仿宋" w:hint="default"/>
          <w:sz w:val="32"/>
          <w:szCs w:val="32"/>
        </w:rPr>
        <w:t>10263.14</w:t>
      </w:r>
      <w:r>
        <w:rPr>
          <w:rFonts w:ascii="Times New Roman" w:eastAsia="仿宋" w:hAnsi="Times New Roman" w:cs="仿宋" w:hint="default"/>
          <w:sz w:val="32"/>
          <w:szCs w:val="32"/>
          <w:lang w:val="en-US"/>
        </w:rPr>
        <w:t>万元（含年末财政拨款结转和结余）。</w:t>
      </w:r>
      <w:r>
        <w:rPr>
          <w:rFonts w:ascii="Times New Roman" w:eastAsia="仿宋" w:hAnsi="Times New Roman" w:cs="仿宋" w:hint="default"/>
          <w:sz w:val="32"/>
          <w:szCs w:val="32"/>
        </w:rPr>
        <w:t>与2023年相比，财政拨款收、支总计各减少116.37万元，下降1.12%。主要原因：厉行节约。</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lang w:val="en-US"/>
        </w:rPr>
      </w:pPr>
      <w:r>
        <w:rPr>
          <w:rFonts w:ascii="Times New Roman" w:eastAsia="黑体" w:hAnsi="Times New Roman" w:cs="黑体" w:hint="eastAsia"/>
          <w:sz w:val="32"/>
          <w:szCs w:val="32"/>
          <w:lang w:val="en-US"/>
        </w:rPr>
        <w:t>五、一般公共预算财政拨款支出决算情况说明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b/>
          <w:bCs/>
          <w:sz w:val="32"/>
          <w:szCs w:val="32"/>
        </w:rPr>
      </w:pPr>
      <w:r>
        <w:rPr>
          <w:rFonts w:ascii="Times New Roman" w:eastAsia="仿宋" w:hAnsi="Times New Roman" w:cs="仿宋" w:hint="default"/>
          <w:b/>
          <w:bCs/>
          <w:sz w:val="32"/>
          <w:szCs w:val="32"/>
          <w:lang w:val="en-US"/>
        </w:rPr>
        <w:t>（一）一般公共预算财政拨款支出决算总体情况</w:t>
      </w:r>
      <w:r>
        <w:rPr>
          <w:rFonts w:ascii="Times New Roman" w:eastAsia="仿宋" w:hAnsi="Times New Roman" w:cs="仿宋" w:hint="default"/>
          <w:b/>
          <w:bCs/>
          <w:sz w:val="32"/>
          <w:szCs w:val="32"/>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2024年度一般公共预算财政拨款支出10258.44万元，占本年支出的80.66%。与2023年相比，一般公共预算财政拨款支出减少99.93万元，下降0.96%。主要原因：项目资金未达到序时进度。</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b/>
          <w:bCs/>
          <w:sz w:val="32"/>
          <w:szCs w:val="32"/>
        </w:rPr>
      </w:pPr>
      <w:r>
        <w:rPr>
          <w:rFonts w:ascii="Times New Roman" w:eastAsia="仿宋" w:hAnsi="Times New Roman" w:cs="仿宋" w:hint="default"/>
          <w:b/>
          <w:bCs/>
          <w:sz w:val="32"/>
          <w:szCs w:val="32"/>
        </w:rPr>
        <w:t>（二）一般公共预算财政拨款支出决算结构情况。</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2024年度一般公共预算财政拨款支出10258.44万元，主要用于以下方面：一般公共服务支出（类）26.17万元，占0.26%；公共安全支出（类）2.26万元，占0.02%；社会保障和就业支出（类）175.04万元，占1.71%；卫生健康支出（类）43.27万元，占0.42%；城乡社区支出（类）3724.12万元，占36.3%；农林水支出（类）60.7万元，占0.59%；资源勘探工业信息等支出（类）250万元，占2.44%；商业服务业等支出（类）5702.64万元，占55.59%；住房保障支出（类）264.83万元，占2.58%；灾害防治及应急管理支出（类）9.41万元，占0.09%。</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b/>
          <w:bCs/>
          <w:sz w:val="32"/>
          <w:szCs w:val="32"/>
        </w:rPr>
      </w:pPr>
      <w:r>
        <w:rPr>
          <w:rFonts w:ascii="Times New Roman" w:eastAsia="仿宋" w:hAnsi="Times New Roman" w:cs="仿宋" w:hint="default"/>
          <w:b/>
          <w:bCs/>
          <w:sz w:val="32"/>
          <w:szCs w:val="32"/>
        </w:rPr>
        <w:t>（三）一般公共预算财政拨款支出决算具体情况。</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2024年度一般公共预算财政拨款支出年初预算为10510.01万元，支出决算为10258.44万元，完成年初预算的97.61%，决算数小于预算数的主要原因：项目资金未达到序时进度。其中：基本支出2777.96万元，占27.08%；项目支出7480.48万元，占72.92%。具体情况如下：</w:t>
      </w:r>
    </w:p>
    <w:p>
      <w:pPr>
        <w:spacing w:line="360" w:lineRule="auto"/>
        <w:jc w:val="both"/>
      </w:pPr>
      <w:r>
        <w:rPr>
          <w:rFonts w:ascii="Times New Roman" w:eastAsia="仿宋_GB2312" w:hAnsi="Times New Roman"/>
          <w:b/>
          <w:sz w:val="32"/>
        </w:rPr>
        <w:t>　　1.一般公共服务支出（类）统计信息事务（款）专项普查活动（项）</w:t>
      </w:r>
      <w:r>
        <w:rPr>
          <w:rFonts w:ascii="Times New Roman" w:eastAsia="仿宋_GB2312" w:hAnsi="Times New Roman"/>
          <w:b w:val="0"/>
          <w:sz w:val="32"/>
        </w:rPr>
        <w:t>。年初预算为0万元，支出决算为1.29万元。决算数大于预算数的主要原因是年中追加。</w:t>
      </w:r>
    </w:p>
    <w:p>
      <w:pPr>
        <w:spacing w:line="360" w:lineRule="auto"/>
        <w:jc w:val="both"/>
      </w:pPr>
      <w:r>
        <w:rPr>
          <w:rFonts w:ascii="Times New Roman" w:eastAsia="仿宋_GB2312" w:hAnsi="Times New Roman"/>
          <w:b/>
          <w:sz w:val="32"/>
        </w:rPr>
        <w:t>　　2.一般公共服务支出（类）民族事务（款）民族工作专项（项）</w:t>
      </w:r>
      <w:r>
        <w:rPr>
          <w:rFonts w:ascii="Times New Roman" w:eastAsia="仿宋_GB2312" w:hAnsi="Times New Roman"/>
          <w:b w:val="0"/>
          <w:sz w:val="32"/>
        </w:rPr>
        <w:t>。年初预算为0.24万元，支出决算为0.24万元，完成年初预算的100%。</w:t>
      </w:r>
    </w:p>
    <w:p>
      <w:pPr>
        <w:spacing w:line="360" w:lineRule="auto"/>
        <w:jc w:val="both"/>
      </w:pPr>
      <w:r>
        <w:rPr>
          <w:rFonts w:ascii="Times New Roman" w:eastAsia="仿宋_GB2312" w:hAnsi="Times New Roman"/>
          <w:b/>
          <w:sz w:val="32"/>
        </w:rPr>
        <w:t>　　3.一般公共服务支出（类）群众团体事务（款）一般行政管理事务（项）</w:t>
      </w:r>
      <w:r>
        <w:rPr>
          <w:rFonts w:ascii="Times New Roman" w:eastAsia="仿宋_GB2312" w:hAnsi="Times New Roman"/>
          <w:b w:val="0"/>
          <w:sz w:val="32"/>
        </w:rPr>
        <w:t>。年初预算为0.17万元，支出决算为0.17万元，完成年初预算的100%。</w:t>
      </w:r>
    </w:p>
    <w:p>
      <w:pPr>
        <w:spacing w:line="360" w:lineRule="auto"/>
        <w:jc w:val="both"/>
      </w:pPr>
      <w:r>
        <w:rPr>
          <w:rFonts w:ascii="Times New Roman" w:eastAsia="仿宋_GB2312" w:hAnsi="Times New Roman"/>
          <w:b/>
          <w:sz w:val="32"/>
        </w:rPr>
        <w:t>　　4.一般公共服务支出（类）群众团体事务（款）工会事务（项）</w:t>
      </w:r>
      <w:r>
        <w:rPr>
          <w:rFonts w:ascii="Times New Roman" w:eastAsia="仿宋_GB2312" w:hAnsi="Times New Roman"/>
          <w:b w:val="0"/>
          <w:sz w:val="32"/>
        </w:rPr>
        <w:t>。年初预算为0万元，支出决算为0.74万元。决算数大于预算数的主要原因是人员增加。</w:t>
      </w:r>
    </w:p>
    <w:p>
      <w:pPr>
        <w:spacing w:line="360" w:lineRule="auto"/>
        <w:jc w:val="both"/>
      </w:pPr>
      <w:r>
        <w:rPr>
          <w:rFonts w:ascii="Times New Roman" w:eastAsia="仿宋_GB2312" w:hAnsi="Times New Roman"/>
          <w:b/>
          <w:sz w:val="32"/>
        </w:rPr>
        <w:t>　　5.一般公共服务支出（类）群众团体事务（款）其他群众团体事务支出（项）</w:t>
      </w:r>
      <w:r>
        <w:rPr>
          <w:rFonts w:ascii="Times New Roman" w:eastAsia="仿宋_GB2312" w:hAnsi="Times New Roman"/>
          <w:b w:val="0"/>
          <w:sz w:val="32"/>
        </w:rPr>
        <w:t>。年初预算为28.93万元，支出决算为23.73万元，完成年初预算的82.03%。决算数小于预算数的主要原因是厉行节约。</w:t>
      </w:r>
    </w:p>
    <w:p>
      <w:pPr>
        <w:spacing w:line="360" w:lineRule="auto"/>
        <w:jc w:val="both"/>
      </w:pPr>
      <w:r>
        <w:rPr>
          <w:rFonts w:ascii="Times New Roman" w:eastAsia="仿宋_GB2312" w:hAnsi="Times New Roman"/>
          <w:b/>
          <w:sz w:val="32"/>
        </w:rPr>
        <w:t>　　6.公共安全支出（类）其他公共安全支出（款）其他公共安全支出（项）</w:t>
      </w:r>
      <w:r>
        <w:rPr>
          <w:rFonts w:ascii="Times New Roman" w:eastAsia="仿宋_GB2312" w:hAnsi="Times New Roman"/>
          <w:b w:val="0"/>
          <w:sz w:val="32"/>
        </w:rPr>
        <w:t>。年初预算为0万元，支出决算为2.26万元。决算数大于预算数的主要原因是人员增加。</w:t>
      </w:r>
    </w:p>
    <w:p>
      <w:pPr>
        <w:spacing w:line="360" w:lineRule="auto"/>
        <w:jc w:val="both"/>
      </w:pPr>
      <w:r>
        <w:rPr>
          <w:rFonts w:ascii="Times New Roman" w:eastAsia="仿宋_GB2312" w:hAnsi="Times New Roman"/>
          <w:b/>
          <w:sz w:val="32"/>
        </w:rPr>
        <w:t>　　7.社会保障和就业支出（类）民政管理事务（款）其他民政管理事务支出（项）</w:t>
      </w:r>
      <w:r>
        <w:rPr>
          <w:rFonts w:ascii="Times New Roman" w:eastAsia="仿宋_GB2312" w:hAnsi="Times New Roman"/>
          <w:b w:val="0"/>
          <w:sz w:val="32"/>
        </w:rPr>
        <w:t>。年初预算为0万元，支出决算为17.8万元。决算数大于预算数的主要原因是年中追加。</w:t>
      </w:r>
    </w:p>
    <w:p>
      <w:pPr>
        <w:spacing w:line="360" w:lineRule="auto"/>
        <w:jc w:val="both"/>
      </w:pPr>
      <w:r>
        <w:rPr>
          <w:rFonts w:ascii="Times New Roman" w:eastAsia="仿宋_GB2312" w:hAnsi="Times New Roman"/>
          <w:b/>
          <w:sz w:val="32"/>
        </w:rPr>
        <w:t>　　8.社会保障和就业支出（类）行政事业单位养老支出（款）行政单位离退休（项）</w:t>
      </w:r>
      <w:r>
        <w:rPr>
          <w:rFonts w:ascii="Times New Roman" w:eastAsia="仿宋_GB2312" w:hAnsi="Times New Roman"/>
          <w:b w:val="0"/>
          <w:sz w:val="32"/>
        </w:rPr>
        <w:t>。年初预算为20.74万元，支出决算为20.65万元，完成年初预算的99.57%。决算数小于预算数的主要原因是人员变动。</w:t>
      </w:r>
    </w:p>
    <w:p>
      <w:pPr>
        <w:spacing w:line="360" w:lineRule="auto"/>
        <w:jc w:val="both"/>
      </w:pPr>
      <w:r>
        <w:rPr>
          <w:rFonts w:ascii="Times New Roman" w:eastAsia="仿宋_GB2312" w:hAnsi="Times New Roman"/>
          <w:b/>
          <w:sz w:val="32"/>
        </w:rPr>
        <w:t>　　9.社会保障和就业支出（类）行政事业单位养老支出（款）机关事业单位基本养老保险缴费支出（项）</w:t>
      </w:r>
      <w:r>
        <w:rPr>
          <w:rFonts w:ascii="Times New Roman" w:eastAsia="仿宋_GB2312" w:hAnsi="Times New Roman"/>
          <w:b w:val="0"/>
          <w:sz w:val="32"/>
        </w:rPr>
        <w:t>。年初预算为78.98万元，支出决算为77.96万元，完成年初预算的98.71%。决算数小于预算数的主要原因是人员变动。</w:t>
      </w:r>
    </w:p>
    <w:p>
      <w:pPr>
        <w:spacing w:line="360" w:lineRule="auto"/>
        <w:jc w:val="both"/>
      </w:pPr>
      <w:r>
        <w:rPr>
          <w:rFonts w:ascii="Times New Roman" w:eastAsia="仿宋_GB2312" w:hAnsi="Times New Roman"/>
          <w:b/>
          <w:sz w:val="32"/>
        </w:rPr>
        <w:t>　　10.社会保障和就业支出（类）行政事业单位养老支出（款）机关事业单位职业年金缴费支出（项）</w:t>
      </w:r>
      <w:r>
        <w:rPr>
          <w:rFonts w:ascii="Times New Roman" w:eastAsia="仿宋_GB2312" w:hAnsi="Times New Roman"/>
          <w:b w:val="0"/>
          <w:sz w:val="32"/>
        </w:rPr>
        <w:t>。年初预算为38.69万元，支出决算为36.86万元，完成年初预算的95.27%。决算数小于预算数的主要原因是人员变动。</w:t>
      </w:r>
    </w:p>
    <w:p>
      <w:pPr>
        <w:spacing w:line="360" w:lineRule="auto"/>
        <w:jc w:val="both"/>
      </w:pPr>
      <w:r>
        <w:rPr>
          <w:rFonts w:ascii="Times New Roman" w:eastAsia="仿宋_GB2312" w:hAnsi="Times New Roman"/>
          <w:b/>
          <w:sz w:val="32"/>
        </w:rPr>
        <w:t>　　11.社会保障和就业支出（类）抚恤（款）义务兵优待（项）</w:t>
      </w:r>
      <w:r>
        <w:rPr>
          <w:rFonts w:ascii="Times New Roman" w:eastAsia="仿宋_GB2312" w:hAnsi="Times New Roman"/>
          <w:b w:val="0"/>
          <w:sz w:val="32"/>
        </w:rPr>
        <w:t>。年初预算为0万元，支出决算为2.88万元。决算数大于预算数的主要原因是年中追加。</w:t>
      </w:r>
    </w:p>
    <w:p>
      <w:pPr>
        <w:spacing w:line="360" w:lineRule="auto"/>
        <w:jc w:val="both"/>
      </w:pPr>
      <w:r>
        <w:rPr>
          <w:rFonts w:ascii="Times New Roman" w:eastAsia="仿宋_GB2312" w:hAnsi="Times New Roman"/>
          <w:b/>
          <w:sz w:val="32"/>
        </w:rPr>
        <w:t>　　12.社会保障和就业支出（类）抚恤（款）其他优抚支出（项）</w:t>
      </w:r>
      <w:r>
        <w:rPr>
          <w:rFonts w:ascii="Times New Roman" w:eastAsia="仿宋_GB2312" w:hAnsi="Times New Roman"/>
          <w:b w:val="0"/>
          <w:sz w:val="32"/>
        </w:rPr>
        <w:t>。年初预算为0万元，支出决算为9.36万元。决算数大于预算数的主要原因是年中追加。</w:t>
      </w:r>
    </w:p>
    <w:p>
      <w:pPr>
        <w:spacing w:line="360" w:lineRule="auto"/>
        <w:jc w:val="both"/>
      </w:pPr>
      <w:r>
        <w:rPr>
          <w:rFonts w:ascii="Times New Roman" w:eastAsia="仿宋_GB2312" w:hAnsi="Times New Roman"/>
          <w:b/>
          <w:sz w:val="32"/>
        </w:rPr>
        <w:t>　　13.社会保障和就业支出（类）残疾人事业（款）残疾人就业（项）</w:t>
      </w:r>
      <w:r>
        <w:rPr>
          <w:rFonts w:ascii="Times New Roman" w:eastAsia="仿宋_GB2312" w:hAnsi="Times New Roman"/>
          <w:b w:val="0"/>
          <w:sz w:val="32"/>
        </w:rPr>
        <w:t>。年初预算为0万元，支出决算为0.9万元。决算数大于预算数的主要原因是年中追加。</w:t>
      </w:r>
    </w:p>
    <w:p>
      <w:pPr>
        <w:spacing w:line="360" w:lineRule="auto"/>
        <w:jc w:val="both"/>
      </w:pPr>
      <w:r>
        <w:rPr>
          <w:rFonts w:ascii="Times New Roman" w:eastAsia="仿宋_GB2312" w:hAnsi="Times New Roman"/>
          <w:b/>
          <w:sz w:val="32"/>
        </w:rPr>
        <w:t>　　14.社会保障和就业支出（类）退役军人管理事务（款）拥军优属（项）</w:t>
      </w:r>
      <w:r>
        <w:rPr>
          <w:rFonts w:ascii="Times New Roman" w:eastAsia="仿宋_GB2312" w:hAnsi="Times New Roman"/>
          <w:b w:val="0"/>
          <w:sz w:val="32"/>
        </w:rPr>
        <w:t>。年初预算为0万元，支出决算为1.08万元。决算数大于预算数的主要原因是年中追加。</w:t>
      </w:r>
    </w:p>
    <w:p>
      <w:pPr>
        <w:spacing w:line="360" w:lineRule="auto"/>
        <w:jc w:val="both"/>
      </w:pPr>
      <w:r>
        <w:rPr>
          <w:rFonts w:ascii="Times New Roman" w:eastAsia="仿宋_GB2312" w:hAnsi="Times New Roman"/>
          <w:b/>
          <w:sz w:val="32"/>
        </w:rPr>
        <w:t>　　15.社会保障和就业支出（类）退役军人管理事务（款）其他退役军人事务管理支出（项）</w:t>
      </w:r>
      <w:r>
        <w:rPr>
          <w:rFonts w:ascii="Times New Roman" w:eastAsia="仿宋_GB2312" w:hAnsi="Times New Roman"/>
          <w:b w:val="0"/>
          <w:sz w:val="32"/>
        </w:rPr>
        <w:t>。年初预算为0万元，支出决算为2万元。决算数大于预算数的主要原因是年中追加。</w:t>
      </w:r>
    </w:p>
    <w:p>
      <w:pPr>
        <w:spacing w:line="360" w:lineRule="auto"/>
        <w:jc w:val="both"/>
      </w:pPr>
      <w:r>
        <w:rPr>
          <w:rFonts w:ascii="Times New Roman" w:eastAsia="仿宋_GB2312" w:hAnsi="Times New Roman"/>
          <w:b/>
          <w:sz w:val="32"/>
        </w:rPr>
        <w:t>　　16.社会保障和就业支出（类）其他社会保障和就业支出（款）其他社会保障和就业支出（项）</w:t>
      </w:r>
      <w:r>
        <w:rPr>
          <w:rFonts w:ascii="Times New Roman" w:eastAsia="仿宋_GB2312" w:hAnsi="Times New Roman"/>
          <w:b w:val="0"/>
          <w:sz w:val="32"/>
        </w:rPr>
        <w:t>。年初预算为5.56万元，支出决算为5.56万元，完成年初预算的100%。</w:t>
      </w:r>
    </w:p>
    <w:p>
      <w:pPr>
        <w:spacing w:line="360" w:lineRule="auto"/>
        <w:jc w:val="both"/>
      </w:pPr>
      <w:r>
        <w:rPr>
          <w:rFonts w:ascii="Times New Roman" w:eastAsia="仿宋_GB2312" w:hAnsi="Times New Roman"/>
          <w:b/>
          <w:sz w:val="32"/>
        </w:rPr>
        <w:t>　　17.卫生健康支出（类）公共卫生（款）基本公共卫生服务（项）</w:t>
      </w:r>
      <w:r>
        <w:rPr>
          <w:rFonts w:ascii="Times New Roman" w:eastAsia="仿宋_GB2312" w:hAnsi="Times New Roman"/>
          <w:b w:val="0"/>
          <w:sz w:val="32"/>
        </w:rPr>
        <w:t>。年初预算为0万元，支出决算为1.43万元。决算数大于预算数的主要原因是年中追加。</w:t>
      </w:r>
    </w:p>
    <w:p>
      <w:pPr>
        <w:spacing w:line="360" w:lineRule="auto"/>
        <w:jc w:val="both"/>
      </w:pPr>
      <w:r>
        <w:rPr>
          <w:rFonts w:ascii="Times New Roman" w:eastAsia="仿宋_GB2312" w:hAnsi="Times New Roman"/>
          <w:b/>
          <w:sz w:val="32"/>
        </w:rPr>
        <w:t>　　18.卫生健康支出（类）行政事业单位医疗（款）行政单位医疗（项）</w:t>
      </w:r>
      <w:r>
        <w:rPr>
          <w:rFonts w:ascii="Times New Roman" w:eastAsia="仿宋_GB2312" w:hAnsi="Times New Roman"/>
          <w:b w:val="0"/>
          <w:sz w:val="32"/>
        </w:rPr>
        <w:t>。年初预算为38.94万元，支出决算为38.94万元，完成年初预算的100%。</w:t>
      </w:r>
    </w:p>
    <w:p>
      <w:pPr>
        <w:spacing w:line="360" w:lineRule="auto"/>
        <w:jc w:val="both"/>
      </w:pPr>
      <w:r>
        <w:rPr>
          <w:rFonts w:ascii="Times New Roman" w:eastAsia="仿宋_GB2312" w:hAnsi="Times New Roman"/>
          <w:b/>
          <w:sz w:val="32"/>
        </w:rPr>
        <w:t>　　19.卫生健康支出（类）老龄卫生健康事务（款）老龄卫生健康事务（项）</w:t>
      </w:r>
      <w:r>
        <w:rPr>
          <w:rFonts w:ascii="Times New Roman" w:eastAsia="仿宋_GB2312" w:hAnsi="Times New Roman"/>
          <w:b w:val="0"/>
          <w:sz w:val="32"/>
        </w:rPr>
        <w:t>。年初预算为0.71万元，支出决算为2.89万元，完成年初预算的407.04%。决算数大于预算数的主要原因是年中追加。</w:t>
      </w:r>
    </w:p>
    <w:p>
      <w:pPr>
        <w:spacing w:line="360" w:lineRule="auto"/>
        <w:jc w:val="both"/>
      </w:pPr>
      <w:r>
        <w:rPr>
          <w:rFonts w:ascii="Times New Roman" w:eastAsia="仿宋_GB2312" w:hAnsi="Times New Roman"/>
          <w:b/>
          <w:sz w:val="32"/>
        </w:rPr>
        <w:t>　　20.城乡社区支出（类）城乡社区管理事务（款）行政运行（项）</w:t>
      </w:r>
      <w:r>
        <w:rPr>
          <w:rFonts w:ascii="Times New Roman" w:eastAsia="仿宋_GB2312" w:hAnsi="Times New Roman"/>
          <w:b w:val="0"/>
          <w:sz w:val="32"/>
        </w:rPr>
        <w:t>。年初预算为2737.84万元，支出决算为2630.05万元，完成年初预算的96.06%。决算数小于预算数的主要原因是厉行节约。</w:t>
      </w:r>
    </w:p>
    <w:p>
      <w:pPr>
        <w:spacing w:line="360" w:lineRule="auto"/>
        <w:jc w:val="both"/>
      </w:pPr>
      <w:r>
        <w:rPr>
          <w:rFonts w:ascii="Times New Roman" w:eastAsia="仿宋_GB2312" w:hAnsi="Times New Roman"/>
          <w:b/>
          <w:sz w:val="32"/>
        </w:rPr>
        <w:t>　　21.城乡社区支出（类）城乡社区管理事务（款）一般行政管理事务（项）</w:t>
      </w:r>
      <w:r>
        <w:rPr>
          <w:rFonts w:ascii="Times New Roman" w:eastAsia="仿宋_GB2312" w:hAnsi="Times New Roman"/>
          <w:b w:val="0"/>
          <w:sz w:val="32"/>
        </w:rPr>
        <w:t>。年初预算为0万元，支出决算为14.61万元。决算数大于预算数的主要原因是年中追加。</w:t>
      </w:r>
    </w:p>
    <w:p>
      <w:pPr>
        <w:spacing w:line="360" w:lineRule="auto"/>
        <w:jc w:val="both"/>
      </w:pPr>
      <w:r>
        <w:rPr>
          <w:rFonts w:ascii="Times New Roman" w:eastAsia="仿宋_GB2312" w:hAnsi="Times New Roman"/>
          <w:b/>
          <w:sz w:val="32"/>
        </w:rPr>
        <w:t>　　22.城乡社区支出（类）城乡社区管理事务（款）其他城乡社区管理事务支出（项）</w:t>
      </w:r>
      <w:r>
        <w:rPr>
          <w:rFonts w:ascii="Times New Roman" w:eastAsia="仿宋_GB2312" w:hAnsi="Times New Roman"/>
          <w:b w:val="0"/>
          <w:sz w:val="32"/>
        </w:rPr>
        <w:t>。年初预算为850.14万元，支出决算为813.88万元，完成年初预算的95.73%。决算数小于预算数的主要原因是资金紧张，费用未支付。</w:t>
      </w:r>
    </w:p>
    <w:p>
      <w:pPr>
        <w:spacing w:line="360" w:lineRule="auto"/>
        <w:jc w:val="both"/>
      </w:pPr>
      <w:r>
        <w:rPr>
          <w:rFonts w:ascii="Times New Roman" w:eastAsia="仿宋_GB2312" w:hAnsi="Times New Roman"/>
          <w:b/>
          <w:sz w:val="32"/>
        </w:rPr>
        <w:t>　　23.城乡社区支出（类）城乡社区环境卫生（款）城乡社区环境卫生（项）</w:t>
      </w:r>
      <w:r>
        <w:rPr>
          <w:rFonts w:ascii="Times New Roman" w:eastAsia="仿宋_GB2312" w:hAnsi="Times New Roman"/>
          <w:b w:val="0"/>
          <w:sz w:val="32"/>
        </w:rPr>
        <w:t>。年初预算为2.8万元，支出决算为59.32万元，完成年初预算的2118.57%。决算数大于预算数的主要原因是年中追加。</w:t>
      </w:r>
    </w:p>
    <w:p>
      <w:pPr>
        <w:spacing w:line="360" w:lineRule="auto"/>
        <w:jc w:val="both"/>
      </w:pPr>
      <w:r>
        <w:rPr>
          <w:rFonts w:ascii="Times New Roman" w:eastAsia="仿宋_GB2312" w:hAnsi="Times New Roman"/>
          <w:b/>
          <w:sz w:val="32"/>
        </w:rPr>
        <w:t>　　24.城乡社区支出（类）其他城乡社区支出（款）其他城乡社区支出（项）</w:t>
      </w:r>
      <w:r>
        <w:rPr>
          <w:rFonts w:ascii="Times New Roman" w:eastAsia="仿宋_GB2312" w:hAnsi="Times New Roman"/>
          <w:b w:val="0"/>
          <w:sz w:val="32"/>
        </w:rPr>
        <w:t>。年初预算为67.36万元，支出决算为206.26万元，完成年初预算的306.21%。决算数大于预算数的主要原因是年中追加。</w:t>
      </w:r>
    </w:p>
    <w:p>
      <w:pPr>
        <w:spacing w:line="360" w:lineRule="auto"/>
        <w:jc w:val="both"/>
      </w:pPr>
      <w:r>
        <w:rPr>
          <w:rFonts w:ascii="Times New Roman" w:eastAsia="仿宋_GB2312" w:hAnsi="Times New Roman"/>
          <w:b/>
          <w:sz w:val="32"/>
        </w:rPr>
        <w:t>　　25.农林水支出（类）农业农村（款）执法监管（项）</w:t>
      </w:r>
      <w:r>
        <w:rPr>
          <w:rFonts w:ascii="Times New Roman" w:eastAsia="仿宋_GB2312" w:hAnsi="Times New Roman"/>
          <w:b w:val="0"/>
          <w:sz w:val="32"/>
        </w:rPr>
        <w:t>。年初预算为0万元，支出决算为28.54万元。决算数大于预算数的主要原因是年中追加。</w:t>
      </w:r>
    </w:p>
    <w:p>
      <w:pPr>
        <w:spacing w:line="360" w:lineRule="auto"/>
        <w:jc w:val="both"/>
      </w:pPr>
      <w:r>
        <w:rPr>
          <w:rFonts w:ascii="Times New Roman" w:eastAsia="仿宋_GB2312" w:hAnsi="Times New Roman"/>
          <w:b/>
          <w:sz w:val="32"/>
        </w:rPr>
        <w:t>　　26.农林水支出（类）水利（款）其他水利支出（项）</w:t>
      </w:r>
      <w:r>
        <w:rPr>
          <w:rFonts w:ascii="Times New Roman" w:eastAsia="仿宋_GB2312" w:hAnsi="Times New Roman"/>
          <w:b w:val="0"/>
          <w:sz w:val="32"/>
        </w:rPr>
        <w:t>。年初预算为9万元，支出决算为16.81万元，完成年初预算的186.78%。决算数大于预算数的主要原因是年中追加。</w:t>
      </w:r>
    </w:p>
    <w:p>
      <w:pPr>
        <w:spacing w:line="360" w:lineRule="auto"/>
        <w:jc w:val="both"/>
      </w:pPr>
      <w:r>
        <w:rPr>
          <w:rFonts w:ascii="Times New Roman" w:eastAsia="仿宋_GB2312" w:hAnsi="Times New Roman"/>
          <w:b/>
          <w:sz w:val="32"/>
        </w:rPr>
        <w:t>　　27.农林水支出（类）农村综合改革（款）对村民委员会和村党支部的补助（项）</w:t>
      </w:r>
      <w:r>
        <w:rPr>
          <w:rFonts w:ascii="Times New Roman" w:eastAsia="仿宋_GB2312" w:hAnsi="Times New Roman"/>
          <w:b w:val="0"/>
          <w:sz w:val="32"/>
        </w:rPr>
        <w:t>。年初预算为15.63万元，支出决算为15.35万元，完成年初预算的98.21%。决算数小于预算数的主要原因是厉行节约。</w:t>
      </w:r>
    </w:p>
    <w:p>
      <w:pPr>
        <w:spacing w:line="360" w:lineRule="auto"/>
        <w:jc w:val="both"/>
      </w:pPr>
      <w:r>
        <w:rPr>
          <w:rFonts w:ascii="Times New Roman" w:eastAsia="仿宋_GB2312" w:hAnsi="Times New Roman"/>
          <w:b/>
          <w:sz w:val="32"/>
        </w:rPr>
        <w:t>　　28.资源勘探工业信息等支出（类）其他资源勘探工业信息等支出（款）其他资源勘探工业信息等支出（项）</w:t>
      </w:r>
      <w:r>
        <w:rPr>
          <w:rFonts w:ascii="Times New Roman" w:eastAsia="仿宋_GB2312" w:hAnsi="Times New Roman"/>
          <w:b w:val="0"/>
          <w:sz w:val="32"/>
        </w:rPr>
        <w:t>。年初预算为250万元，支出决算为250万元，完成年初预算的100%。</w:t>
      </w:r>
    </w:p>
    <w:p>
      <w:pPr>
        <w:spacing w:line="360" w:lineRule="auto"/>
        <w:jc w:val="both"/>
      </w:pPr>
      <w:r>
        <w:rPr>
          <w:rFonts w:ascii="Times New Roman" w:eastAsia="仿宋_GB2312" w:hAnsi="Times New Roman"/>
          <w:b/>
          <w:sz w:val="32"/>
        </w:rPr>
        <w:t>　　29.商业服务业等支出（类）其他商业服务业等支出（款）其他商业服务业等支出（项）</w:t>
      </w:r>
      <w:r>
        <w:rPr>
          <w:rFonts w:ascii="Times New Roman" w:eastAsia="仿宋_GB2312" w:hAnsi="Times New Roman"/>
          <w:b w:val="0"/>
          <w:sz w:val="32"/>
        </w:rPr>
        <w:t>。年初预算为6050万元，支出决算为5702.64万元，完成年初预算的94.26%。决算数小于预算数的主要原因是资金紧张，费用未支付。</w:t>
      </w:r>
    </w:p>
    <w:p>
      <w:pPr>
        <w:spacing w:line="360" w:lineRule="auto"/>
        <w:jc w:val="both"/>
      </w:pPr>
      <w:r>
        <w:rPr>
          <w:rFonts w:ascii="Times New Roman" w:eastAsia="仿宋_GB2312" w:hAnsi="Times New Roman"/>
          <w:b/>
          <w:sz w:val="32"/>
        </w:rPr>
        <w:t>　　30.住房保障支出（类）保障性安居工程支出（款）老旧小区改造（项）</w:t>
      </w:r>
      <w:r>
        <w:rPr>
          <w:rFonts w:ascii="Times New Roman" w:eastAsia="仿宋_GB2312" w:hAnsi="Times New Roman"/>
          <w:b w:val="0"/>
          <w:sz w:val="32"/>
        </w:rPr>
        <w:t>。年初预算为126.37万元，支出决算为114.17万元，完成年初预算的90.35%。决算数小于预算数的主要原因是资金紧张，费用未支付。</w:t>
      </w:r>
    </w:p>
    <w:p>
      <w:pPr>
        <w:spacing w:line="360" w:lineRule="auto"/>
        <w:jc w:val="both"/>
      </w:pPr>
      <w:r>
        <w:rPr>
          <w:rFonts w:ascii="Times New Roman" w:eastAsia="仿宋_GB2312" w:hAnsi="Times New Roman"/>
          <w:b/>
          <w:sz w:val="32"/>
        </w:rPr>
        <w:t>　　31.住房保障支出（类）住房改革支出（款）住房公积金（项）</w:t>
      </w:r>
      <w:r>
        <w:rPr>
          <w:rFonts w:ascii="Times New Roman" w:eastAsia="仿宋_GB2312" w:hAnsi="Times New Roman"/>
          <w:b w:val="0"/>
          <w:sz w:val="32"/>
        </w:rPr>
        <w:t>。年初预算为182.61万元，支出决算为150.66万元，完成年初预算的82.5%。决算数小于预算数的主要原因是公积金基数调整。</w:t>
      </w:r>
    </w:p>
    <w:p>
      <w:pPr>
        <w:spacing w:line="360" w:lineRule="auto"/>
        <w:jc w:val="both"/>
      </w:pPr>
      <w:r>
        <w:rPr>
          <w:rFonts w:ascii="Times New Roman" w:eastAsia="仿宋_GB2312" w:hAnsi="Times New Roman"/>
          <w:b/>
          <w:sz w:val="32"/>
        </w:rPr>
        <w:t>　　32.灾害防治及应急管理支出（类）自然灾害救灾及恢复重建支出（款）自然灾害救灾补助（项）</w:t>
      </w:r>
      <w:r>
        <w:rPr>
          <w:rFonts w:ascii="Times New Roman" w:eastAsia="仿宋_GB2312" w:hAnsi="Times New Roman"/>
          <w:b w:val="0"/>
          <w:sz w:val="32"/>
        </w:rPr>
        <w:t>。年初预算为0万元，支出决算为9.41万元。决算数大于预算数的主要原因是年中追加。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rPr>
      </w:pPr>
      <w:r>
        <w:rPr>
          <w:rFonts w:ascii="Times New Roman" w:eastAsia="黑体" w:hAnsi="Times New Roman" w:cs="黑体" w:hint="eastAsia"/>
          <w:sz w:val="32"/>
          <w:szCs w:val="32"/>
        </w:rPr>
        <w:t>六、一般公共预算财政拨款基本支出决算情况说明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_GB2312" w:hAnsi="Times New Roman" w:cs="仿宋_GB2312" w:hint="default"/>
          <w:sz w:val="32"/>
          <w:szCs w:val="32"/>
        </w:rPr>
      </w:pPr>
      <w:r>
        <w:rPr>
          <w:rFonts w:ascii="Times New Roman" w:eastAsia="仿宋" w:hAnsi="Times New Roman" w:cs="仿宋" w:hint="default"/>
          <w:sz w:val="32"/>
          <w:szCs w:val="32"/>
        </w:rPr>
        <w:t>2024年度财政拨款基本支出2777.96万元，其中：人员经费2411.34万元，主要包括：基本工资、津贴补贴、奖金、伙食补助费、绩效工资、机关事业单位基本养老保险缴费、职业年金缴费、职工基本医疗保险缴费、其他社会保障缴费、住房公积金、医疗费、其他工资福利支出、退休费、奖励金、其他对个人和家庭的补助支出；公用经费366.62万元，主要包括：办公费、印刷费、咨询费、水费、电费、邮电费、物业管理费、差旅费、维修（护）费、租赁费、培训费、公务接待费、劳务费、委托业务费、工会经费、公务用车运行维护费、其他交通费用、其他商品和服务支出、办公设备购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rPr>
      </w:pPr>
      <w:r>
        <w:rPr>
          <w:rFonts w:ascii="Times New Roman" w:eastAsia="黑体" w:hAnsi="Times New Roman" w:cs="黑体" w:hint="eastAsia"/>
          <w:sz w:val="32"/>
          <w:szCs w:val="32"/>
        </w:rPr>
        <w:t>七、政府性基金预算财政拨款收入支出决算情况说明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2024年度政府性基金预算财政拨款年初结转和结余0万元，本年收入4.7万元，本年支出4.7万元，年末结转和结余0万元。具体情况说明如下：</w:t>
      </w:r>
    </w:p>
    <w:p>
      <w:pPr>
        <w:spacing w:line="360" w:lineRule="auto"/>
        <w:jc w:val="both"/>
      </w:pPr>
      <w:r>
        <w:rPr>
          <w:rFonts w:ascii="Times New Roman" w:eastAsia="仿宋_GB2312" w:hAnsi="Times New Roman"/>
          <w:b/>
          <w:sz w:val="32"/>
        </w:rPr>
        <w:t>　　其他支出（类）彩票公益金安排的支出（款）用于其他社会公益事业的彩票公益金支出（项）</w:t>
      </w:r>
      <w:r>
        <w:rPr>
          <w:rFonts w:ascii="Times New Roman" w:eastAsia="仿宋_GB2312" w:hAnsi="Times New Roman"/>
          <w:b w:val="0"/>
          <w:sz w:val="32"/>
        </w:rPr>
        <w:t>。年初预算为0万元，支出决算为4.7万元。决算数大于预算数的主要原因是功能科目调整。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rPr>
      </w:pPr>
      <w:r>
        <w:rPr>
          <w:rFonts w:ascii="Times New Roman" w:eastAsia="黑体" w:hAnsi="Times New Roman" w:cs="黑体" w:hint="eastAsia"/>
          <w:sz w:val="32"/>
          <w:szCs w:val="32"/>
        </w:rPr>
        <w:t>八、国有资本经营预算财政拨款支出情况说明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铜陵市铜官区新城办事处没有使用国有资本经营预算财政拨款安排的支出。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黑体" w:hAnsi="Times New Roman" w:cs="黑体" w:hint="eastAsia"/>
          <w:sz w:val="32"/>
          <w:szCs w:val="32"/>
        </w:rPr>
      </w:pPr>
      <w:r>
        <w:rPr>
          <w:rFonts w:ascii="Times New Roman" w:eastAsia="黑体" w:hAnsi="Times New Roman" w:cs="黑体" w:hint="eastAsia"/>
          <w:sz w:val="32"/>
          <w:szCs w:val="32"/>
        </w:rPr>
        <w:t>九、其他重要事项情况说明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b/>
          <w:bCs/>
          <w:sz w:val="32"/>
          <w:szCs w:val="32"/>
        </w:rPr>
      </w:pPr>
      <w:r>
        <w:rPr>
          <w:rFonts w:ascii="Times New Roman" w:eastAsia="仿宋" w:hAnsi="Times New Roman" w:cs="仿宋" w:hint="default"/>
          <w:b/>
          <w:bCs/>
          <w:sz w:val="32"/>
          <w:szCs w:val="32"/>
        </w:rPr>
        <w:t>（一）机关运行经费支出情况。</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2024年度，铜陵市铜官区新城办事处机关运行经费支出366.62万元，比2023年减少68.5万元，下降15.74%，主要原因是财政资金紧张。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b/>
          <w:bCs/>
          <w:sz w:val="32"/>
          <w:szCs w:val="32"/>
        </w:rPr>
      </w:pPr>
      <w:r>
        <w:rPr>
          <w:rFonts w:ascii="Times New Roman" w:eastAsia="仿宋" w:hAnsi="Times New Roman" w:cs="仿宋" w:hint="default"/>
          <w:b/>
          <w:bCs/>
          <w:sz w:val="32"/>
          <w:szCs w:val="32"/>
        </w:rPr>
        <w:t>（二）政府采购支出情况。</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2024年度，铜陵市铜官区新城办事处政府采购支出总额18.68万元，其中：政府采购货物支出18.68万元、政府采购工程支出0万元、政府采购服务支出0万元。授予中小企业合同金额18.68万元，占政府采购支出总额的100%。其中，授予小微企业合同金额0万元，占授予中小企业合同金额的0%；货物采购授予中小企业合同金额占货物支出金额的100%，工程采购授予中小企业合同金额占工程支出金额的0%，服务采购授予中小企业合同金额占服务支出金额的0%。</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b/>
          <w:bCs/>
          <w:sz w:val="32"/>
          <w:szCs w:val="32"/>
        </w:rPr>
      </w:pPr>
      <w:r>
        <w:rPr>
          <w:rFonts w:ascii="Times New Roman" w:eastAsia="仿宋" w:hAnsi="Times New Roman" w:cs="仿宋" w:hint="default"/>
          <w:b/>
          <w:bCs/>
          <w:sz w:val="32"/>
          <w:szCs w:val="32"/>
        </w:rPr>
        <w:t>（三）国有资产占有使用情况。</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截至2024年12月31日，铜陵市铜官区新城办事处共有车辆8辆，其中：执法执勤用车7辆、其他用车1辆；</w:t>
      </w:r>
      <w:r>
        <w:rPr>
          <w:rFonts w:ascii="Times New Roman" w:eastAsia="仿宋" w:hAnsi="Times New Roman" w:cs="仿宋" w:hint="default"/>
          <w:sz w:val="32"/>
          <w:szCs w:val="32"/>
        </w:rPr>
        <w:t>单价100万元（含）以上设备（不含车辆）0台（套）。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b/>
          <w:bCs/>
          <w:sz w:val="32"/>
          <w:szCs w:val="32"/>
        </w:rPr>
      </w:pPr>
      <w:r>
        <w:rPr>
          <w:rFonts w:ascii="Times New Roman" w:eastAsia="仿宋" w:hAnsi="Times New Roman" w:cs="仿宋" w:hint="default"/>
          <w:b/>
          <w:bCs/>
          <w:sz w:val="32"/>
          <w:szCs w:val="32"/>
        </w:rPr>
        <w:t>（四）关于2024年度绩效</w:t>
      </w:r>
      <w:r>
        <w:rPr>
          <w:rFonts w:ascii="Times New Roman" w:eastAsia="仿宋" w:hAnsi="Times New Roman" w:cs="仿宋" w:hint="eastAsia"/>
          <w:b/>
          <w:bCs/>
          <w:sz w:val="32"/>
          <w:szCs w:val="32"/>
          <w:lang w:val="en-US"/>
        </w:rPr>
        <w:t>评价</w:t>
      </w:r>
      <w:r>
        <w:rPr>
          <w:rFonts w:ascii="Times New Roman" w:eastAsia="仿宋" w:hAnsi="Times New Roman" w:cs="仿宋" w:hint="default"/>
          <w:b/>
          <w:bCs/>
          <w:sz w:val="32"/>
          <w:szCs w:val="32"/>
        </w:rPr>
        <w:t>情况</w:t>
      </w:r>
      <w:r>
        <w:rPr>
          <w:rFonts w:ascii="Times New Roman" w:eastAsia="仿宋" w:hAnsi="Times New Roman" w:cs="仿宋" w:hint="eastAsia"/>
          <w:b/>
          <w:bCs/>
          <w:sz w:val="32"/>
          <w:szCs w:val="32"/>
          <w:lang w:val="en-US"/>
        </w:rPr>
        <w:t>的</w:t>
      </w:r>
      <w:r>
        <w:rPr>
          <w:rFonts w:ascii="Times New Roman" w:eastAsia="仿宋" w:hAnsi="Times New Roman" w:cs="仿宋" w:hint="default"/>
          <w:b/>
          <w:bCs/>
          <w:sz w:val="32"/>
          <w:szCs w:val="32"/>
        </w:rPr>
        <w:t>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楷体" w:hAnsi="Times New Roman" w:cs="楷体" w:hint="default"/>
          <w:b/>
          <w:bCs/>
          <w:sz w:val="32"/>
          <w:szCs w:val="32"/>
        </w:rPr>
      </w:pPr>
      <w:r>
        <w:rPr>
          <w:rFonts w:ascii="Times New Roman" w:eastAsia="楷体" w:hAnsi="Times New Roman" w:cs="楷体" w:hint="eastAsia"/>
          <w:b/>
          <w:bCs/>
          <w:sz w:val="32"/>
          <w:szCs w:val="32"/>
        </w:rPr>
        <w:t>（1）绩效</w:t>
      </w:r>
      <w:r>
        <w:rPr>
          <w:rFonts w:ascii="Times New Roman" w:eastAsia="楷体" w:hAnsi="Times New Roman" w:cs="楷体" w:hint="eastAsia"/>
          <w:b/>
          <w:bCs/>
          <w:sz w:val="32"/>
          <w:szCs w:val="32"/>
          <w:lang w:val="en-US"/>
        </w:rPr>
        <w:t>评价</w:t>
      </w:r>
      <w:r>
        <w:rPr>
          <w:rFonts w:ascii="Times New Roman" w:eastAsia="楷体" w:hAnsi="Times New Roman" w:cs="楷体" w:hint="eastAsia"/>
          <w:b/>
          <w:bCs/>
          <w:sz w:val="32"/>
          <w:szCs w:val="32"/>
        </w:rPr>
        <w:t>工作开展情况</w:t>
      </w:r>
      <w:r>
        <w:rPr>
          <w:rFonts w:ascii="Times New Roman" w:eastAsia="楷体" w:hAnsi="Times New Roman" w:cs="楷体" w:hint="default"/>
          <w:b/>
          <w:bCs/>
          <w:sz w:val="32"/>
          <w:szCs w:val="32"/>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根据预算绩效管理要求，本部门组织对2024年度纳入部门预算的项目支出全面开展了绩效自评，共4个项目，涉及资金5817.56万元。从评价情况看，加大企业周转资金的流量，扩大企业再生产，增加社区就业岗位，更好的搞活地方经济，提高地方财政收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组织对2024年度部门整体支出开展了绩效自评。评价结果显示，本单位预算编制精准完整，财务制度规范健全，整体支出科学合理，按照年初设定的各项指标积极开展工作，使单位整体工作高效运转。</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组织对民营企业发展资金、待分配项目、购买辅助岗位经费、社区物业费、保障单位正常运转等4个项目开展了部门评价，共涉及资金7480.48万元。以上项目由我部门自行组织开展绩效评价。从评价情况看，全力以赴促进经济发展，加强干部队伍建设，健全协调工作机制，抓细抓实信访维稳工作，扎实做好安全稳定工作。</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根据部门评价工作安排，2024年，我部门未组织开展所属单位整体支出绩效评价。</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楷体" w:hAnsi="Times New Roman" w:cs="楷体" w:hint="eastAsia"/>
          <w:b/>
          <w:bCs/>
          <w:sz w:val="32"/>
          <w:szCs w:val="32"/>
        </w:rPr>
      </w:pPr>
      <w:r>
        <w:rPr>
          <w:rFonts w:ascii="Times New Roman" w:eastAsia="楷体" w:hAnsi="Times New Roman" w:cs="楷体" w:hint="eastAsia"/>
          <w:b/>
          <w:bCs/>
          <w:sz w:val="32"/>
          <w:szCs w:val="32"/>
        </w:rPr>
        <w:t>（2）部门决算中项目绩效自评结果。</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default"/>
          <w:sz w:val="32"/>
          <w:szCs w:val="32"/>
        </w:rPr>
        <w:t>我部门在2024年度部门决算中反映“待分配项目”、“购买辅助岗位经费”、“民营企业发展资金”、“社区物业费”等4个项目绩效自评综述和所有项目支出绩效自评表（涉密项目除外）。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eastAsia"/>
          <w:sz w:val="32"/>
          <w:szCs w:val="32"/>
        </w:rPr>
        <w:t>待分配</w:t>
      </w:r>
      <w:r>
        <w:rPr>
          <w:rFonts w:ascii="Times New Roman" w:eastAsia="仿宋" w:hAnsi="Times New Roman" w:cs="仿宋" w:hint="eastAsia"/>
          <w:sz w:val="32"/>
          <w:szCs w:val="32"/>
          <w:lang w:val="en-US" w:eastAsia="zh-CN"/>
        </w:rPr>
        <w:t>项目绩效</w:t>
      </w:r>
      <w:r>
        <w:rPr>
          <w:rFonts w:ascii="Times New Roman" w:eastAsia="仿宋" w:hAnsi="Times New Roman" w:cs="仿宋" w:hint="eastAsia"/>
          <w:sz w:val="32"/>
          <w:szCs w:val="32"/>
          <w:lang w:val="en-US"/>
        </w:rPr>
        <w:t>自评综述</w:t>
      </w:r>
      <w:r>
        <w:rPr>
          <w:rFonts w:ascii="Times New Roman" w:eastAsia="仿宋" w:hAnsi="Times New Roman" w:cs="仿宋" w:hint="default"/>
          <w:sz w:val="32"/>
          <w:szCs w:val="32"/>
        </w:rPr>
        <w:t>：根据年初设定的绩效目标，项目绩效自评得分为99.6分。全年预算数为256.28万元，执行数为246.08万元，完成预算的96.02%。项目绩效目标完成情况：保障新城办事处工作平稳运行，保证未列入预算项目的顺利实施。发现的主要问题及原因：未列入预算项目调整，资金紧张。下一步改进措施：争取完成全年目标计划，保障工作平稳运行。</w:t>
      </w:r>
    </w:p>
    <w:p>
      <w:pPr>
        <w:keepNext w:val="0"/>
        <w:keepLines/>
        <w:pageBreakBefore w:val="0"/>
        <w:widowControl/>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sectPr>
          <w:pgSz w:w="11906" w:h="16838"/>
          <w:pgMar w:top="1440" w:right="1800" w:bottom="1440" w:left="1800" w:header="851" w:footer="992" w:gutter="0"/>
          <w:cols w:num="1" w:space="425"/>
          <w:docGrid w:type="lines" w:linePitch="312" w:charSpace="0"/>
        </w:sectPr>
      </w:pPr>
      <w:r>
        <w:rPr>
          <w:rFonts w:ascii="Times New Roman" w:eastAsia="仿宋" w:hAnsi="Times New Roman" w:cs="仿宋" w:hint="eastAsia"/>
          <w:sz w:val="32"/>
          <w:szCs w:val="32"/>
        </w:rPr>
        <w:t>待分配</w:t>
      </w:r>
      <w:r>
        <w:rPr>
          <w:rFonts w:ascii="Times New Roman" w:eastAsia="仿宋" w:hAnsi="Times New Roman" w:cs="仿宋" w:hint="eastAsia"/>
          <w:sz w:val="32"/>
          <w:szCs w:val="32"/>
          <w:lang w:val="en-US"/>
        </w:rPr>
        <w:t>项目</w:t>
      </w:r>
      <w:r>
        <w:rPr>
          <w:rFonts w:ascii="Times New Roman" w:eastAsia="仿宋" w:hAnsi="Times New Roman" w:cs="仿宋" w:hint="eastAsia"/>
          <w:sz w:val="32"/>
          <w:szCs w:val="32"/>
          <w:lang w:val="en-US"/>
        </w:rPr>
        <w:t>的</w:t>
      </w:r>
      <w:r>
        <w:rPr>
          <w:rFonts w:ascii="Times New Roman" w:eastAsia="仿宋" w:hAnsi="Times New Roman" w:cs="仿宋" w:hint="default"/>
          <w:sz w:val="32"/>
          <w:szCs w:val="32"/>
        </w:rPr>
        <w:t>《</w:t>
      </w:r>
      <w:r>
        <w:rPr>
          <w:rFonts w:ascii="Times New Roman" w:eastAsia="仿宋" w:hAnsi="Times New Roman" w:cs="仿宋" w:hint="eastAsia"/>
          <w:sz w:val="32"/>
          <w:szCs w:val="32"/>
          <w:lang w:val="en-US"/>
        </w:rPr>
        <w:t>项目支出绩效自评表</w:t>
      </w:r>
      <w:r>
        <w:rPr>
          <w:rFonts w:ascii="Times New Roman" w:eastAsia="仿宋" w:hAnsi="Times New Roman" w:cs="仿宋" w:hint="default"/>
          <w:sz w:val="32"/>
          <w:szCs w:val="32"/>
        </w:rPr>
        <w:t>》。</w:t>
      </w:r>
    </w:p>
    <w:p>
      <w:pPr>
        <w:sectPr>
          <w:pgSz w:w="11906" w:h="16838"/>
          <w:pgMar w:top="1440" w:right="1800" w:bottom="1440" w:left="1800" w:header="851" w:footer="992" w:gutter="0"/>
          <w:cols w:num="1" w:space="425"/>
          <w:docGrid w:type="lines" w:linePitch="312" w:charSpace="0"/>
        </w:sectPr>
      </w:pPr>
    </w:p>
    <w:p>
      <w:pPr>
        <w:sectPr>
          <w:pgSz w:w="11906" w:h="16838"/>
          <w:pgMar w:top="1440" w:right="1800" w:bottom="1440" w:left="1800" w:header="851" w:footer="992" w:gutter="0"/>
          <w:cols w:num="1" w:space="425"/>
          <w:docGrid w:type="lines" w:linePitch="312" w:charSpace="0"/>
        </w:sectPr>
      </w:pPr>
      <w:r>
        <w:drawing>
          <wp:inline distT="0" distB="0" distL="114300" distR="114300">
            <wp:extent cx="5273040" cy="6205220"/>
            <wp:effectExtent l="0" t="0" r="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62052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eastAsia"/>
          <w:sz w:val="32"/>
          <w:szCs w:val="32"/>
        </w:rPr>
        <w:t>购买辅助岗位经费</w:t>
      </w:r>
      <w:r>
        <w:rPr>
          <w:rFonts w:ascii="Times New Roman" w:eastAsia="仿宋" w:hAnsi="Times New Roman" w:cs="仿宋" w:hint="eastAsia"/>
          <w:sz w:val="32"/>
          <w:szCs w:val="32"/>
          <w:lang w:val="en-US" w:eastAsia="zh-CN"/>
        </w:rPr>
        <w:t>项目绩效</w:t>
      </w:r>
      <w:r>
        <w:rPr>
          <w:rFonts w:ascii="Times New Roman" w:eastAsia="仿宋" w:hAnsi="Times New Roman" w:cs="仿宋" w:hint="eastAsia"/>
          <w:sz w:val="32"/>
          <w:szCs w:val="32"/>
          <w:lang w:val="en-US"/>
        </w:rPr>
        <w:t>自评综述</w:t>
      </w:r>
      <w:r>
        <w:rPr>
          <w:rFonts w:ascii="Times New Roman" w:eastAsia="仿宋" w:hAnsi="Times New Roman" w:cs="仿宋" w:hint="default"/>
          <w:sz w:val="32"/>
          <w:szCs w:val="32"/>
        </w:rPr>
        <w:t>：根据年初设定的绩效目标，项目绩效自评得分为99.93分。全年预算数为280.57万元，执行数为278.72万元，完成预算的99.34%。项目绩效目标完成情况：提高新城办公共管理和服务水平，完成年度工作任务。发现的主要问题及原因：经费保障不及时，资金紧张。下一步改进措施：争取全年目标计划，提高服务水平。</w:t>
      </w:r>
    </w:p>
    <w:p>
      <w:pPr>
        <w:keepNext w:val="0"/>
        <w:keepLines/>
        <w:pageBreakBefore w:val="0"/>
        <w:widowControl/>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sectPr>
          <w:pgSz w:w="11906" w:h="16838"/>
          <w:pgMar w:top="1440" w:right="1800" w:bottom="1440" w:left="1800" w:header="851" w:footer="992" w:gutter="0"/>
          <w:cols w:num="1" w:space="425"/>
          <w:docGrid w:type="lines" w:linePitch="312" w:charSpace="0"/>
        </w:sectPr>
      </w:pPr>
      <w:r>
        <w:rPr>
          <w:rFonts w:ascii="Times New Roman" w:eastAsia="仿宋" w:hAnsi="Times New Roman" w:cs="仿宋" w:hint="eastAsia"/>
          <w:sz w:val="32"/>
          <w:szCs w:val="32"/>
        </w:rPr>
        <w:t>购买辅助岗位经费</w:t>
      </w:r>
      <w:r>
        <w:rPr>
          <w:rFonts w:ascii="Times New Roman" w:eastAsia="仿宋" w:hAnsi="Times New Roman" w:cs="仿宋" w:hint="eastAsia"/>
          <w:sz w:val="32"/>
          <w:szCs w:val="32"/>
          <w:lang w:val="en-US"/>
        </w:rPr>
        <w:t>项目</w:t>
      </w:r>
      <w:r>
        <w:rPr>
          <w:rFonts w:ascii="Times New Roman" w:eastAsia="仿宋" w:hAnsi="Times New Roman" w:cs="仿宋" w:hint="eastAsia"/>
          <w:sz w:val="32"/>
          <w:szCs w:val="32"/>
          <w:lang w:val="en-US"/>
        </w:rPr>
        <w:t>的</w:t>
      </w:r>
      <w:r>
        <w:rPr>
          <w:rFonts w:ascii="Times New Roman" w:eastAsia="仿宋" w:hAnsi="Times New Roman" w:cs="仿宋" w:hint="default"/>
          <w:sz w:val="32"/>
          <w:szCs w:val="32"/>
        </w:rPr>
        <w:t>《</w:t>
      </w:r>
      <w:r>
        <w:rPr>
          <w:rFonts w:ascii="Times New Roman" w:eastAsia="仿宋" w:hAnsi="Times New Roman" w:cs="仿宋" w:hint="eastAsia"/>
          <w:sz w:val="32"/>
          <w:szCs w:val="32"/>
          <w:lang w:val="en-US"/>
        </w:rPr>
        <w:t>项目支出绩效自评表</w:t>
      </w:r>
      <w:r>
        <w:rPr>
          <w:rFonts w:ascii="Times New Roman" w:eastAsia="仿宋" w:hAnsi="Times New Roman" w:cs="仿宋" w:hint="default"/>
          <w:sz w:val="32"/>
          <w:szCs w:val="32"/>
        </w:rPr>
        <w:t>》。</w:t>
      </w:r>
    </w:p>
    <w:p>
      <w:pPr>
        <w:sectPr>
          <w:pgSz w:w="11906" w:h="16838"/>
          <w:pgMar w:top="1440" w:right="1800" w:bottom="1440" w:left="1800" w:header="851" w:footer="992" w:gutter="0"/>
          <w:cols w:num="1" w:space="425"/>
          <w:docGrid w:type="lines" w:linePitch="312" w:charSpace="0"/>
        </w:sectPr>
      </w:pPr>
    </w:p>
    <w:p>
      <w:pPr>
        <w:sectPr>
          <w:pgSz w:w="11906" w:h="16838"/>
          <w:pgMar w:top="1440" w:right="1800" w:bottom="1440" w:left="1800" w:header="851" w:footer="992" w:gutter="0"/>
          <w:cols w:num="1" w:space="425"/>
          <w:docGrid w:type="lines" w:linePitch="312" w:charSpace="0"/>
        </w:sectPr>
      </w:pPr>
      <w:r>
        <w:drawing>
          <wp:inline distT="0" distB="0" distL="114300" distR="114300">
            <wp:extent cx="5273040" cy="6228715"/>
            <wp:effectExtent l="0" t="0" r="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3040" cy="62287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eastAsia"/>
          <w:sz w:val="32"/>
          <w:szCs w:val="32"/>
        </w:rPr>
        <w:t>民营企业发展资金</w:t>
      </w:r>
      <w:r>
        <w:rPr>
          <w:rFonts w:ascii="Times New Roman" w:eastAsia="仿宋" w:hAnsi="Times New Roman" w:cs="仿宋" w:hint="eastAsia"/>
          <w:sz w:val="32"/>
          <w:szCs w:val="32"/>
          <w:lang w:val="en-US" w:eastAsia="zh-CN"/>
        </w:rPr>
        <w:t>项目绩效</w:t>
      </w:r>
      <w:r>
        <w:rPr>
          <w:rFonts w:ascii="Times New Roman" w:eastAsia="仿宋" w:hAnsi="Times New Roman" w:cs="仿宋" w:hint="eastAsia"/>
          <w:sz w:val="32"/>
          <w:szCs w:val="32"/>
          <w:lang w:val="en-US"/>
        </w:rPr>
        <w:t>自评综述</w:t>
      </w:r>
      <w:r>
        <w:rPr>
          <w:rFonts w:ascii="Times New Roman" w:eastAsia="仿宋" w:hAnsi="Times New Roman" w:cs="仿宋" w:hint="default"/>
          <w:sz w:val="32"/>
          <w:szCs w:val="32"/>
        </w:rPr>
        <w:t>：根据年初设定的绩效目标，项目绩效自评得分为86.16分。全年预算数为6000万元，执行数为5169.59万元，完成预算的86.16%。项目绩效目标完成情况：加大企业周转资金的流量，扩大企业再生产，增加社区就业岗位，更好的搞活地方经济，提高地方财政收入。发现的主要问题及原因：民营企业资金兑现资金按照实际缴纳资金进行支付，未达到年初预算标准。下一步改进措施：争取完成年初预算计划，提高地方财政收入。</w:t>
      </w:r>
    </w:p>
    <w:p>
      <w:pPr>
        <w:keepNext w:val="0"/>
        <w:keepLines/>
        <w:pageBreakBefore w:val="0"/>
        <w:widowControl/>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sectPr>
          <w:pgSz w:w="11906" w:h="16838"/>
          <w:pgMar w:top="1440" w:right="1800" w:bottom="1440" w:left="1800" w:header="851" w:footer="992" w:gutter="0"/>
          <w:cols w:num="1" w:space="425"/>
          <w:docGrid w:type="lines" w:linePitch="312" w:charSpace="0"/>
        </w:sectPr>
      </w:pPr>
      <w:r>
        <w:rPr>
          <w:rFonts w:ascii="Times New Roman" w:eastAsia="仿宋" w:hAnsi="Times New Roman" w:cs="仿宋" w:hint="eastAsia"/>
          <w:sz w:val="32"/>
          <w:szCs w:val="32"/>
        </w:rPr>
        <w:t>民营企业发展资金</w:t>
      </w:r>
      <w:r>
        <w:rPr>
          <w:rFonts w:ascii="Times New Roman" w:eastAsia="仿宋" w:hAnsi="Times New Roman" w:cs="仿宋" w:hint="eastAsia"/>
          <w:sz w:val="32"/>
          <w:szCs w:val="32"/>
          <w:lang w:val="en-US"/>
        </w:rPr>
        <w:t>项目</w:t>
      </w:r>
      <w:r>
        <w:rPr>
          <w:rFonts w:ascii="Times New Roman" w:eastAsia="仿宋" w:hAnsi="Times New Roman" w:cs="仿宋" w:hint="eastAsia"/>
          <w:sz w:val="32"/>
          <w:szCs w:val="32"/>
          <w:lang w:val="en-US"/>
        </w:rPr>
        <w:t>的</w:t>
      </w:r>
      <w:r>
        <w:rPr>
          <w:rFonts w:ascii="Times New Roman" w:eastAsia="仿宋" w:hAnsi="Times New Roman" w:cs="仿宋" w:hint="default"/>
          <w:sz w:val="32"/>
          <w:szCs w:val="32"/>
        </w:rPr>
        <w:t>《</w:t>
      </w:r>
      <w:r>
        <w:rPr>
          <w:rFonts w:ascii="Times New Roman" w:eastAsia="仿宋" w:hAnsi="Times New Roman" w:cs="仿宋" w:hint="eastAsia"/>
          <w:sz w:val="32"/>
          <w:szCs w:val="32"/>
          <w:lang w:val="en-US"/>
        </w:rPr>
        <w:t>项目支出绩效自评表</w:t>
      </w:r>
      <w:r>
        <w:rPr>
          <w:rFonts w:ascii="Times New Roman" w:eastAsia="仿宋" w:hAnsi="Times New Roman" w:cs="仿宋" w:hint="default"/>
          <w:sz w:val="32"/>
          <w:szCs w:val="32"/>
        </w:rPr>
        <w:t>》。</w:t>
      </w:r>
    </w:p>
    <w:p>
      <w:pPr>
        <w:sectPr>
          <w:pgSz w:w="11906" w:h="16838"/>
          <w:pgMar w:top="1440" w:right="1800" w:bottom="1440" w:left="1800" w:header="851" w:footer="992" w:gutter="0"/>
          <w:cols w:num="1" w:space="425"/>
          <w:docGrid w:type="lines" w:linePitch="312" w:charSpace="0"/>
        </w:sectPr>
      </w:pPr>
    </w:p>
    <w:p>
      <w:pPr>
        <w:sectPr>
          <w:pgSz w:w="11906" w:h="16838"/>
          <w:pgMar w:top="1440" w:right="1800" w:bottom="1440" w:left="1800" w:header="851" w:footer="992" w:gutter="0"/>
          <w:cols w:num="1" w:space="425"/>
          <w:docGrid w:type="lines" w:linePitch="312" w:charSpace="0"/>
        </w:sectPr>
      </w:pPr>
      <w:r>
        <w:drawing>
          <wp:inline distT="0" distB="0" distL="114300" distR="114300">
            <wp:extent cx="5268595" cy="5541010"/>
            <wp:effectExtent l="0" t="0" r="8255" b="2540"/>
            <wp:docPr id="16872879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8595" cy="554101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pPr>
      <w:r>
        <w:rPr>
          <w:rFonts w:ascii="Times New Roman" w:eastAsia="仿宋" w:hAnsi="Times New Roman" w:cs="仿宋" w:hint="eastAsia"/>
          <w:sz w:val="32"/>
          <w:szCs w:val="32"/>
        </w:rPr>
        <w:t>社区物业费</w:t>
      </w:r>
      <w:r>
        <w:rPr>
          <w:rFonts w:ascii="Times New Roman" w:eastAsia="仿宋" w:hAnsi="Times New Roman" w:cs="仿宋" w:hint="eastAsia"/>
          <w:sz w:val="32"/>
          <w:szCs w:val="32"/>
          <w:lang w:val="en-US" w:eastAsia="zh-CN"/>
        </w:rPr>
        <w:t>项目绩效</w:t>
      </w:r>
      <w:r>
        <w:rPr>
          <w:rFonts w:ascii="Times New Roman" w:eastAsia="仿宋" w:hAnsi="Times New Roman" w:cs="仿宋" w:hint="eastAsia"/>
          <w:sz w:val="32"/>
          <w:szCs w:val="32"/>
          <w:lang w:val="en-US"/>
        </w:rPr>
        <w:t>自评综述</w:t>
      </w:r>
      <w:r>
        <w:rPr>
          <w:rFonts w:ascii="Times New Roman" w:eastAsia="仿宋" w:hAnsi="Times New Roman" w:cs="仿宋" w:hint="default"/>
          <w:sz w:val="32"/>
          <w:szCs w:val="32"/>
        </w:rPr>
        <w:t>：根据年初设定的绩效目标，项目绩效自评得分为100分。全年预算数为123.17万元，执行数为123.17万元，完成预算的100%。项目绩效目标完成情况：保障翠湖和梅塘社区基础性物业管理服务。发现的主要问题及原因：保障翠湖和梅塘社区基础性物业管理服务。下一步改进措施：已经完成全年目标计划数。</w:t>
      </w:r>
    </w:p>
    <w:p>
      <w:pPr>
        <w:keepNext w:val="0"/>
        <w:keepLines/>
        <w:pageBreakBefore w:val="0"/>
        <w:widowControl/>
        <w:kinsoku/>
        <w:wordWrap/>
        <w:overflowPunct/>
        <w:topLinePunct w:val="0"/>
        <w:autoSpaceDE/>
        <w:autoSpaceDN/>
        <w:bidi w:val="0"/>
        <w:adjustRightInd/>
        <w:snapToGrid/>
        <w:spacing w:line="360" w:lineRule="auto"/>
        <w:ind w:firstLine="420" w:firstLineChars="200"/>
        <w:textAlignment w:val="auto"/>
        <w:rPr>
          <w:rFonts w:ascii="Times New Roman" w:eastAsia="仿宋" w:hAnsi="Times New Roman" w:cs="仿宋" w:hint="default"/>
          <w:sz w:val="32"/>
          <w:szCs w:val="32"/>
        </w:rPr>
        <w:sectPr>
          <w:pgSz w:w="11906" w:h="16838"/>
          <w:pgMar w:top="1440" w:right="1800" w:bottom="1440" w:left="1800" w:header="851" w:footer="992" w:gutter="0"/>
          <w:cols w:num="1" w:space="425"/>
          <w:docGrid w:type="lines" w:linePitch="312" w:charSpace="0"/>
        </w:sectPr>
      </w:pPr>
      <w:r>
        <w:rPr>
          <w:rFonts w:ascii="Times New Roman" w:eastAsia="仿宋" w:hAnsi="Times New Roman" w:cs="仿宋" w:hint="eastAsia"/>
          <w:sz w:val="32"/>
          <w:szCs w:val="32"/>
        </w:rPr>
        <w:t>社区物业费</w:t>
      </w:r>
      <w:r>
        <w:rPr>
          <w:rFonts w:ascii="Times New Roman" w:eastAsia="仿宋" w:hAnsi="Times New Roman" w:cs="仿宋" w:hint="eastAsia"/>
          <w:sz w:val="32"/>
          <w:szCs w:val="32"/>
          <w:lang w:val="en-US"/>
        </w:rPr>
        <w:t>项目</w:t>
      </w:r>
      <w:r>
        <w:rPr>
          <w:rFonts w:ascii="Times New Roman" w:eastAsia="仿宋" w:hAnsi="Times New Roman" w:cs="仿宋" w:hint="eastAsia"/>
          <w:sz w:val="32"/>
          <w:szCs w:val="32"/>
          <w:lang w:val="en-US"/>
        </w:rPr>
        <w:t>的</w:t>
      </w:r>
      <w:r>
        <w:rPr>
          <w:rFonts w:ascii="Times New Roman" w:eastAsia="仿宋" w:hAnsi="Times New Roman" w:cs="仿宋" w:hint="default"/>
          <w:sz w:val="32"/>
          <w:szCs w:val="32"/>
        </w:rPr>
        <w:t>《</w:t>
      </w:r>
      <w:r>
        <w:rPr>
          <w:rFonts w:ascii="Times New Roman" w:eastAsia="仿宋" w:hAnsi="Times New Roman" w:cs="仿宋" w:hint="eastAsia"/>
          <w:sz w:val="32"/>
          <w:szCs w:val="32"/>
          <w:lang w:val="en-US"/>
        </w:rPr>
        <w:t>项目支出绩效自评表</w:t>
      </w:r>
      <w:r>
        <w:rPr>
          <w:rFonts w:ascii="Times New Roman" w:eastAsia="仿宋" w:hAnsi="Times New Roman" w:cs="仿宋" w:hint="default"/>
          <w:sz w:val="32"/>
          <w:szCs w:val="32"/>
        </w:rPr>
        <w:t>》。</w:t>
      </w:r>
    </w:p>
    <w:p>
      <w:pPr>
        <w:sectPr>
          <w:pgSz w:w="11906" w:h="16838"/>
          <w:pgMar w:top="1440" w:right="1800" w:bottom="1440" w:left="1800" w:header="851" w:footer="992" w:gutter="0"/>
          <w:cols w:num="1" w:space="425"/>
          <w:docGrid w:type="lines" w:linePitch="312" w:charSpace="0"/>
        </w:sectPr>
      </w:pPr>
    </w:p>
    <w:p>
      <w:pPr>
        <w:sectPr>
          <w:pgSz w:w="11906" w:h="16838"/>
          <w:pgMar w:top="1440" w:right="1800" w:bottom="1440" w:left="1800" w:header="851" w:footer="992" w:gutter="0"/>
          <w:cols w:num="1" w:space="425"/>
          <w:docGrid w:type="lines" w:linePitch="312" w:charSpace="0"/>
        </w:sectPr>
      </w:pPr>
      <w:r>
        <w:drawing>
          <wp:inline distT="0" distB="0" distL="114300" distR="114300">
            <wp:extent cx="5273040" cy="6162040"/>
            <wp:effectExtent l="0" t="0" r="0" b="1016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73040" cy="616204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ascii="Times New Roman" w:eastAsia="仿宋" w:hAnsi="Times New Roman" w:cs="仿宋" w:hint="default"/>
          <w:b w:val="0"/>
          <w:bCs w:val="0"/>
          <w:sz w:val="32"/>
          <w:szCs w:val="32"/>
        </w:rPr>
      </w:pPr>
      <w:r>
        <w:rPr>
          <w:rFonts w:ascii="Times New Roman" w:eastAsia="仿宋" w:hAnsi="Times New Roman" w:cs="仿宋" w:hint="default"/>
          <w:b w:val="0"/>
          <w:bCs w:val="0"/>
          <w:sz w:val="32"/>
          <w:szCs w:val="32"/>
        </w:rPr>
        <w:t>所有项目绩效自评表详见“附件1：2024年度项目支出绩效自评表”。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ascii="Times New Roman" w:eastAsia="楷体" w:hAnsi="Times New Roman" w:cs="楷体" w:hint="eastAsia"/>
          <w:b/>
          <w:bCs/>
          <w:sz w:val="32"/>
          <w:szCs w:val="32"/>
        </w:rPr>
      </w:pPr>
      <w:r>
        <w:rPr>
          <w:rFonts w:ascii="Times New Roman" w:eastAsia="楷体" w:hAnsi="Times New Roman" w:cs="楷体" w:hint="eastAsia"/>
          <w:b/>
          <w:bCs/>
          <w:sz w:val="32"/>
          <w:szCs w:val="32"/>
        </w:rPr>
        <w:t>（3）部门评价结果。</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ascii="Times New Roman" w:eastAsia="仿宋" w:hAnsi="Times New Roman" w:cs="仿宋" w:hint="eastAsia"/>
          <w:b w:val="0"/>
          <w:bCs w:val="0"/>
          <w:sz w:val="32"/>
          <w:szCs w:val="32"/>
        </w:rPr>
        <w:sectPr>
          <w:pgSz w:w="11906" w:h="16838"/>
          <w:pgMar w:top="1440" w:right="1800" w:bottom="1440" w:left="1800" w:header="851" w:footer="992" w:gutter="0"/>
          <w:cols w:num="1" w:space="425"/>
          <w:docGrid w:type="lines" w:linePitch="312" w:charSpace="0"/>
        </w:sectPr>
      </w:pPr>
      <w:r>
        <w:rPr>
          <w:rFonts w:ascii="Times New Roman" w:eastAsia="仿宋" w:hAnsi="Times New Roman" w:cs="仿宋" w:hint="default"/>
          <w:b w:val="0"/>
          <w:bCs w:val="0"/>
          <w:sz w:val="32"/>
          <w:szCs w:val="32"/>
        </w:rPr>
        <w:t>《2024年度民营企业发展资金项目绩效评价报告》详见“附件2：2024年度民营企业发展资金项目绩效评价报告”。</w:t>
      </w:r>
    </w:p>
    <w:p>
      <w:pPr>
        <w:keepNext w:val="0"/>
        <w:keepLines w:val="0"/>
        <w:pageBreakBefore/>
        <w:widowControl w:val="0"/>
        <w:kinsoku/>
        <w:wordWrap/>
        <w:overflowPunct/>
        <w:topLinePunct w:val="0"/>
        <w:autoSpaceDE/>
        <w:autoSpaceDN/>
        <w:bidi w:val="0"/>
        <w:adjustRightInd/>
        <w:snapToGrid/>
        <w:ind w:firstLine="420" w:firstLineChars="200"/>
        <w:textAlignment w:val="auto"/>
        <w:rPr>
          <w:rFonts w:ascii="Times New Roman" w:eastAsia="黑体" w:hAnsi="Times New Roman" w:cs="黑体" w:hint="eastAsia"/>
          <w:sz w:val="32"/>
          <w:szCs w:val="32"/>
        </w:rPr>
      </w:pPr>
      <w:r>
        <w:rPr>
          <w:rFonts w:ascii="Times New Roman" w:eastAsia="黑体" w:hAnsi="Times New Roman" w:cs="黑体" w:hint="eastAsia"/>
          <w:sz w:val="32"/>
          <w:szCs w:val="32"/>
        </w:rPr>
        <w:t>第四部分 名词解释</w:t>
      </w:r>
    </w:p>
    <w:p>
      <w:pPr>
        <w:jc w:val="both"/>
      </w:pPr>
      <w:r>
        <w:rPr>
          <w:rFonts w:ascii="Times New Roman" w:eastAsia="仿宋_GB2312" w:hAnsi="Times New Roman"/>
          <w:b/>
          <w:sz w:val="32"/>
        </w:rPr>
        <w:t>　　一、财政拨款收入：</w:t>
      </w:r>
      <w:r>
        <w:rPr>
          <w:rFonts w:ascii="Times New Roman" w:eastAsia="仿宋" w:hAnsi="Times New Roman"/>
          <w:b w:val="0"/>
          <w:sz w:val="32"/>
        </w:rPr>
        <w:t>指部门或单位从同级财政部门取得的财政预算资金。</w:t>
      </w:r>
    </w:p>
    <w:p>
      <w:pPr>
        <w:jc w:val="both"/>
      </w:pPr>
      <w:r>
        <w:rPr>
          <w:rFonts w:ascii="Times New Roman" w:eastAsia="仿宋_GB2312" w:hAnsi="Times New Roman"/>
          <w:b/>
          <w:sz w:val="32"/>
        </w:rPr>
        <w:t>　　二、事业收入：</w:t>
      </w:r>
      <w:r>
        <w:rPr>
          <w:rFonts w:ascii="Times New Roman" w:eastAsia="仿宋" w:hAnsi="Times New Roman"/>
          <w:b w:val="0"/>
          <w:sz w:val="32"/>
        </w:rPr>
        <w:t>指事业单位开展专业业务活动及辅助活动所取得的收入。</w:t>
      </w:r>
    </w:p>
    <w:p>
      <w:pPr>
        <w:jc w:val="both"/>
      </w:pPr>
      <w:r>
        <w:rPr>
          <w:rFonts w:ascii="Times New Roman" w:eastAsia="仿宋_GB2312" w:hAnsi="Times New Roman"/>
          <w:b/>
          <w:sz w:val="32"/>
        </w:rPr>
        <w:t>　　三、财政专户管理资金：</w:t>
      </w:r>
      <w:r>
        <w:rPr>
          <w:rFonts w:ascii="Times New Roman" w:eastAsia="仿宋" w:hAnsi="Times New Roman"/>
          <w:b w:val="0"/>
          <w:sz w:val="32"/>
        </w:rPr>
        <w:t>指按照非税收入管理相关规定，纳入财政专户管理的教育收费等。</w:t>
      </w:r>
    </w:p>
    <w:p>
      <w:pPr>
        <w:jc w:val="both"/>
      </w:pPr>
      <w:r>
        <w:rPr>
          <w:rFonts w:ascii="Times New Roman" w:eastAsia="仿宋_GB2312" w:hAnsi="Times New Roman"/>
          <w:b/>
          <w:sz w:val="32"/>
        </w:rPr>
        <w:t>　　四、事业单位经营收入：</w:t>
      </w:r>
      <w:r>
        <w:rPr>
          <w:rFonts w:ascii="Times New Roman" w:eastAsia="仿宋" w:hAnsi="Times New Roman"/>
          <w:b w:val="0"/>
          <w:sz w:val="32"/>
        </w:rPr>
        <w:t>指事业单位在专业业务活动及其辅助活动之外开展非独立核算经营活动取得的收入。</w:t>
      </w:r>
    </w:p>
    <w:p>
      <w:pPr>
        <w:jc w:val="both"/>
      </w:pPr>
      <w:r>
        <w:rPr>
          <w:rFonts w:ascii="Times New Roman" w:eastAsia="仿宋_GB2312" w:hAnsi="Times New Roman"/>
          <w:b/>
          <w:sz w:val="32"/>
        </w:rPr>
        <w:t>　　五、附属单位上缴收入：</w:t>
      </w:r>
      <w:r>
        <w:rPr>
          <w:rFonts w:ascii="Times New Roman" w:eastAsia="仿宋" w:hAnsi="Times New Roman"/>
          <w:b w:val="0"/>
          <w:sz w:val="32"/>
        </w:rPr>
        <w:t>指单位所属下级单位上缴给本单位的全部收入。</w:t>
      </w:r>
    </w:p>
    <w:p>
      <w:pPr>
        <w:jc w:val="both"/>
      </w:pPr>
      <w:r>
        <w:rPr>
          <w:rFonts w:ascii="Times New Roman" w:eastAsia="仿宋_GB2312" w:hAnsi="Times New Roman"/>
          <w:b/>
          <w:sz w:val="32"/>
        </w:rPr>
        <w:t>　　六、上年结转：</w:t>
      </w:r>
      <w:r>
        <w:rPr>
          <w:rFonts w:ascii="Times New Roman" w:eastAsia="仿宋" w:hAnsi="Times New Roman"/>
          <w:b w:val="0"/>
          <w:sz w:val="32"/>
        </w:rPr>
        <w:t>指以前年度安排、结转到本年仍按原用途继续使用的资金。</w:t>
      </w:r>
    </w:p>
    <w:p>
      <w:pPr>
        <w:jc w:val="both"/>
      </w:pPr>
      <w:r>
        <w:rPr>
          <w:rFonts w:ascii="Times New Roman" w:eastAsia="仿宋_GB2312" w:hAnsi="Times New Roman"/>
          <w:b/>
          <w:sz w:val="32"/>
        </w:rPr>
        <w:t>　　七、结转下年：</w:t>
      </w:r>
      <w:r>
        <w:rPr>
          <w:rFonts w:ascii="Times New Roman" w:eastAsia="仿宋" w:hAnsi="Times New Roman"/>
          <w:b w:val="0"/>
          <w:sz w:val="32"/>
        </w:rPr>
        <w:t>指以前年度预算安排、因客观条件发生变化无法按原计划实施，需以后年度按原用途继续使用的资金。</w:t>
      </w:r>
    </w:p>
    <w:p>
      <w:pPr>
        <w:jc w:val="both"/>
      </w:pPr>
      <w:r>
        <w:rPr>
          <w:rFonts w:ascii="Times New Roman" w:eastAsia="仿宋_GB2312" w:hAnsi="Times New Roman"/>
          <w:b/>
          <w:sz w:val="32"/>
        </w:rPr>
        <w:t>　　八、基本支出：</w:t>
      </w:r>
      <w:r>
        <w:rPr>
          <w:rFonts w:ascii="Times New Roman" w:eastAsia="仿宋" w:hAnsi="Times New Roman"/>
          <w:b w:val="0"/>
          <w:sz w:val="32"/>
        </w:rPr>
        <w:t>指为保障机构正常运转、完成日常工作任务而发生的人员支出和公用支出。</w:t>
      </w:r>
    </w:p>
    <w:p>
      <w:pPr>
        <w:jc w:val="both"/>
      </w:pPr>
      <w:r>
        <w:rPr>
          <w:rFonts w:ascii="Times New Roman" w:eastAsia="仿宋_GB2312" w:hAnsi="Times New Roman"/>
          <w:b/>
          <w:sz w:val="32"/>
        </w:rPr>
        <w:t>　　九、项目支出：</w:t>
      </w:r>
      <w:r>
        <w:rPr>
          <w:rFonts w:ascii="Times New Roman" w:eastAsia="仿宋" w:hAnsi="Times New Roman"/>
          <w:b w:val="0"/>
          <w:sz w:val="32"/>
        </w:rPr>
        <w:t>指在除基本支出之外的支出，主要用于完成特定的工作任务和事业发展目标。</w:t>
      </w:r>
    </w:p>
    <w:p>
      <w:pPr>
        <w:jc w:val="both"/>
      </w:pPr>
      <w:r>
        <w:rPr>
          <w:rFonts w:ascii="Times New Roman" w:eastAsia="仿宋_GB2312" w:hAnsi="Times New Roman"/>
          <w:b/>
          <w:sz w:val="32"/>
        </w:rPr>
        <w:t>　　十、机关运行经费：</w:t>
      </w:r>
      <w:r>
        <w:rPr>
          <w:rFonts w:ascii="Times New Roman" w:eastAsia="仿宋" w:hAnsi="Times New Roman"/>
          <w:b w:val="0"/>
          <w:sz w:val="32"/>
        </w:rPr>
        <w:t>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w:t>
      </w:r>
    </w:p>
    <w:p>
      <w:pPr>
        <w:jc w:val="both"/>
        <w:sectPr>
          <w:pgSz w:w="11906" w:h="16838"/>
          <w:pgMar w:top="1440" w:right="1800" w:bottom="1440" w:left="1800" w:header="851" w:footer="992" w:gutter="0"/>
          <w:cols w:num="1" w:space="425"/>
          <w:docGrid w:type="lines" w:linePitch="312" w:charSpace="0"/>
        </w:sectPr>
      </w:pPr>
      <w:r>
        <w:rPr>
          <w:rFonts w:ascii="Times New Roman" w:eastAsia="仿宋_GB2312" w:hAnsi="Times New Roman"/>
          <w:b/>
          <w:sz w:val="32"/>
        </w:rPr>
        <w:t>　　十一、“三公”经费：</w:t>
      </w:r>
      <w:r>
        <w:rPr>
          <w:rFonts w:ascii="Times New Roman" w:eastAsia="仿宋" w:hAnsi="Times New Roman"/>
          <w:b w:val="0"/>
          <w:sz w:val="32"/>
        </w:rPr>
        <w:t>纳入财政预决算管理的“三公”经费，是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燃料费、维修费、过桥过路费、保险费、安全奖励费用等支出；公务接待费反映单位按规定开支的各类公务接待（含外宾接待）支出。</w:t>
      </w:r>
    </w:p>
    <w:p>
      <w:pPr>
        <w:keepNext/>
        <w:keepLines/>
        <w:pageBreakBefore/>
        <w:widowControl w:val="0"/>
        <w:kinsoku/>
        <w:wordWrap/>
        <w:overflowPunct/>
        <w:topLinePunct w:val="0"/>
        <w:autoSpaceDE/>
        <w:autoSpaceDN/>
        <w:bidi w:val="0"/>
        <w:adjustRightInd/>
        <w:snapToGrid/>
        <w:spacing w:before="156" w:beforeLines="50" w:after="156" w:afterLines="50" w:line="360" w:lineRule="auto"/>
        <w:jc w:val="left"/>
        <w:textAlignment w:val="auto"/>
        <w:rPr>
          <w:rFonts w:ascii="Times New Roman" w:eastAsia="仿宋_GB2312" w:hAnsi="Times New Roman" w:cs="Times New Roman" w:hint="default"/>
          <w:b w:val="0"/>
          <w:bCs w:val="0"/>
          <w:sz w:val="32"/>
          <w:szCs w:val="32"/>
          <w:lang w:val="en-US" w:eastAsia="zh-CN"/>
        </w:rPr>
      </w:pPr>
      <w:r>
        <w:rPr>
          <w:rFonts w:ascii="Times New Roman Bold" w:eastAsia="仿宋_GB2312" w:hAnsi="Times New Roman Bold" w:cs="Times New Roman Bold" w:hint="default"/>
          <w:b/>
          <w:bCs/>
          <w:sz w:val="32"/>
          <w:szCs w:val="32"/>
          <w:lang w:val="en-US" w:eastAsia="zh-CN"/>
        </w:rPr>
        <w:t>附件：</w:t>
      </w:r>
      <w:r>
        <w:rPr>
          <w:rFonts w:ascii="Times New Roman" w:eastAsia="仿宋_GB2312" w:hAnsi="Times New Roman" w:cs="Times New Roman" w:hint="default"/>
          <w:b w:val="0"/>
          <w:bCs w:val="0"/>
          <w:sz w:val="32"/>
          <w:szCs w:val="32"/>
          <w:lang w:val="en-US" w:eastAsia="zh-CN"/>
        </w:rPr>
        <w:t>1.2024年度项目支出绩效自评表</w:t>
      </w:r>
    </w:p>
    <w:p>
      <w:pPr>
        <w:keepNext w:val="0"/>
        <w:keepLines w:val="0"/>
        <w:pageBreakBefore w:val="0"/>
        <w:widowControl w:val="0"/>
        <w:kinsoku/>
        <w:wordWrap/>
        <w:overflowPunct/>
        <w:topLinePunct w:val="0"/>
        <w:autoSpaceDE/>
        <w:autoSpaceDN/>
        <w:bidi w:val="0"/>
        <w:adjustRightInd/>
        <w:snapToGrid/>
        <w:spacing w:before="312" w:beforeLines="100" w:after="156" w:afterLines="50" w:line="360" w:lineRule="auto"/>
        <w:jc w:val="center"/>
        <w:textAlignment w:val="auto"/>
        <w:rPr>
          <w:rFonts w:ascii="Times New Roman" w:eastAsia="仿宋_GB2312" w:hAnsi="Times New Roman" w:cs="Times New Roman" w:hint="eastAsia"/>
          <w:b w:val="0"/>
          <w:bCs w:val="0"/>
          <w:sz w:val="32"/>
          <w:szCs w:val="32"/>
          <w:lang w:val="en-US" w:eastAsia="zh-CN"/>
        </w:rPr>
      </w:pPr>
      <w:r>
        <w:rPr>
          <w:rFonts w:ascii="Times New Roman" w:eastAsia="仿宋_GB2312" w:hAnsi="Times New Roman" w:cs="Times New Roman" w:hint="eastAsia"/>
          <w:b w:val="0"/>
          <w:bCs w:val="0"/>
          <w:sz w:val="32"/>
          <w:szCs w:val="32"/>
          <w:lang w:val="en-US" w:eastAsia="zh-CN"/>
        </w:rPr>
        <w:t xml:space="preserve"> 铜陵市铜官区新城办事处绩效自评项目清单</w:t>
      </w:r>
    </w:p>
    <w:tbl>
      <w:tblPr>
        <w:tblStyle w:val="TableGrid0"/>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71"/>
        <w:gridCol w:w="6320"/>
        <w:gridCol w:w="103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82"/>
        </w:trPr>
        <w:tc>
          <w:tcPr>
            <w:tcW w:w="1171" w:type="dxa"/>
            <w:vAlign w:val="center"/>
          </w:tcPr>
          <w:p>
            <w:pPr>
              <w:jc w:val="center"/>
              <w:rPr>
                <w:rFonts w:ascii="宋体" w:eastAsia="宋体" w:hAnsi="宋体" w:cs="宋体" w:hint="eastAsia"/>
                <w:sz w:val="24"/>
                <w:szCs w:val="24"/>
                <w:vertAlign w:val="baseline"/>
                <w:lang w:val="en-US" w:eastAsia="zh-CN"/>
              </w:rPr>
            </w:pPr>
            <w:r>
              <w:rPr>
                <w:rFonts w:ascii="宋体" w:eastAsia="宋体" w:hAnsi="宋体" w:cs="宋体" w:hint="eastAsia"/>
                <w:sz w:val="24"/>
                <w:szCs w:val="24"/>
                <w:vertAlign w:val="baseline"/>
                <w:lang w:val="en-US" w:eastAsia="zh-CN"/>
              </w:rPr>
              <w:t>序号</w:t>
            </w:r>
          </w:p>
        </w:tc>
        <w:tc>
          <w:tcPr>
            <w:tcW w:w="6320" w:type="dxa"/>
            <w:vAlign w:val="center"/>
          </w:tcPr>
          <w:p>
            <w:pPr>
              <w:jc w:val="center"/>
              <w:rPr>
                <w:rFonts w:ascii="宋体" w:eastAsia="宋体" w:hAnsi="宋体" w:cs="宋体" w:hint="eastAsia"/>
                <w:sz w:val="24"/>
                <w:szCs w:val="24"/>
                <w:vertAlign w:val="baseline"/>
                <w:lang w:val="en-US" w:eastAsia="zh-CN"/>
              </w:rPr>
            </w:pPr>
            <w:r>
              <w:rPr>
                <w:rFonts w:ascii="宋体" w:eastAsia="宋体" w:hAnsi="宋体" w:cs="宋体" w:hint="eastAsia"/>
                <w:sz w:val="24"/>
                <w:szCs w:val="24"/>
                <w:vertAlign w:val="baseline"/>
                <w:lang w:val="en-US" w:eastAsia="zh-CN"/>
              </w:rPr>
              <w:t>项目名称</w:t>
            </w:r>
          </w:p>
        </w:tc>
        <w:tc>
          <w:tcPr>
            <w:tcW w:w="1031" w:type="dxa"/>
            <w:vAlign w:val="center"/>
          </w:tcPr>
          <w:p>
            <w:pPr>
              <w:jc w:val="center"/>
              <w:rPr>
                <w:rFonts w:ascii="宋体" w:eastAsia="宋体" w:hAnsi="宋体" w:cs="宋体" w:hint="eastAsia"/>
                <w:sz w:val="24"/>
                <w:szCs w:val="24"/>
                <w:vertAlign w:val="baseline"/>
                <w:lang w:val="en-US" w:eastAsia="zh-CN"/>
              </w:rPr>
            </w:pPr>
            <w:r>
              <w:rPr>
                <w:rFonts w:ascii="宋体" w:eastAsia="宋体" w:hAnsi="宋体" w:cs="宋体" w:hint="eastAsia"/>
                <w:sz w:val="24"/>
                <w:szCs w:val="24"/>
                <w:vertAlign w:val="baseline"/>
                <w:lang w:val="en-US" w:eastAsia="zh-CN"/>
              </w:rPr>
              <w:t>备注</w:t>
            </w:r>
          </w:p>
        </w:tc>
      </w:tr>
      <w:tr>
        <w:tblPrEx>
          <w:tblW w:w="0" w:type="auto"/>
          <w:tblInd w:w="0" w:type="dxa"/>
          <w:tblCellMar>
            <w:top w:w="0" w:type="dxa"/>
            <w:left w:w="108" w:type="dxa"/>
            <w:bottom w:w="0" w:type="dxa"/>
            <w:right w:w="108" w:type="dxa"/>
          </w:tblCellMar>
        </w:tblPrEx>
        <w:trPr>
          <w:trHeight w:val="0"/>
        </w:trPr>
        <w:tc>
          <w:tcPr>
            <w:tcW w:w="1171" w:type="dxa"/>
            <w:tcMar>
              <w:left w:w="20" w:type="dxa"/>
              <w:right w:w="20" w:type="dxa"/>
            </w:tcMar>
            <w:vAlign w:val="center"/>
          </w:tcPr>
          <w:p>
            <w:pPr>
              <w:spacing w:before="57" w:after="57" w:line="240" w:lineRule="auto"/>
              <w:jc w:val="center"/>
              <w:rPr>
                <w:rFonts w:ascii="宋体" w:eastAsia="宋体" w:hAnsi="宋体" w:cs="宋体" w:hint="eastAsia"/>
                <w:sz w:val="24"/>
                <w:szCs w:val="24"/>
                <w:vertAlign w:val="baseline"/>
              </w:rPr>
            </w:pPr>
            <w:r>
              <w:rPr>
                <w:rFonts w:ascii="Times New Roman" w:eastAsia="仿宋" w:hAnsi="Times New Roman"/>
                <w:b w:val="0"/>
                <w:sz w:val="32"/>
              </w:rPr>
              <w:t>1</w:t>
            </w:r>
          </w:p>
        </w:tc>
        <w:tc>
          <w:tcPr>
            <w:tcW w:w="6320" w:type="dxa"/>
            <w:tcMar>
              <w:left w:w="20" w:type="dxa"/>
              <w:right w:w="20" w:type="dxa"/>
            </w:tcMar>
            <w:vAlign w:val="center"/>
          </w:tcPr>
          <w:p>
            <w:pPr>
              <w:spacing w:before="57" w:after="57" w:line="240" w:lineRule="auto"/>
              <w:jc w:val="both"/>
              <w:rPr>
                <w:rFonts w:ascii="宋体" w:eastAsia="宋体" w:hAnsi="宋体" w:cs="宋体" w:hint="eastAsia"/>
                <w:sz w:val="24"/>
                <w:szCs w:val="24"/>
                <w:vertAlign w:val="baseline"/>
              </w:rPr>
            </w:pPr>
            <w:r>
              <w:rPr>
                <w:rFonts w:ascii="Times New Roman" w:eastAsia="仿宋" w:hAnsi="Times New Roman"/>
                <w:b w:val="0"/>
                <w:sz w:val="32"/>
              </w:rPr>
              <w:t>待分配项目</w:t>
            </w:r>
          </w:p>
        </w:tc>
        <w:tc>
          <w:tcPr>
            <w:tcW w:w="1031" w:type="dxa"/>
            <w:tcMar>
              <w:left w:w="20" w:type="dxa"/>
              <w:right w:w="20" w:type="dxa"/>
            </w:tcMar>
            <w:vAlign w:val="center"/>
          </w:tcPr>
          <w:p>
            <w:pPr>
              <w:spacing w:before="57" w:after="57" w:line="240" w:lineRule="auto"/>
              <w:jc w:val="center"/>
              <w:rPr>
                <w:rFonts w:ascii="宋体" w:eastAsia="宋体" w:hAnsi="宋体" w:cs="宋体" w:hint="eastAsia"/>
                <w:sz w:val="24"/>
                <w:szCs w:val="24"/>
                <w:vertAlign w:val="baseline"/>
              </w:rPr>
            </w:pPr>
          </w:p>
        </w:tc>
      </w:tr>
      <w:tr>
        <w:tblPrEx>
          <w:tblW w:w="0" w:type="auto"/>
          <w:tblInd w:w="0" w:type="dxa"/>
          <w:tblCellMar>
            <w:top w:w="0" w:type="dxa"/>
            <w:left w:w="108" w:type="dxa"/>
            <w:bottom w:w="0" w:type="dxa"/>
            <w:right w:w="108" w:type="dxa"/>
          </w:tblCellMar>
        </w:tblPrEx>
        <w:tc>
          <w:tcPr>
            <w:tcW w:w="1171" w:type="dxa"/>
            <w:tcMar>
              <w:left w:w="20" w:type="dxa"/>
              <w:right w:w="20" w:type="dxa"/>
            </w:tcMar>
            <w:vAlign w:val="center"/>
          </w:tcPr>
          <w:p>
            <w:pPr>
              <w:spacing w:before="57" w:after="57" w:line="240" w:lineRule="auto"/>
              <w:jc w:val="center"/>
            </w:pPr>
            <w:r>
              <w:rPr>
                <w:rFonts w:ascii="Times New Roman" w:eastAsia="仿宋" w:hAnsi="Times New Roman"/>
                <w:b w:val="0"/>
                <w:sz w:val="32"/>
              </w:rPr>
              <w:t>2</w:t>
            </w:r>
          </w:p>
        </w:tc>
        <w:tc>
          <w:tcPr>
            <w:tcW w:w="6320" w:type="dxa"/>
            <w:tcMar>
              <w:left w:w="20" w:type="dxa"/>
              <w:right w:w="20" w:type="dxa"/>
            </w:tcMar>
            <w:vAlign w:val="center"/>
          </w:tcPr>
          <w:p>
            <w:pPr>
              <w:spacing w:before="57" w:after="57" w:line="240" w:lineRule="auto"/>
            </w:pPr>
            <w:r>
              <w:rPr>
                <w:rFonts w:ascii="Times New Roman" w:eastAsia="仿宋" w:hAnsi="Times New Roman"/>
                <w:b w:val="0"/>
                <w:sz w:val="32"/>
              </w:rPr>
              <w:t>购买辅助岗位经费</w:t>
            </w:r>
          </w:p>
        </w:tc>
        <w:tc>
          <w:tcPr>
            <w:tcW w:w="1031" w:type="dxa"/>
            <w:tcMar>
              <w:left w:w="20" w:type="dxa"/>
              <w:right w:w="20" w:type="dxa"/>
            </w:tcMar>
            <w:vAlign w:val="center"/>
          </w:tcPr>
          <w:p>
            <w:pPr>
              <w:spacing w:before="57" w:after="57" w:line="240" w:lineRule="auto"/>
              <w:jc w:val="center"/>
            </w:pPr>
          </w:p>
        </w:tc>
      </w:tr>
      <w:tr>
        <w:tblPrEx>
          <w:tblW w:w="0" w:type="auto"/>
          <w:tblInd w:w="0" w:type="dxa"/>
          <w:tblCellMar>
            <w:top w:w="0" w:type="dxa"/>
            <w:left w:w="108" w:type="dxa"/>
            <w:bottom w:w="0" w:type="dxa"/>
            <w:right w:w="108" w:type="dxa"/>
          </w:tblCellMar>
        </w:tblPrEx>
        <w:tc>
          <w:tcPr>
            <w:tcW w:w="1171" w:type="dxa"/>
            <w:tcMar>
              <w:left w:w="20" w:type="dxa"/>
              <w:right w:w="20" w:type="dxa"/>
            </w:tcMar>
            <w:vAlign w:val="center"/>
          </w:tcPr>
          <w:p>
            <w:pPr>
              <w:spacing w:before="57" w:after="57" w:line="240" w:lineRule="auto"/>
              <w:jc w:val="center"/>
            </w:pPr>
            <w:r>
              <w:rPr>
                <w:rFonts w:ascii="Times New Roman" w:eastAsia="仿宋" w:hAnsi="Times New Roman"/>
                <w:b w:val="0"/>
                <w:sz w:val="32"/>
              </w:rPr>
              <w:t>3</w:t>
            </w:r>
          </w:p>
        </w:tc>
        <w:tc>
          <w:tcPr>
            <w:tcW w:w="6320" w:type="dxa"/>
            <w:tcMar>
              <w:left w:w="20" w:type="dxa"/>
              <w:right w:w="20" w:type="dxa"/>
            </w:tcMar>
            <w:vAlign w:val="center"/>
          </w:tcPr>
          <w:p>
            <w:pPr>
              <w:spacing w:before="57" w:after="57" w:line="240" w:lineRule="auto"/>
            </w:pPr>
            <w:r>
              <w:rPr>
                <w:rFonts w:ascii="Times New Roman" w:eastAsia="仿宋" w:hAnsi="Times New Roman"/>
                <w:b w:val="0"/>
                <w:sz w:val="32"/>
              </w:rPr>
              <w:t>民营企业发展资金</w:t>
            </w:r>
          </w:p>
        </w:tc>
        <w:tc>
          <w:tcPr>
            <w:tcW w:w="1031" w:type="dxa"/>
            <w:tcMar>
              <w:left w:w="20" w:type="dxa"/>
              <w:right w:w="20" w:type="dxa"/>
            </w:tcMar>
            <w:vAlign w:val="center"/>
          </w:tcPr>
          <w:p>
            <w:pPr>
              <w:spacing w:before="57" w:after="57" w:line="240" w:lineRule="auto"/>
              <w:jc w:val="center"/>
            </w:pPr>
          </w:p>
        </w:tc>
      </w:tr>
      <w:tr>
        <w:tblPrEx>
          <w:tblW w:w="0" w:type="auto"/>
          <w:tblInd w:w="0" w:type="dxa"/>
          <w:tblCellMar>
            <w:top w:w="0" w:type="dxa"/>
            <w:left w:w="108" w:type="dxa"/>
            <w:bottom w:w="0" w:type="dxa"/>
            <w:right w:w="108" w:type="dxa"/>
          </w:tblCellMar>
        </w:tblPrEx>
        <w:tc>
          <w:tcPr>
            <w:tcW w:w="1171" w:type="dxa"/>
            <w:tcMar>
              <w:left w:w="20" w:type="dxa"/>
              <w:right w:w="20" w:type="dxa"/>
            </w:tcMar>
            <w:vAlign w:val="center"/>
          </w:tcPr>
          <w:p>
            <w:pPr>
              <w:spacing w:before="57" w:after="57" w:line="240" w:lineRule="auto"/>
              <w:jc w:val="center"/>
            </w:pPr>
            <w:r>
              <w:rPr>
                <w:rFonts w:ascii="Times New Roman" w:eastAsia="仿宋" w:hAnsi="Times New Roman"/>
                <w:b w:val="0"/>
                <w:sz w:val="32"/>
              </w:rPr>
              <w:t>4</w:t>
            </w:r>
          </w:p>
        </w:tc>
        <w:tc>
          <w:tcPr>
            <w:tcW w:w="6320" w:type="dxa"/>
            <w:tcMar>
              <w:left w:w="20" w:type="dxa"/>
              <w:right w:w="20" w:type="dxa"/>
            </w:tcMar>
            <w:vAlign w:val="center"/>
          </w:tcPr>
          <w:p>
            <w:pPr>
              <w:spacing w:before="57" w:after="57" w:line="240" w:lineRule="auto"/>
            </w:pPr>
            <w:r>
              <w:rPr>
                <w:rFonts w:ascii="Times New Roman" w:eastAsia="仿宋" w:hAnsi="Times New Roman"/>
                <w:b w:val="0"/>
                <w:sz w:val="32"/>
              </w:rPr>
              <w:t>社区物业费</w:t>
            </w:r>
          </w:p>
        </w:tc>
        <w:tc>
          <w:tcPr>
            <w:tcW w:w="1031" w:type="dxa"/>
            <w:tcMar>
              <w:left w:w="20" w:type="dxa"/>
              <w:right w:w="20" w:type="dxa"/>
            </w:tcMar>
            <w:vAlign w:val="center"/>
          </w:tcPr>
          <w:p>
            <w:pPr>
              <w:spacing w:before="57" w:after="57" w:line="240" w:lineRule="auto"/>
              <w:jc w:val="center"/>
            </w:pPr>
          </w:p>
        </w:tc>
      </w:tr>
    </w:tbl>
    <w:p>
      <w:pPr>
        <w:sectPr>
          <w:pgSz w:w="11906" w:h="16838"/>
          <w:pgMar w:top="1440" w:right="1800" w:bottom="1440" w:left="1800" w:header="851" w:footer="992" w:gutter="0"/>
          <w:cols w:num="1" w:space="425"/>
          <w:docGrid w:type="lines" w:linePitch="312" w:charSpace="0"/>
        </w:sectPr>
      </w:pPr>
    </w:p>
    <w:p>
      <w:pPr>
        <w:keepNext/>
        <w:keepLines/>
        <w:pageBreakBefore/>
        <w:widowControl w:val="0"/>
        <w:kinsoku/>
        <w:wordWrap/>
        <w:overflowPunct/>
        <w:topLinePunct w:val="0"/>
        <w:autoSpaceDE/>
        <w:autoSpaceDN/>
        <w:bidi w:val="0"/>
        <w:adjustRightInd/>
        <w:snapToGrid/>
        <w:textAlignment w:val="auto"/>
        <w:rPr>
          <w:rFonts w:ascii="Times New Roman" w:eastAsia="仿宋_GB2312" w:hAnsi="Times New Roman" w:cs="仿宋_GB2312" w:hint="eastAsia"/>
          <w:b w:val="0"/>
          <w:bCs w:val="0"/>
          <w:sz w:val="32"/>
          <w:szCs w:val="32"/>
        </w:rPr>
      </w:pPr>
      <w:r>
        <w:rPr>
          <w:rFonts w:ascii="Times New Roman" w:eastAsia="仿宋_GB2312" w:hAnsi="Times New Roman" w:cs="仿宋_GB2312" w:hint="default"/>
          <w:b w:val="0"/>
          <w:bCs w:val="0"/>
          <w:sz w:val="32"/>
          <w:szCs w:val="32"/>
          <w:lang w:val="en-US"/>
        </w:rPr>
        <w:t>1.待分配项目项目支出绩效自评表</w:t>
      </w:r>
    </w:p>
    <w:p>
      <w:pPr>
        <w:sectPr>
          <w:pgSz w:w="11906" w:h="16838"/>
          <w:pgMar w:top="1440" w:right="1800" w:bottom="1440" w:left="1800" w:header="851" w:footer="992" w:gutter="0"/>
          <w:cols w:num="1" w:space="425"/>
          <w:docGrid w:type="lines" w:linePitch="312" w:charSpace="0"/>
        </w:sectPr>
      </w:pPr>
      <w:r>
        <w:drawing>
          <wp:inline distT="0" distB="0" distL="114300" distR="114300">
            <wp:extent cx="5273040" cy="6205220"/>
            <wp:effectExtent l="0" t="0" r="0" b="12700"/>
            <wp:docPr id="20974535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6205220"/>
                    </a:xfrm>
                    <a:prstGeom prst="rect">
                      <a:avLst/>
                    </a:prstGeom>
                    <a:noFill/>
                    <a:ln>
                      <a:noFill/>
                    </a:ln>
                  </pic:spPr>
                </pic:pic>
              </a:graphicData>
            </a:graphic>
          </wp:inline>
        </w:drawing>
      </w:r>
    </w:p>
    <w:p>
      <w:pPr>
        <w:keepNext/>
        <w:keepLines/>
        <w:pageBreakBefore/>
        <w:widowControl w:val="0"/>
        <w:kinsoku/>
        <w:wordWrap/>
        <w:overflowPunct/>
        <w:topLinePunct w:val="0"/>
        <w:autoSpaceDE/>
        <w:autoSpaceDN/>
        <w:bidi w:val="0"/>
        <w:adjustRightInd/>
        <w:snapToGrid/>
        <w:textAlignment w:val="auto"/>
        <w:rPr>
          <w:rFonts w:ascii="Times New Roman" w:eastAsia="仿宋_GB2312" w:hAnsi="Times New Roman" w:cs="仿宋_GB2312" w:hint="eastAsia"/>
          <w:b w:val="0"/>
          <w:bCs w:val="0"/>
          <w:sz w:val="32"/>
          <w:szCs w:val="32"/>
        </w:rPr>
      </w:pPr>
      <w:r>
        <w:rPr>
          <w:rFonts w:ascii="Times New Roman" w:eastAsia="仿宋_GB2312" w:hAnsi="Times New Roman" w:cs="仿宋_GB2312" w:hint="default"/>
          <w:b w:val="0"/>
          <w:bCs w:val="0"/>
          <w:sz w:val="32"/>
          <w:szCs w:val="32"/>
          <w:lang w:val="en-US"/>
        </w:rPr>
        <w:t>2.购买辅助岗位经费项目支出绩效自评表</w:t>
      </w:r>
    </w:p>
    <w:p>
      <w:pPr>
        <w:sectPr>
          <w:pgSz w:w="11906" w:h="16838"/>
          <w:pgMar w:top="1440" w:right="1800" w:bottom="1440" w:left="1800" w:header="851" w:footer="992" w:gutter="0"/>
          <w:cols w:num="1" w:space="425"/>
          <w:docGrid w:type="lines" w:linePitch="312" w:charSpace="0"/>
        </w:sectPr>
      </w:pPr>
      <w:r>
        <w:drawing>
          <wp:inline distT="0" distB="0" distL="114300" distR="114300">
            <wp:extent cx="5273040" cy="6228715"/>
            <wp:effectExtent l="0" t="0" r="0" b="4445"/>
            <wp:docPr id="146377405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3040" cy="6228715"/>
                    </a:xfrm>
                    <a:prstGeom prst="rect">
                      <a:avLst/>
                    </a:prstGeom>
                    <a:noFill/>
                    <a:ln>
                      <a:noFill/>
                    </a:ln>
                  </pic:spPr>
                </pic:pic>
              </a:graphicData>
            </a:graphic>
          </wp:inline>
        </w:drawing>
      </w:r>
    </w:p>
    <w:p>
      <w:pPr>
        <w:keepNext/>
        <w:keepLines/>
        <w:pageBreakBefore/>
        <w:widowControl w:val="0"/>
        <w:kinsoku/>
        <w:wordWrap/>
        <w:overflowPunct/>
        <w:topLinePunct w:val="0"/>
        <w:autoSpaceDE/>
        <w:autoSpaceDN/>
        <w:bidi w:val="0"/>
        <w:adjustRightInd/>
        <w:snapToGrid/>
        <w:textAlignment w:val="auto"/>
        <w:rPr>
          <w:rFonts w:ascii="Times New Roman" w:eastAsia="仿宋_GB2312" w:hAnsi="Times New Roman" w:cs="仿宋_GB2312" w:hint="eastAsia"/>
          <w:b w:val="0"/>
          <w:bCs w:val="0"/>
          <w:sz w:val="32"/>
          <w:szCs w:val="32"/>
        </w:rPr>
      </w:pPr>
      <w:r>
        <w:rPr>
          <w:rFonts w:ascii="Times New Roman" w:eastAsia="仿宋_GB2312" w:hAnsi="Times New Roman" w:cs="仿宋_GB2312" w:hint="default"/>
          <w:b w:val="0"/>
          <w:bCs w:val="0"/>
          <w:sz w:val="32"/>
          <w:szCs w:val="32"/>
          <w:lang w:val="en-US"/>
        </w:rPr>
        <w:t>3.民营企业发展资金项目支出绩效自评表</w:t>
      </w:r>
    </w:p>
    <w:p>
      <w:pPr>
        <w:sectPr>
          <w:pgSz w:w="11906" w:h="16838"/>
          <w:pgMar w:top="1440" w:right="1800" w:bottom="1440" w:left="1800" w:header="851" w:footer="992" w:gutter="0"/>
          <w:cols w:num="1" w:space="425"/>
          <w:docGrid w:type="lines" w:linePitch="312" w:charSpace="0"/>
        </w:sectPr>
      </w:pPr>
      <w:r>
        <w:drawing>
          <wp:inline distT="0" distB="0" distL="114300" distR="114300">
            <wp:extent cx="5268595" cy="5541010"/>
            <wp:effectExtent l="0" t="0" r="8255" b="2540"/>
            <wp:docPr id="9886406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8595" cy="5541010"/>
                    </a:xfrm>
                    <a:prstGeom prst="rect">
                      <a:avLst/>
                    </a:prstGeom>
                    <a:noFill/>
                    <a:ln>
                      <a:noFill/>
                    </a:ln>
                  </pic:spPr>
                </pic:pic>
              </a:graphicData>
            </a:graphic>
          </wp:inline>
        </w:drawing>
      </w:r>
    </w:p>
    <w:p>
      <w:pPr>
        <w:keepNext/>
        <w:keepLines/>
        <w:pageBreakBefore/>
        <w:widowControl w:val="0"/>
        <w:kinsoku/>
        <w:wordWrap/>
        <w:overflowPunct/>
        <w:topLinePunct w:val="0"/>
        <w:autoSpaceDE/>
        <w:autoSpaceDN/>
        <w:bidi w:val="0"/>
        <w:adjustRightInd/>
        <w:snapToGrid/>
        <w:textAlignment w:val="auto"/>
        <w:rPr>
          <w:rFonts w:ascii="Times New Roman" w:eastAsia="仿宋_GB2312" w:hAnsi="Times New Roman" w:cs="仿宋_GB2312" w:hint="eastAsia"/>
          <w:b w:val="0"/>
          <w:bCs w:val="0"/>
          <w:sz w:val="32"/>
          <w:szCs w:val="32"/>
        </w:rPr>
      </w:pPr>
      <w:r>
        <w:rPr>
          <w:rFonts w:ascii="Times New Roman" w:eastAsia="仿宋_GB2312" w:hAnsi="Times New Roman" w:cs="仿宋_GB2312" w:hint="default"/>
          <w:b w:val="0"/>
          <w:bCs w:val="0"/>
          <w:sz w:val="32"/>
          <w:szCs w:val="32"/>
          <w:lang w:val="en-US"/>
        </w:rPr>
        <w:t>4.社区物业费项目支出绩效自评表</w:t>
      </w:r>
    </w:p>
    <w:p>
      <w:pPr>
        <w:sectPr>
          <w:pgSz w:w="11906" w:h="16838"/>
          <w:pgMar w:top="1440" w:right="1800" w:bottom="1440" w:left="1800" w:header="851" w:footer="992" w:gutter="0"/>
          <w:cols w:num="1" w:space="425"/>
          <w:docGrid w:type="lines" w:linePitch="312" w:charSpace="0"/>
        </w:sectPr>
      </w:pPr>
      <w:r>
        <w:drawing>
          <wp:inline distT="0" distB="0" distL="114300" distR="114300">
            <wp:extent cx="5273040" cy="6162040"/>
            <wp:effectExtent l="0" t="0" r="0" b="10160"/>
            <wp:docPr id="10858159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73040" cy="6162040"/>
                    </a:xfrm>
                    <a:prstGeom prst="rect">
                      <a:avLst/>
                    </a:prstGeom>
                    <a:noFill/>
                    <a:ln>
                      <a:noFill/>
                    </a:ln>
                  </pic:spPr>
                </pic:pic>
              </a:graphicData>
            </a:graphic>
          </wp:inline>
        </w:drawing>
      </w:r>
    </w:p>
    <w:p>
      <w:pPr>
        <w:pStyle w:val="Normal1"/>
        <w:spacing w:line="600" w:lineRule="exact"/>
        <w:jc w:val="both"/>
        <w:rPr>
          <w:rFonts w:ascii="黑体" w:eastAsia="黑体" w:hAnsi="黑体" w:cs="仿宋_GB2312" w:hint="default"/>
          <w:szCs w:val="32"/>
          <w:lang w:val="en-US" w:eastAsia="zh-CN"/>
        </w:rPr>
      </w:pPr>
      <w:r>
        <w:rPr>
          <w:rFonts w:ascii="黑体" w:eastAsia="黑体" w:hAnsi="黑体" w:cs="仿宋_GB2312" w:hint="eastAsia"/>
          <w:szCs w:val="32"/>
          <w:lang w:val="en-US" w:eastAsia="zh-CN"/>
        </w:rPr>
        <w:t>附件2：</w:t>
      </w:r>
    </w:p>
    <w:p>
      <w:pPr>
        <w:pStyle w:val="Normal1"/>
        <w:spacing w:line="600" w:lineRule="exact"/>
        <w:jc w:val="center"/>
        <w:rPr>
          <w:rFonts w:ascii="黑体" w:eastAsia="黑体" w:hAnsi="黑体" w:cs="仿宋_GB2312" w:hint="eastAsia"/>
          <w:szCs w:val="32"/>
          <w:lang w:val="en-US" w:eastAsia="zh-CN"/>
        </w:rPr>
      </w:pPr>
    </w:p>
    <w:p>
      <w:pPr>
        <w:pStyle w:val="Normal1"/>
        <w:spacing w:line="600" w:lineRule="exact"/>
        <w:jc w:val="center"/>
        <w:rPr>
          <w:rFonts w:ascii="黑体" w:eastAsia="黑体" w:hAnsi="黑体" w:cs="黑体" w:hint="eastAsia"/>
          <w:sz w:val="40"/>
          <w:szCs w:val="40"/>
        </w:rPr>
      </w:pPr>
      <w:r>
        <w:rPr>
          <w:rFonts w:ascii="黑体" w:eastAsia="黑体" w:hAnsi="黑体" w:cs="黑体" w:hint="eastAsia"/>
          <w:sz w:val="40"/>
          <w:szCs w:val="40"/>
        </w:rPr>
        <w:t>2024年度民营企业发展资金项目绩效评价报告</w:t>
      </w:r>
    </w:p>
    <w:p>
      <w:pPr>
        <w:pStyle w:val="Normal1"/>
        <w:spacing w:line="600" w:lineRule="exact"/>
        <w:jc w:val="center"/>
        <w:rPr>
          <w:rFonts w:ascii="方正小标宋简体" w:eastAsia="方正小标宋简体" w:hAnsi="方正小标宋简体" w:cs="方正小标宋简体" w:hint="eastAsia"/>
          <w:sz w:val="40"/>
          <w:szCs w:val="40"/>
        </w:rPr>
      </w:pPr>
    </w:p>
    <w:p>
      <w:pPr>
        <w:pStyle w:val="Normal1"/>
        <w:spacing w:line="540" w:lineRule="exact"/>
        <w:ind w:firstLine="420" w:firstLineChars="200"/>
        <w:rPr>
          <w:rFonts w:ascii="黑体" w:eastAsia="黑体" w:hAnsi="黑体" w:cs="黑体"/>
          <w:szCs w:val="32"/>
        </w:rPr>
      </w:pPr>
      <w:r>
        <w:rPr>
          <w:rFonts w:ascii="黑体" w:eastAsia="黑体" w:hAnsi="黑体" w:cs="黑体" w:hint="eastAsia"/>
          <w:szCs w:val="32"/>
        </w:rPr>
        <w:t>一、基本情况</w:t>
      </w:r>
    </w:p>
    <w:p>
      <w:pPr>
        <w:pStyle w:val="Normal1"/>
        <w:spacing w:line="540" w:lineRule="exact"/>
        <w:ind w:firstLine="420" w:firstLineChars="200"/>
        <w:outlineLvl w:val="0"/>
        <w:rPr>
          <w:rFonts w:ascii="仿宋_GB2312" w:hAnsi="仿宋_GB2312" w:cs="仿宋_GB2312"/>
          <w:szCs w:val="32"/>
        </w:rPr>
      </w:pPr>
      <w:r>
        <w:rPr>
          <w:rFonts w:ascii="仿宋_GB2312" w:hAnsi="仿宋_GB2312" w:cs="仿宋_GB2312" w:hint="eastAsia"/>
          <w:b/>
          <w:szCs w:val="32"/>
        </w:rPr>
        <w:t>（一）项目概况。</w:t>
      </w:r>
      <w:r>
        <w:rPr>
          <w:rFonts w:ascii="仿宋_GB2312" w:hAnsi="仿宋_GB2312" w:cs="仿宋_GB2312" w:hint="eastAsia"/>
          <w:szCs w:val="32"/>
        </w:rPr>
        <w:t>为进一步培育和发展企业，支持企业做强做大，根据铜官区支持物流业发展若干政策措施，对在新城办事处辖区范围内注册登记、纳税的物流业企业，按政策给予扶持奖励。</w:t>
      </w:r>
    </w:p>
    <w:p>
      <w:pPr>
        <w:pStyle w:val="Normal1"/>
        <w:spacing w:line="540" w:lineRule="exact"/>
        <w:ind w:firstLine="420" w:firstLineChars="200"/>
        <w:rPr>
          <w:rFonts w:ascii="仿宋_GB2312" w:hAnsi="仿宋_GB2312" w:cs="仿宋_GB2312"/>
          <w:szCs w:val="32"/>
        </w:rPr>
      </w:pPr>
      <w:r>
        <w:rPr>
          <w:rFonts w:ascii="仿宋_GB2312" w:hAnsi="仿宋_GB2312" w:cs="仿宋_GB2312" w:hint="eastAsia"/>
          <w:b/>
          <w:szCs w:val="32"/>
        </w:rPr>
        <w:t>（二）项目绩效目标。</w:t>
      </w:r>
      <w:r>
        <w:rPr>
          <w:rFonts w:ascii="仿宋_GB2312" w:hAnsi="仿宋_GB2312" w:cs="仿宋_GB2312" w:hint="eastAsia"/>
          <w:szCs w:val="32"/>
        </w:rPr>
        <w:t>加大企业周转资金的流量，扩大企业再生产，增加社会就业岗位，更好地搞活地方经济，提高地方财政收入。</w:t>
      </w:r>
    </w:p>
    <w:p>
      <w:pPr>
        <w:pStyle w:val="Normal1"/>
        <w:spacing w:line="540" w:lineRule="exact"/>
        <w:ind w:firstLine="420" w:firstLineChars="200"/>
        <w:rPr>
          <w:rFonts w:ascii="黑体" w:eastAsia="黑体" w:hAnsi="黑体" w:cs="黑体"/>
          <w:szCs w:val="32"/>
        </w:rPr>
      </w:pPr>
      <w:r>
        <w:rPr>
          <w:rFonts w:ascii="黑体" w:eastAsia="黑体" w:hAnsi="黑体" w:cs="黑体" w:hint="eastAsia"/>
          <w:szCs w:val="32"/>
        </w:rPr>
        <w:t>二、绩效评价工作开展情况</w:t>
      </w:r>
    </w:p>
    <w:p>
      <w:pPr>
        <w:pStyle w:val="Normal1"/>
        <w:spacing w:line="540" w:lineRule="exact"/>
        <w:ind w:firstLine="420" w:firstLineChars="200"/>
        <w:rPr>
          <w:rFonts w:ascii="仿宋_GB2312" w:hAnsi="仿宋_GB2312" w:cs="仿宋_GB2312"/>
          <w:szCs w:val="32"/>
        </w:rPr>
      </w:pPr>
      <w:r>
        <w:rPr>
          <w:rFonts w:ascii="仿宋_GB2312" w:hAnsi="仿宋_GB2312" w:cs="仿宋_GB2312" w:hint="eastAsia"/>
          <w:b/>
          <w:szCs w:val="32"/>
        </w:rPr>
        <w:t>（一）绩效评价目的、对象和范围。</w:t>
      </w:r>
      <w:r>
        <w:rPr>
          <w:rFonts w:ascii="仿宋_GB2312" w:hAnsi="仿宋_GB2312" w:cs="仿宋_GB2312" w:hint="eastAsia"/>
          <w:szCs w:val="32"/>
        </w:rPr>
        <w:t>严格执行《预算法》，强化支出责任，提高项目资金使用效益，对项目支出情况开展绩效评价，践行“花钱必问效、无效必问责”。牢固树立过紧日子、勤俭办事的思想，实现成本最低化、效率最优化、绩效最大化，对202</w:t>
      </w:r>
      <w:r>
        <w:rPr>
          <w:rFonts w:ascii="仿宋_GB2312" w:hAnsi="仿宋_GB2312" w:cs="仿宋_GB2312" w:hint="eastAsia"/>
          <w:szCs w:val="32"/>
          <w:lang w:val="en-US" w:eastAsia="zh-CN"/>
        </w:rPr>
        <w:t>4</w:t>
      </w:r>
      <w:r>
        <w:rPr>
          <w:rFonts w:ascii="仿宋_GB2312" w:hAnsi="仿宋_GB2312" w:cs="仿宋_GB2312" w:hint="eastAsia"/>
          <w:szCs w:val="32"/>
        </w:rPr>
        <w:t>年民营企业发展资金项目开展绩效自价。</w:t>
      </w:r>
    </w:p>
    <w:p>
      <w:pPr>
        <w:pStyle w:val="Normal1"/>
        <w:spacing w:line="540" w:lineRule="exact"/>
        <w:ind w:firstLine="420" w:firstLineChars="200"/>
        <w:rPr>
          <w:rFonts w:ascii="仿宋_GB2312" w:hAnsi="仿宋_GB2312" w:cs="仿宋_GB2312"/>
          <w:szCs w:val="32"/>
        </w:rPr>
      </w:pPr>
      <w:r>
        <w:rPr>
          <w:rFonts w:ascii="仿宋_GB2312" w:hAnsi="仿宋_GB2312" w:cs="仿宋_GB2312" w:hint="eastAsia"/>
          <w:b/>
          <w:szCs w:val="32"/>
        </w:rPr>
        <w:t>（二）绩效评价原则、评价指标体系（附表说明）、评价方法、评价标准等。</w:t>
      </w:r>
      <w:r>
        <w:rPr>
          <w:rFonts w:ascii="仿宋_GB2312" w:hAnsi="仿宋_GB2312" w:cs="仿宋_GB2312" w:hint="eastAsia"/>
          <w:szCs w:val="32"/>
        </w:rPr>
        <w:t>本着科学规范、客观公正和绩效相关等原则，按照设定的指标体系，单位经办人员参与评价，收集相关信息资料，通过比较法、因素分析法、成本效益分析法、公众评判法等对支出效果进行评判、评价绩效目标实现程度。民营企业发展资金项目评价指标体系</w:t>
      </w:r>
      <w:r>
        <w:rPr>
          <w:rFonts w:ascii="仿宋_GB2312" w:hAnsi="黑体" w:cs="黑体" w:hint="eastAsia"/>
          <w:szCs w:val="32"/>
        </w:rPr>
        <w:t>包括产出指标、效益指标和满意度指标三大类一级绩效指标，共设置6项具体指标</w:t>
      </w:r>
      <w:r>
        <w:rPr>
          <w:rFonts w:ascii="仿宋_GB2312" w:hAnsi="仿宋_GB2312" w:cs="仿宋_GB2312" w:hint="eastAsia"/>
          <w:szCs w:val="32"/>
        </w:rPr>
        <w:t>。</w:t>
      </w:r>
    </w:p>
    <w:p>
      <w:pPr>
        <w:pStyle w:val="Normal1"/>
        <w:spacing w:line="540" w:lineRule="exact"/>
        <w:ind w:firstLine="420" w:firstLineChars="200"/>
        <w:rPr>
          <w:rFonts w:ascii="仿宋_GB2312" w:hAnsi="黑体" w:cs="仿宋_GB2312"/>
          <w:b/>
          <w:szCs w:val="32"/>
        </w:rPr>
      </w:pPr>
      <w:r>
        <w:rPr>
          <w:rFonts w:ascii="仿宋_GB2312" w:hAnsi="黑体" w:cs="仿宋_GB2312" w:hint="eastAsia"/>
          <w:b/>
          <w:szCs w:val="32"/>
        </w:rPr>
        <w:t>（三）绩效评价工作过程。</w:t>
      </w:r>
    </w:p>
    <w:p>
      <w:pPr>
        <w:pStyle w:val="Normal1"/>
        <w:spacing w:line="540" w:lineRule="exact"/>
        <w:ind w:firstLine="420" w:firstLineChars="200"/>
        <w:rPr>
          <w:rFonts w:ascii="仿宋_GB2312" w:hAnsi="仿宋_GB2312" w:cs="仿宋_GB2312"/>
          <w:szCs w:val="32"/>
        </w:rPr>
      </w:pPr>
      <w:r>
        <w:rPr>
          <w:rFonts w:ascii="仿宋_GB2312" w:hAnsi="仿宋_GB2312" w:cs="仿宋_GB2312" w:hint="eastAsia"/>
          <w:szCs w:val="32"/>
        </w:rPr>
        <w:t>1.前期准备。成立绩效评价小组，学习评价指标体系和绩效相关文件通知。</w:t>
      </w:r>
    </w:p>
    <w:p>
      <w:pPr>
        <w:pStyle w:val="Normal1"/>
        <w:spacing w:line="540" w:lineRule="exact"/>
        <w:ind w:firstLine="420" w:firstLineChars="200"/>
        <w:jc w:val="left"/>
        <w:rPr>
          <w:rFonts w:ascii="仿宋_GB2312" w:hAnsi="黑体" w:cs="黑体"/>
          <w:szCs w:val="32"/>
        </w:rPr>
      </w:pPr>
      <w:r>
        <w:rPr>
          <w:rFonts w:ascii="仿宋_GB2312" w:hAnsi="仿宋_GB2312" w:cs="仿宋_GB2312" w:hint="eastAsia"/>
          <w:szCs w:val="32"/>
        </w:rPr>
        <w:t>2.组织实施。按照规定的工作程序组织绩效评价自评，注重评价质量，撰写绩效评价报告。</w:t>
      </w:r>
    </w:p>
    <w:p>
      <w:pPr>
        <w:pStyle w:val="Normal1"/>
        <w:spacing w:line="540" w:lineRule="exact"/>
        <w:ind w:firstLine="420" w:firstLineChars="200"/>
        <w:rPr>
          <w:rFonts w:ascii="仿宋_GB2312" w:hAnsi="仿宋_GB2312" w:cs="仿宋_GB2312"/>
          <w:szCs w:val="32"/>
        </w:rPr>
      </w:pPr>
      <w:r>
        <w:rPr>
          <w:rFonts w:ascii="仿宋_GB2312" w:hAnsi="仿宋_GB2312" w:cs="仿宋_GB2312" w:hint="eastAsia"/>
          <w:szCs w:val="32"/>
        </w:rPr>
        <w:t>3.分析评价。对评价结果不足部分进行整改，充分运用分析评价对项目资金管理指导引领作用。</w:t>
      </w:r>
    </w:p>
    <w:p>
      <w:pPr>
        <w:pStyle w:val="Normal1"/>
        <w:spacing w:line="540" w:lineRule="exact"/>
        <w:ind w:firstLine="420" w:firstLineChars="200"/>
        <w:rPr>
          <w:rFonts w:ascii="黑体" w:eastAsia="黑体" w:hAnsi="黑体" w:cs="黑体"/>
          <w:szCs w:val="32"/>
        </w:rPr>
      </w:pPr>
      <w:r>
        <w:rPr>
          <w:rFonts w:ascii="黑体" w:eastAsia="黑体" w:hAnsi="黑体" w:cs="黑体" w:hint="eastAsia"/>
          <w:szCs w:val="32"/>
        </w:rPr>
        <w:t>三、综合评价情况及评价结论（附相关评分表）</w:t>
      </w:r>
    </w:p>
    <w:p>
      <w:pPr>
        <w:pStyle w:val="Normal1"/>
        <w:spacing w:line="540" w:lineRule="exact"/>
        <w:ind w:firstLine="420" w:firstLineChars="200"/>
        <w:rPr>
          <w:rFonts w:ascii="仿宋_GB2312" w:hAnsi="黑体" w:cs="黑体"/>
          <w:szCs w:val="32"/>
        </w:rPr>
      </w:pPr>
      <w:r>
        <w:rPr>
          <w:rFonts w:ascii="仿宋_GB2312" w:hAnsi="黑体" w:cs="黑体" w:hint="eastAsia"/>
          <w:szCs w:val="32"/>
        </w:rPr>
        <w:t>通过认真细致的准备、实施和分析，202</w:t>
      </w:r>
      <w:r>
        <w:rPr>
          <w:rFonts w:ascii="仿宋_GB2312" w:hAnsi="黑体" w:cs="黑体" w:hint="eastAsia"/>
          <w:szCs w:val="32"/>
          <w:lang w:val="en-US" w:eastAsia="zh-CN"/>
        </w:rPr>
        <w:t>4</w:t>
      </w:r>
      <w:r>
        <w:rPr>
          <w:rFonts w:ascii="仿宋_GB2312" w:hAnsi="黑体" w:cs="黑体" w:hint="eastAsia"/>
          <w:szCs w:val="32"/>
        </w:rPr>
        <w:t>年民营企业发展资金项目支出取得较好成效，绩效评价总分值100分，自评得分</w:t>
      </w:r>
      <w:r>
        <w:rPr>
          <w:rFonts w:ascii="仿宋_GB2312" w:hAnsi="黑体" w:cs="黑体" w:hint="eastAsia"/>
          <w:szCs w:val="32"/>
          <w:lang w:val="en-US" w:eastAsia="zh-CN"/>
        </w:rPr>
        <w:t>86.16</w:t>
      </w:r>
      <w:r>
        <w:rPr>
          <w:rFonts w:ascii="仿宋_GB2312" w:hAnsi="黑体" w:cs="黑体" w:hint="eastAsia"/>
          <w:szCs w:val="32"/>
        </w:rPr>
        <w:t>分，其中：</w:t>
      </w:r>
    </w:p>
    <w:p>
      <w:pPr>
        <w:pStyle w:val="Normal1"/>
        <w:rPr>
          <w:rFonts w:ascii="仿宋_GB2312" w:hAnsi="黑体" w:cs="黑体"/>
          <w:szCs w:val="32"/>
        </w:rPr>
      </w:pPr>
      <w:r>
        <w:drawing>
          <wp:inline distT="0" distB="0" distL="114300" distR="114300">
            <wp:extent cx="5607050" cy="5896610"/>
            <wp:effectExtent l="0" t="0" r="12700" b="8890"/>
            <wp:docPr id="7462728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5607050" cy="5896610"/>
                    </a:xfrm>
                    <a:prstGeom prst="rect">
                      <a:avLst/>
                    </a:prstGeom>
                    <a:noFill/>
                    <a:ln>
                      <a:noFill/>
                    </a:ln>
                  </pic:spPr>
                </pic:pic>
              </a:graphicData>
            </a:graphic>
          </wp:inline>
        </w:drawing>
      </w:r>
    </w:p>
    <w:p>
      <w:pPr>
        <w:pStyle w:val="Normal1"/>
        <w:spacing w:line="560" w:lineRule="exact"/>
        <w:ind w:firstLine="420" w:firstLineChars="200"/>
        <w:rPr>
          <w:rFonts w:ascii="仿宋_GB2312" w:hAnsi="黑体" w:cs="黑体"/>
          <w:szCs w:val="32"/>
        </w:rPr>
      </w:pPr>
      <w:r>
        <w:rPr>
          <w:rFonts w:ascii="仿宋_GB2312" w:hAnsi="黑体" w:cs="黑体" w:hint="eastAsia"/>
          <w:szCs w:val="32"/>
        </w:rPr>
        <w:t>预算执行分值10分，得分</w:t>
      </w:r>
      <w:r>
        <w:rPr>
          <w:rFonts w:ascii="仿宋_GB2312" w:hAnsi="黑体" w:cs="黑体" w:hint="eastAsia"/>
          <w:szCs w:val="32"/>
          <w:lang w:val="en-US" w:eastAsia="zh-CN"/>
        </w:rPr>
        <w:t>8.62</w:t>
      </w:r>
      <w:r>
        <w:rPr>
          <w:rFonts w:ascii="仿宋_GB2312" w:hAnsi="黑体" w:cs="黑体" w:hint="eastAsia"/>
          <w:szCs w:val="32"/>
        </w:rPr>
        <w:t>分；</w:t>
      </w:r>
    </w:p>
    <w:p>
      <w:pPr>
        <w:pStyle w:val="Normal1"/>
        <w:spacing w:line="560" w:lineRule="exact"/>
        <w:ind w:firstLine="420" w:firstLineChars="200"/>
        <w:rPr>
          <w:rFonts w:ascii="仿宋_GB2312" w:hAnsi="黑体" w:cs="黑体"/>
          <w:szCs w:val="32"/>
        </w:rPr>
      </w:pPr>
      <w:r>
        <w:rPr>
          <w:rFonts w:ascii="仿宋_GB2312" w:hAnsi="黑体" w:cs="黑体" w:hint="eastAsia"/>
          <w:szCs w:val="32"/>
        </w:rPr>
        <w:t>产出指标分值50分，得分50分；</w:t>
      </w:r>
    </w:p>
    <w:p>
      <w:pPr>
        <w:pStyle w:val="Normal1"/>
        <w:spacing w:line="560" w:lineRule="exact"/>
        <w:ind w:firstLine="420" w:firstLineChars="200"/>
        <w:rPr>
          <w:rFonts w:ascii="仿宋_GB2312" w:hAnsi="黑体" w:cs="黑体"/>
          <w:szCs w:val="32"/>
        </w:rPr>
      </w:pPr>
      <w:r>
        <w:rPr>
          <w:rFonts w:ascii="仿宋_GB2312" w:hAnsi="黑体" w:cs="黑体" w:hint="eastAsia"/>
          <w:szCs w:val="32"/>
        </w:rPr>
        <w:t>效益指标分值30分，得分30分；</w:t>
      </w:r>
    </w:p>
    <w:p>
      <w:pPr>
        <w:pStyle w:val="Normal1"/>
        <w:spacing w:line="560" w:lineRule="exact"/>
        <w:ind w:firstLine="420" w:firstLineChars="200"/>
        <w:rPr>
          <w:rFonts w:ascii="仿宋_GB2312" w:hAnsi="黑体" w:cs="黑体"/>
          <w:szCs w:val="32"/>
        </w:rPr>
      </w:pPr>
      <w:r>
        <w:rPr>
          <w:rFonts w:ascii="仿宋_GB2312" w:hAnsi="黑体" w:cs="黑体" w:hint="eastAsia"/>
          <w:szCs w:val="32"/>
        </w:rPr>
        <w:t>满意度指标分值10分，得分10分。</w:t>
      </w:r>
    </w:p>
    <w:p>
      <w:pPr>
        <w:pStyle w:val="Normal1"/>
        <w:spacing w:line="560" w:lineRule="exact"/>
        <w:ind w:firstLine="420" w:firstLineChars="200"/>
        <w:rPr>
          <w:rFonts w:ascii="黑体" w:eastAsia="黑体" w:hAnsi="黑体" w:cs="黑体"/>
          <w:szCs w:val="32"/>
        </w:rPr>
      </w:pPr>
      <w:r>
        <w:rPr>
          <w:rFonts w:ascii="黑体" w:eastAsia="黑体" w:hAnsi="黑体" w:cs="黑体" w:hint="eastAsia"/>
          <w:szCs w:val="32"/>
        </w:rPr>
        <w:t>四、绩效评价指标分析</w:t>
      </w:r>
    </w:p>
    <w:p>
      <w:pPr>
        <w:pStyle w:val="Normal1"/>
        <w:spacing w:line="560" w:lineRule="exact"/>
        <w:ind w:firstLine="420" w:firstLineChars="200"/>
        <w:rPr>
          <w:rFonts w:ascii="仿宋_GB2312" w:hAnsi="黑体" w:cs="黑体"/>
          <w:szCs w:val="32"/>
        </w:rPr>
      </w:pPr>
      <w:r>
        <w:rPr>
          <w:rFonts w:ascii="仿宋_GB2312" w:hAnsi="仿宋_GB2312" w:cs="仿宋_GB2312" w:hint="eastAsia"/>
          <w:b/>
          <w:szCs w:val="32"/>
        </w:rPr>
        <w:t>（一）项目决策情况。</w:t>
      </w:r>
      <w:r>
        <w:rPr>
          <w:rFonts w:ascii="仿宋_GB2312" w:hAnsi="黑体" w:cs="黑体" w:hint="eastAsia"/>
          <w:szCs w:val="32"/>
        </w:rPr>
        <w:t>该项目年初预算</w:t>
      </w:r>
      <w:r>
        <w:rPr>
          <w:rFonts w:ascii="仿宋_GB2312" w:hAnsi="黑体" w:cs="黑体" w:hint="eastAsia"/>
          <w:szCs w:val="32"/>
          <w:lang w:val="en-US" w:eastAsia="zh-CN"/>
        </w:rPr>
        <w:t>6000</w:t>
      </w:r>
      <w:r>
        <w:rPr>
          <w:rFonts w:ascii="仿宋_GB2312" w:hAnsi="黑体" w:cs="黑体" w:hint="eastAsia"/>
          <w:szCs w:val="32"/>
        </w:rPr>
        <w:t>万元，项目资金实际拨付</w:t>
      </w:r>
      <w:r>
        <w:rPr>
          <w:rFonts w:ascii="仿宋_GB2312" w:hAnsi="黑体" w:cs="黑体" w:hint="eastAsia"/>
          <w:szCs w:val="32"/>
          <w:lang w:val="en-US" w:eastAsia="zh-CN"/>
        </w:rPr>
        <w:t>6000</w:t>
      </w:r>
      <w:r>
        <w:rPr>
          <w:rFonts w:ascii="仿宋_GB2312" w:hAnsi="黑体" w:cs="黑体" w:hint="eastAsia"/>
          <w:szCs w:val="32"/>
        </w:rPr>
        <w:t>万元，预算执行</w:t>
      </w:r>
      <w:r>
        <w:rPr>
          <w:rFonts w:ascii="仿宋_GB2312" w:hAnsi="黑体" w:cs="黑体" w:hint="eastAsia"/>
          <w:szCs w:val="32"/>
          <w:lang w:val="en-US" w:eastAsia="zh-CN"/>
        </w:rPr>
        <w:t>5169.59</w:t>
      </w:r>
      <w:r>
        <w:rPr>
          <w:rFonts w:ascii="仿宋_GB2312" w:hAnsi="黑体" w:cs="黑体" w:hint="eastAsia"/>
          <w:szCs w:val="32"/>
        </w:rPr>
        <w:t>万元。</w:t>
      </w:r>
    </w:p>
    <w:p>
      <w:pPr>
        <w:pStyle w:val="Normal1"/>
        <w:spacing w:line="560" w:lineRule="exact"/>
        <w:ind w:firstLine="420" w:firstLineChars="200"/>
        <w:outlineLvl w:val="0"/>
        <w:rPr>
          <w:rFonts w:ascii="仿宋_GB2312" w:hAnsi="仿宋_GB2312" w:cs="仿宋_GB2312"/>
          <w:szCs w:val="32"/>
        </w:rPr>
      </w:pPr>
      <w:r>
        <w:rPr>
          <w:rFonts w:ascii="仿宋_GB2312" w:hAnsi="仿宋_GB2312" w:cs="仿宋_GB2312" w:hint="eastAsia"/>
          <w:b/>
          <w:szCs w:val="32"/>
        </w:rPr>
        <w:t>（二）项目过程情况。</w:t>
      </w:r>
      <w:r>
        <w:rPr>
          <w:rFonts w:ascii="仿宋_GB2312" w:hAnsi="仿宋_GB2312" w:cs="仿宋_GB2312" w:hint="eastAsia"/>
          <w:szCs w:val="32"/>
        </w:rPr>
        <w:t>认真落实年初工作计划，合理安排预算金额，完成民营企业发展资金兑现工作。</w:t>
      </w:r>
    </w:p>
    <w:p>
      <w:pPr>
        <w:pStyle w:val="Normal1"/>
        <w:spacing w:line="560" w:lineRule="exact"/>
        <w:ind w:firstLine="420" w:firstLineChars="200"/>
        <w:outlineLvl w:val="0"/>
        <w:rPr>
          <w:rFonts w:ascii="仿宋_GB2312" w:hAnsi="仿宋_GB2312" w:cs="仿宋_GB2312"/>
          <w:szCs w:val="32"/>
        </w:rPr>
      </w:pPr>
      <w:r>
        <w:rPr>
          <w:rFonts w:ascii="仿宋_GB2312" w:hAnsi="仿宋_GB2312" w:cs="仿宋_GB2312" w:hint="eastAsia"/>
          <w:b/>
          <w:szCs w:val="32"/>
        </w:rPr>
        <w:t>（三）项目产出情况。</w:t>
      </w:r>
      <w:r>
        <w:rPr>
          <w:rFonts w:ascii="仿宋_GB2312" w:hAnsi="仿宋_GB2312" w:cs="仿宋_GB2312" w:hint="eastAsia"/>
          <w:szCs w:val="32"/>
        </w:rPr>
        <w:t>严格按政策文件要求实施，在预算资金使用控制范围内，及时兑现企业扶持资金。</w:t>
      </w:r>
    </w:p>
    <w:p>
      <w:pPr>
        <w:pStyle w:val="Normal1"/>
        <w:spacing w:line="560" w:lineRule="exact"/>
        <w:ind w:firstLine="420" w:firstLineChars="200"/>
        <w:outlineLvl w:val="0"/>
        <w:rPr>
          <w:rFonts w:ascii="仿宋_GB2312" w:hAnsi="仿宋_GB2312" w:cs="仿宋_GB2312"/>
          <w:szCs w:val="32"/>
        </w:rPr>
      </w:pPr>
      <w:r>
        <w:rPr>
          <w:rFonts w:ascii="仿宋_GB2312" w:hAnsi="仿宋_GB2312" w:cs="仿宋_GB2312" w:hint="eastAsia"/>
          <w:b/>
          <w:szCs w:val="32"/>
        </w:rPr>
        <w:t>（四）项目效益情况。</w:t>
      </w:r>
      <w:r>
        <w:rPr>
          <w:rFonts w:ascii="仿宋_GB2312" w:hAnsi="仿宋_GB2312" w:cs="仿宋_GB2312" w:hint="eastAsia"/>
          <w:szCs w:val="32"/>
        </w:rPr>
        <w:t>促进经济发展，提高地方财政收入；通过财政补助，引导和促进行业发展带动；政策知晓率达到100%；企业满意度达到100%。</w:t>
      </w:r>
    </w:p>
    <w:p>
      <w:pPr>
        <w:pStyle w:val="Normal1"/>
        <w:spacing w:line="560" w:lineRule="exact"/>
        <w:ind w:firstLine="420" w:firstLineChars="200"/>
        <w:rPr>
          <w:rFonts w:ascii="黑体" w:eastAsia="黑体" w:hAnsi="黑体" w:cs="黑体"/>
          <w:szCs w:val="32"/>
        </w:rPr>
      </w:pPr>
      <w:r>
        <w:rPr>
          <w:rFonts w:ascii="黑体" w:eastAsia="黑体" w:hAnsi="黑体" w:cs="黑体" w:hint="eastAsia"/>
          <w:szCs w:val="32"/>
        </w:rPr>
        <w:t>五、主要经验及做法、存在的问题及原因分析</w:t>
      </w:r>
    </w:p>
    <w:p>
      <w:pPr>
        <w:pStyle w:val="Normal1"/>
        <w:spacing w:line="560" w:lineRule="exact"/>
        <w:ind w:firstLine="420" w:firstLineChars="200"/>
        <w:rPr>
          <w:rFonts w:ascii="仿宋_GB2312" w:hAnsi="仿宋" w:cs="仿宋"/>
          <w:szCs w:val="32"/>
        </w:rPr>
      </w:pPr>
      <w:r>
        <w:rPr>
          <w:rFonts w:ascii="仿宋_GB2312" w:hAnsi="仿宋" w:cs="仿宋" w:hint="eastAsia"/>
          <w:szCs w:val="32"/>
        </w:rPr>
        <w:t>切实加强对项目管理和项目资金使用监管，切实提高资金使用效益。</w:t>
      </w:r>
    </w:p>
    <w:p>
      <w:pPr>
        <w:pStyle w:val="Normal1"/>
        <w:spacing w:line="560" w:lineRule="exact"/>
        <w:ind w:firstLine="420" w:firstLineChars="200"/>
        <w:rPr>
          <w:rFonts w:ascii="黑体" w:eastAsia="黑体" w:hAnsi="黑体" w:cs="黑体"/>
          <w:szCs w:val="32"/>
        </w:rPr>
      </w:pPr>
      <w:r>
        <w:rPr>
          <w:rFonts w:ascii="黑体" w:eastAsia="黑体" w:hAnsi="黑体" w:cs="黑体" w:hint="eastAsia"/>
          <w:szCs w:val="32"/>
        </w:rPr>
        <w:t>六、有关建议</w:t>
      </w:r>
    </w:p>
    <w:p>
      <w:pPr>
        <w:pStyle w:val="Normal1"/>
        <w:spacing w:line="560" w:lineRule="exact"/>
        <w:ind w:firstLine="420" w:firstLineChars="200"/>
        <w:rPr>
          <w:rFonts w:ascii="仿宋_GB2312" w:hAnsi="黑体" w:cs="黑体"/>
          <w:szCs w:val="32"/>
        </w:rPr>
      </w:pPr>
      <w:r>
        <w:rPr>
          <w:rFonts w:ascii="仿宋_GB2312" w:hAnsi="黑体" w:cs="黑体" w:hint="eastAsia"/>
          <w:szCs w:val="32"/>
        </w:rPr>
        <w:t>有效的划分资金使用过程，加强资金使用过程的监管。</w:t>
      </w:r>
    </w:p>
    <w:p>
      <w:pPr>
        <w:pStyle w:val="Normal1"/>
        <w:spacing w:line="560" w:lineRule="exact"/>
        <w:ind w:firstLine="420" w:firstLineChars="200"/>
        <w:jc w:val="left"/>
        <w:rPr>
          <w:rFonts w:ascii="黑体" w:eastAsia="黑体" w:hAnsi="黑体" w:cs="黑体"/>
          <w:szCs w:val="32"/>
        </w:rPr>
      </w:pPr>
      <w:r>
        <w:rPr>
          <w:rFonts w:ascii="黑体" w:eastAsia="黑体" w:hAnsi="黑体" w:cs="黑体" w:hint="eastAsia"/>
          <w:szCs w:val="32"/>
        </w:rPr>
        <w:t>七、其他需要说明的问题</w:t>
      </w:r>
    </w:p>
    <w:p>
      <w:pPr>
        <w:pStyle w:val="Normal1"/>
        <w:spacing w:line="560" w:lineRule="exact"/>
        <w:ind w:firstLine="420" w:firstLineChars="200"/>
        <w:jc w:val="left"/>
        <w:rPr>
          <w:rFonts w:ascii="仿宋_GB2312" w:eastAsia="仿宋_GB2312" w:hAnsi="黑体" w:cs="黑体" w:hint="eastAsia"/>
          <w:szCs w:val="32"/>
          <w:lang w:eastAsia="zh-CN"/>
        </w:rPr>
      </w:pPr>
      <w:r>
        <w:rPr>
          <w:rFonts w:ascii="仿宋_GB2312" w:hAnsi="黑体" w:cs="黑体" w:hint="eastAsia"/>
          <w:szCs w:val="32"/>
        </w:rPr>
        <w:t>无</w:t>
      </w:r>
      <w:r>
        <w:rPr>
          <w:rFonts w:ascii="仿宋_GB2312" w:hAnsi="黑体" w:cs="黑体" w:hint="eastAsia"/>
          <w:szCs w:val="32"/>
          <w:lang w:eastAsia="zh-CN"/>
        </w:rPr>
        <w:t>。</w:t>
      </w:r>
    </w:p>
    <w:sectPr>
      <w:footerReference w:type="default" r:id="rId9"/>
      <w:footerReference w:type="first" r:id="rId10"/>
      <w:pgSz w:w="11906" w:h="16838"/>
      <w:pgMar w:top="1418" w:right="1531" w:bottom="1134" w:left="1531" w:header="567" w:footer="567" w:gutter="0"/>
      <w:cols w:num="1" w:space="720"/>
      <w:docGrid w:type="linesAndChars" w:linePitch="569" w:charSpace="-126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方正小标宋简体">
    <w:altName w:val="汉仪书宋二KW"/>
    <w:panose1 w:val="02010601030101010101"/>
    <w:charset w:val="86"/>
    <w:family w:val="script"/>
    <w:pitch w:val="default"/>
    <w:sig w:usb0="00000000" w:usb1="00000000" w:usb2="00000000" w:usb3="00000000" w:csb0="00040000" w:csb1="00000000"/>
  </w:font>
  <w:font w:name="FZXiaoBiaoSong-B05">
    <w:altName w:val="苹方-简"/>
    <w:panose1 w:val="03000509000000000000"/>
    <w:charset w:val="86"/>
    <w:family w:val="auto"/>
    <w:pitch w:val="default"/>
    <w:sig w:usb0="00000000" w:usb1="00000000" w:usb2="00000000" w:usb3="00000000" w:csb0="00040000" w:csb1="00000000"/>
  </w:font>
  <w:font w:name="仿宋">
    <w:altName w:val="方正仿宋_GBK"/>
    <w:panose1 w:val="00000000000000000000"/>
    <w:charset w:val="86"/>
    <w:family w:val="modern"/>
    <w:pitch w:val="default"/>
    <w:sig w:usb0="00000000" w:usb1="00000000" w:usb2="00000000" w:usb3="00000000" w:csb0="00000000" w:csb1="00000000"/>
  </w:font>
  <w:font w:name="仿宋_GB2312">
    <w:altName w:val="方正仿宋_GBK"/>
    <w:panose1 w:val="00000000000000000000"/>
    <w:charset w:val="00"/>
    <w:family w:val="modern"/>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汉仪中黑KW">
    <w:panose1 w:val="00020600040101010101"/>
    <w:charset w:val="86"/>
    <w:family w:val="auto"/>
    <w:pitch w:val="default"/>
    <w:sig w:usb0="A00002BF" w:usb1="18EF7CFA" w:usb2="00000016" w:usb3="00000000" w:csb0="00040000" w:csb1="00000000"/>
  </w:font>
  <w:font w:name="方正仿宋_GBK">
    <w:altName w:val="微软雅黑"/>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Times New Roman Bold">
    <w:panose1 w:val="02020503050405090304"/>
    <w:charset w:val="00"/>
    <w:family w:val="auto"/>
    <w:pitch w:val="default"/>
    <w:sig w:usb0="E0000AFF" w:usb1="00007843" w:usb2="00000001" w:usb3="00000000" w:csb0="400001BF" w:csb1="DFF70000"/>
  </w:font>
  <w:font w:name="楷体">
    <w:altName w:val="汉仪楷体KW"/>
    <w:panose1 w:val="00000000000000000000"/>
    <w:charset w:val="00"/>
    <w:family w:val="auto"/>
    <w:pitch w:val="default"/>
    <w:sig w:usb0="00000000" w:usb1="00000000" w:usb2="00000000" w:usb3="00000000" w:csb0="00000000" w:csb1="00000000"/>
  </w:font>
  <w:font w:name="汉仪楷体KW">
    <w:panose1 w:val="00020600040101010101"/>
    <w:charset w:val="86"/>
    <w:family w:val="auto"/>
    <w:pitch w:val="default"/>
    <w:sig w:usb0="A00002BF" w:usb1="18EF7CFA" w:usb2="00000016" w:usb3="00000000" w:csb0="0004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rPr>
        <w:rFonts w:ascii="仿宋_GB2312" w:hint="eastAsia"/>
        <w:sz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2769"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Footer"/>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49" type="#_x0000_t202" style="height:2in;margin-left:0;margin-top:0;mso-height-relative:page;mso-position-horizontal:outside;mso-position-horizontal-relative:margin;mso-width-relative:page;mso-wrap-style:none;position:absolute;width:2in;z-index:251659264" coordsize="21600,21600" filled="f" stroked="f">
              <o:lock v:ext="edit" aspectratio="f"/>
              <v:textbox style="mso-fit-shape-to-text:t" inset="0,0,0,0">
                <w:txbxContent>
                  <w:p>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table" w:customStyle="1" w:styleId="TableGrid">
    <w:name w:val="Table Grid"/>
    <w:tblPr/>
  </w:style>
  <w:style w:type="paragraph" w:customStyle="1" w:styleId="Normal0">
    <w:name w:val="Normal_0"/>
    <w:next w:val="BodyText"/>
    <w:qFormat/>
    <w:pPr>
      <w:widowControl w:val="0"/>
      <w:jc w:val="both"/>
    </w:pPr>
    <w:rPr>
      <w:rFonts w:asciiTheme="minorHAnsi" w:eastAsiaTheme="minorEastAsia" w:hAnsiTheme="minorHAnsi" w:cstheme="minorBidi"/>
      <w:kern w:val="2"/>
      <w:sz w:val="21"/>
      <w:szCs w:val="24"/>
      <w:lang w:val="en-US" w:eastAsia="zh-CN" w:bidi="ar-SA"/>
    </w:rPr>
  </w:style>
  <w:style w:type="paragraph" w:styleId="BodyText">
    <w:name w:val="Body Text"/>
    <w:basedOn w:val="Normal0"/>
    <w:qFormat/>
    <w:pPr>
      <w:jc w:val="center"/>
    </w:pPr>
    <w:rPr>
      <w:rFonts w:eastAsia="黑体"/>
      <w:sz w:val="36"/>
    </w:rPr>
  </w:style>
  <w:style w:type="table" w:customStyle="1" w:styleId="TableGrid0">
    <w:name w:val="Table Grid_0"/>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1"/>
    <w:qFormat/>
    <w:pPr>
      <w:tabs>
        <w:tab w:val="center" w:pos="4153"/>
        <w:tab w:val="right" w:pos="8306"/>
      </w:tabs>
      <w:snapToGrid w:val="0"/>
      <w:jc w:val="left"/>
    </w:pPr>
    <w:rPr>
      <w:sz w:val="18"/>
    </w:rPr>
  </w:style>
  <w:style w:type="paragraph" w:customStyle="1" w:styleId="Normal1">
    <w:name w:val="Normal_1"/>
    <w:qFormat/>
    <w:pPr>
      <w:widowControl w:val="0"/>
      <w:jc w:val="both"/>
    </w:pPr>
    <w:rPr>
      <w:rFonts w:ascii="Times New Roman" w:eastAsia="仿宋_GB2312" w:hAnsi="Times New Roman" w:cs="Times New Roman"/>
      <w:kern w:val="2"/>
      <w:sz w:val="3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no"?><Relationships xmlns="http://schemas.openxmlformats.org/package/2006/relationships"><Relationship Id="rId1" Target="settings.xml" Type="http://schemas.openxmlformats.org/officeDocument/2006/relationships/settings"/><Relationship Id="rId10" Target="footer2.xml" Type="http://schemas.openxmlformats.org/officeDocument/2006/relationships/footer"/><Relationship Id="rId11" Target="theme/theme1.xml" Type="http://schemas.openxmlformats.org/officeDocument/2006/relationships/theme"/><Relationship Id="rId12" Target="styles.xml" Type="http://schemas.openxmlformats.org/officeDocument/2006/relationships/styles"/><Relationship Id="rId2" Target="webSettings.xml" Type="http://schemas.openxmlformats.org/officeDocument/2006/relationships/webSettings"/><Relationship Id="rId3" Target="fontTable.xml" Type="http://schemas.openxmlformats.org/officeDocument/2006/relationships/fontTable"/><Relationship Id="rId4" Target="media/image1.wmf" Type="http://schemas.openxmlformats.org/officeDocument/2006/relationships/image"/><Relationship Id="rId5" Target="media/image2.wmf" Type="http://schemas.openxmlformats.org/officeDocument/2006/relationships/image"/><Relationship Id="rId6" Target="media/image3.wmf" Type="http://schemas.openxmlformats.org/officeDocument/2006/relationships/image"/><Relationship Id="rId7" Target="media/image4.wmf" Type="http://schemas.openxmlformats.org/officeDocument/2006/relationships/image"/><Relationship Id="rId8" Target="media/image5.wmf" Type="http://schemas.openxmlformats.org/officeDocument/2006/relationships/image"/><Relationship Id="rId9" Target="footer1.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2023-06-22T02:41:00Z</dcterms:created>
  <dc:creator>瘾</dc:creator>
  <cp:lastModifiedBy>刘勇奇</cp:lastModifiedBy>
  <dcterms:modified xsi:type="dcterms:W3CDTF">2025-09-16T18:38:05Z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A323AF064E724409EECB8B64AB2A22D7_41</vt:lpwstr>
  </property>
  <property fmtid="{D5CDD505-2E9C-101B-9397-08002B2CF9AE}" pid="3" name="KSOProductBuildVer">
    <vt:lpwstr>2052-6.7.1.8828</vt:lpwstr>
  </property>
</Properties>
</file>