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47D82">
      <w:pPr>
        <w:pStyle w:val="2"/>
        <w:keepNext w:val="0"/>
        <w:keepLines w:val="0"/>
        <w:pageBreakBefore w:val="0"/>
        <w:widowControl/>
        <w:kinsoku w:val="0"/>
        <w:wordWrap/>
        <w:overflowPunct/>
        <w:topLinePunct w:val="0"/>
        <w:autoSpaceDE w:val="0"/>
        <w:autoSpaceDN w:val="0"/>
        <w:bidi w:val="0"/>
        <w:adjustRightInd w:val="0"/>
        <w:snapToGrid w:val="0"/>
        <w:spacing w:before="101" w:line="240" w:lineRule="auto"/>
        <w:ind w:left="336"/>
        <w:jc w:val="center"/>
        <w:textAlignment w:val="baseline"/>
        <w:rPr>
          <w:rFonts w:hint="eastAsia" w:ascii="黑体" w:hAnsi="黑体" w:eastAsia="黑体" w:cs="黑体"/>
          <w:spacing w:val="6"/>
          <w:position w:val="18"/>
          <w:sz w:val="44"/>
          <w:szCs w:val="44"/>
          <w:lang w:val="en-US" w:eastAsia="zh-CN"/>
        </w:rPr>
      </w:pPr>
      <w:r>
        <w:rPr>
          <w:rFonts w:hint="eastAsia" w:ascii="黑体" w:hAnsi="黑体" w:eastAsia="黑体" w:cs="黑体"/>
          <w:spacing w:val="6"/>
          <w:position w:val="18"/>
          <w:sz w:val="44"/>
          <w:szCs w:val="44"/>
          <w:lang w:val="en-US" w:eastAsia="zh-CN"/>
        </w:rPr>
        <w:t>关于印发《铜官区特种设备事故应急预案</w:t>
      </w:r>
    </w:p>
    <w:p w14:paraId="2000FC3A">
      <w:pPr>
        <w:pStyle w:val="2"/>
        <w:keepNext w:val="0"/>
        <w:keepLines w:val="0"/>
        <w:pageBreakBefore w:val="0"/>
        <w:widowControl/>
        <w:kinsoku w:val="0"/>
        <w:wordWrap/>
        <w:overflowPunct/>
        <w:topLinePunct w:val="0"/>
        <w:autoSpaceDE w:val="0"/>
        <w:autoSpaceDN w:val="0"/>
        <w:bidi w:val="0"/>
        <w:adjustRightInd w:val="0"/>
        <w:snapToGrid w:val="0"/>
        <w:spacing w:before="101" w:line="240" w:lineRule="auto"/>
        <w:ind w:left="336"/>
        <w:jc w:val="center"/>
        <w:textAlignment w:val="baseline"/>
        <w:rPr>
          <w:rFonts w:hint="eastAsia" w:ascii="黑体" w:hAnsi="黑体" w:eastAsia="黑体" w:cs="黑体"/>
          <w:spacing w:val="6"/>
          <w:position w:val="18"/>
          <w:sz w:val="44"/>
          <w:szCs w:val="44"/>
          <w:lang w:val="en-US" w:eastAsia="zh-CN"/>
        </w:rPr>
      </w:pPr>
      <w:r>
        <w:rPr>
          <w:rFonts w:hint="eastAsia" w:ascii="黑体" w:hAnsi="黑体" w:eastAsia="黑体" w:cs="黑体"/>
          <w:spacing w:val="6"/>
          <w:position w:val="18"/>
          <w:sz w:val="44"/>
          <w:szCs w:val="44"/>
          <w:lang w:val="en-US" w:eastAsia="zh-CN"/>
        </w:rPr>
        <w:t>(2023 年修订)》的通知</w:t>
      </w:r>
    </w:p>
    <w:p w14:paraId="08725610">
      <w:pPr>
        <w:pStyle w:val="2"/>
        <w:keepNext w:val="0"/>
        <w:keepLines w:val="0"/>
        <w:pageBreakBefore w:val="0"/>
        <w:widowControl/>
        <w:kinsoku w:val="0"/>
        <w:wordWrap/>
        <w:overflowPunct/>
        <w:topLinePunct w:val="0"/>
        <w:autoSpaceDE w:val="0"/>
        <w:autoSpaceDN w:val="0"/>
        <w:bidi w:val="0"/>
        <w:adjustRightInd w:val="0"/>
        <w:snapToGrid w:val="0"/>
        <w:spacing w:before="101" w:line="240" w:lineRule="auto"/>
        <w:ind w:left="336"/>
        <w:jc w:val="center"/>
        <w:textAlignment w:val="baseline"/>
        <w:rPr>
          <w:rFonts w:hint="eastAsia" w:ascii="黑体" w:hAnsi="黑体" w:eastAsia="黑体" w:cs="黑体"/>
          <w:spacing w:val="6"/>
          <w:position w:val="18"/>
          <w:sz w:val="44"/>
          <w:szCs w:val="44"/>
          <w:lang w:val="en-US" w:eastAsia="zh-CN"/>
        </w:rPr>
      </w:pPr>
    </w:p>
    <w:p w14:paraId="15E99BF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0" w:firstLineChars="0"/>
        <w:jc w:val="left"/>
        <w:textAlignment w:val="baseline"/>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高新区管委会，各镇办社区，区政府各部门，各有关单位:</w:t>
      </w:r>
    </w:p>
    <w:p w14:paraId="0B2E9FA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664" w:firstLineChars="200"/>
        <w:jc w:val="left"/>
        <w:textAlignment w:val="baseline"/>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为进一步完善铜官区特种设备应急管理工作，增强现有预案在处置突发事件中的科学性、针对性和可操作性，不断提高处置突发事件的应急能力，按照应急预案“三年一修订”的要求，现对修订后的《铜官区特种设备事故应急预案》予以印发、请认真遵照执行。</w:t>
      </w:r>
    </w:p>
    <w:p w14:paraId="0712C2BF">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664" w:firstLineChars="200"/>
        <w:jc w:val="left"/>
        <w:textAlignment w:val="baseline"/>
        <w:rPr>
          <w:rFonts w:hint="eastAsia" w:ascii="仿宋_GB2312" w:hAnsi="仿宋_GB2312" w:eastAsia="仿宋_GB2312" w:cs="仿宋_GB2312"/>
          <w:spacing w:val="6"/>
          <w:position w:val="18"/>
          <w:sz w:val="32"/>
          <w:szCs w:val="32"/>
          <w:lang w:val="en-US" w:eastAsia="zh-CN"/>
        </w:rPr>
      </w:pPr>
    </w:p>
    <w:p w14:paraId="6AD6962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664" w:firstLineChars="200"/>
        <w:jc w:val="left"/>
        <w:textAlignment w:val="baseline"/>
        <w:rPr>
          <w:rFonts w:hint="eastAsia" w:ascii="仿宋_GB2312" w:hAnsi="仿宋_GB2312" w:eastAsia="仿宋_GB2312" w:cs="仿宋_GB2312"/>
          <w:spacing w:val="6"/>
          <w:position w:val="18"/>
          <w:sz w:val="32"/>
          <w:szCs w:val="32"/>
          <w:lang w:val="en-US" w:eastAsia="zh-CN"/>
        </w:rPr>
      </w:pPr>
    </w:p>
    <w:p w14:paraId="7684FC3C">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right="420" w:rightChars="200" w:firstLine="664" w:firstLineChars="200"/>
        <w:jc w:val="right"/>
        <w:textAlignment w:val="baseline"/>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铜陵市铜官区市场监督管理局</w:t>
      </w:r>
    </w:p>
    <w:p w14:paraId="0B725267">
      <w:pPr>
        <w:pStyle w:val="2"/>
        <w:keepNext w:val="0"/>
        <w:keepLines w:val="0"/>
        <w:pageBreakBefore w:val="0"/>
        <w:widowControl/>
        <w:kinsoku w:val="0"/>
        <w:wordWrap w:val="0"/>
        <w:overflowPunct/>
        <w:topLinePunct w:val="0"/>
        <w:autoSpaceDE w:val="0"/>
        <w:autoSpaceDN w:val="0"/>
        <w:bidi w:val="0"/>
        <w:adjustRightInd w:val="0"/>
        <w:snapToGrid w:val="0"/>
        <w:spacing w:line="360" w:lineRule="auto"/>
        <w:ind w:left="0" w:right="420" w:rightChars="200" w:firstLine="664" w:firstLineChars="200"/>
        <w:jc w:val="right"/>
        <w:textAlignment w:val="baseline"/>
        <w:rPr>
          <w:rFonts w:hint="default" w:ascii="仿宋_GB2312" w:hAnsi="仿宋_GB2312" w:eastAsia="仿宋_GB2312" w:cs="仿宋_GB2312"/>
          <w:spacing w:val="6"/>
          <w:position w:val="18"/>
          <w:sz w:val="32"/>
          <w:szCs w:val="32"/>
          <w:lang w:val="en-US" w:eastAsia="zh-CN"/>
        </w:rPr>
        <w:sectPr>
          <w:headerReference r:id="rId5" w:type="default"/>
          <w:footerReference r:id="rId6" w:type="default"/>
          <w:pgSz w:w="11906" w:h="16839"/>
          <w:pgMar w:top="1474" w:right="1587" w:bottom="1361" w:left="1587" w:header="0" w:footer="1148" w:gutter="0"/>
          <w:cols w:space="720" w:num="1"/>
        </w:sectPr>
      </w:pPr>
      <w:r>
        <w:rPr>
          <w:rFonts w:hint="eastAsia" w:ascii="仿宋_GB2312" w:hAnsi="仿宋_GB2312" w:eastAsia="仿宋_GB2312" w:cs="仿宋_GB2312"/>
          <w:spacing w:val="6"/>
          <w:position w:val="18"/>
          <w:sz w:val="32"/>
          <w:szCs w:val="32"/>
          <w:lang w:val="en-US" w:eastAsia="zh-CN"/>
        </w:rPr>
        <w:t xml:space="preserve">2023年10月17日     </w:t>
      </w:r>
    </w:p>
    <w:p w14:paraId="6A929064">
      <w:pPr>
        <w:pStyle w:val="2"/>
        <w:spacing w:before="101" w:line="562" w:lineRule="exact"/>
        <w:ind w:left="336"/>
        <w:jc w:val="center"/>
        <w:rPr>
          <w:rFonts w:hint="eastAsia" w:ascii="黑体" w:hAnsi="黑体" w:eastAsia="黑体" w:cs="黑体"/>
          <w:spacing w:val="6"/>
          <w:position w:val="18"/>
          <w:sz w:val="44"/>
          <w:szCs w:val="44"/>
          <w:lang w:val="en-US" w:eastAsia="zh-CN"/>
        </w:rPr>
      </w:pPr>
      <w:r>
        <w:rPr>
          <w:rFonts w:hint="eastAsia" w:ascii="黑体" w:hAnsi="黑体" w:eastAsia="黑体" w:cs="黑体"/>
          <w:spacing w:val="6"/>
          <w:position w:val="18"/>
          <w:sz w:val="44"/>
          <w:szCs w:val="44"/>
          <w:lang w:val="en-US" w:eastAsia="zh-CN"/>
        </w:rPr>
        <w:t>铜官区特种设备事故应急预案</w:t>
      </w:r>
    </w:p>
    <w:p w14:paraId="0875BAB6">
      <w:pPr>
        <w:pStyle w:val="2"/>
        <w:spacing w:before="101" w:line="562" w:lineRule="exact"/>
        <w:ind w:left="336"/>
        <w:jc w:val="center"/>
        <w:rPr>
          <w:rFonts w:hint="eastAsia" w:ascii="黑体" w:hAnsi="黑体" w:eastAsia="黑体" w:cs="黑体"/>
          <w:b/>
          <w:bCs/>
          <w:spacing w:val="6"/>
          <w:position w:val="18"/>
          <w:sz w:val="32"/>
          <w:szCs w:val="32"/>
          <w:lang w:val="en-US" w:eastAsia="zh-CN"/>
        </w:rPr>
      </w:pPr>
      <w:r>
        <w:rPr>
          <w:rFonts w:hint="eastAsia" w:ascii="黑体" w:hAnsi="黑体" w:eastAsia="黑体" w:cs="黑体"/>
          <w:b/>
          <w:bCs/>
          <w:spacing w:val="6"/>
          <w:position w:val="18"/>
          <w:sz w:val="32"/>
          <w:szCs w:val="32"/>
          <w:lang w:val="en-US" w:eastAsia="zh-CN"/>
        </w:rPr>
        <w:t>目录</w:t>
      </w:r>
    </w:p>
    <w:p w14:paraId="1B9F9BF0">
      <w:pPr>
        <w:pStyle w:val="2"/>
        <w:numPr>
          <w:ilvl w:val="0"/>
          <w:numId w:val="1"/>
        </w:numPr>
        <w:spacing w:before="101" w:line="562" w:lineRule="exact"/>
        <w:ind w:left="210" w:leftChars="0" w:firstLineChars="0"/>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总则</w:t>
      </w:r>
    </w:p>
    <w:p w14:paraId="3C666C1F">
      <w:pPr>
        <w:pStyle w:val="2"/>
        <w:numPr>
          <w:ilvl w:val="0"/>
          <w:numId w:val="2"/>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编制目的</w:t>
      </w:r>
    </w:p>
    <w:p w14:paraId="595CBF91">
      <w:pPr>
        <w:pStyle w:val="2"/>
        <w:numPr>
          <w:ilvl w:val="0"/>
          <w:numId w:val="2"/>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编制依据</w:t>
      </w:r>
    </w:p>
    <w:p w14:paraId="0B8B835F">
      <w:pPr>
        <w:pStyle w:val="2"/>
        <w:numPr>
          <w:ilvl w:val="0"/>
          <w:numId w:val="2"/>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工作原则</w:t>
      </w:r>
    </w:p>
    <w:p w14:paraId="1BA7366D">
      <w:pPr>
        <w:pStyle w:val="2"/>
        <w:numPr>
          <w:ilvl w:val="0"/>
          <w:numId w:val="2"/>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适用范围</w:t>
      </w:r>
    </w:p>
    <w:p w14:paraId="6E6931DA">
      <w:pPr>
        <w:pStyle w:val="2"/>
        <w:numPr>
          <w:ilvl w:val="0"/>
          <w:numId w:val="1"/>
        </w:numPr>
        <w:spacing w:before="101" w:line="562" w:lineRule="exact"/>
        <w:ind w:left="210" w:leftChars="0" w:firstLineChars="0"/>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事故分级</w:t>
      </w:r>
    </w:p>
    <w:p w14:paraId="630F951F">
      <w:pPr>
        <w:pStyle w:val="2"/>
        <w:numPr>
          <w:ilvl w:val="0"/>
          <w:numId w:val="1"/>
        </w:numPr>
        <w:spacing w:before="101" w:line="562" w:lineRule="exact"/>
        <w:ind w:left="210" w:leftChars="0" w:firstLineChars="0"/>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应急指挥机构及职责</w:t>
      </w:r>
    </w:p>
    <w:p w14:paraId="45CC618C">
      <w:pPr>
        <w:pStyle w:val="2"/>
        <w:numPr>
          <w:ilvl w:val="0"/>
          <w:numId w:val="3"/>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应急机构机构架构</w:t>
      </w:r>
    </w:p>
    <w:p w14:paraId="4D7F00E9">
      <w:pPr>
        <w:pStyle w:val="2"/>
        <w:numPr>
          <w:ilvl w:val="0"/>
          <w:numId w:val="3"/>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应急机构机构职责</w:t>
      </w:r>
    </w:p>
    <w:p w14:paraId="116259AA">
      <w:pPr>
        <w:pStyle w:val="2"/>
        <w:numPr>
          <w:ilvl w:val="0"/>
          <w:numId w:val="3"/>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专家组</w:t>
      </w:r>
    </w:p>
    <w:p w14:paraId="1C72DE06">
      <w:pPr>
        <w:pStyle w:val="2"/>
        <w:numPr>
          <w:ilvl w:val="0"/>
          <w:numId w:val="3"/>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特种设备使用单位</w:t>
      </w:r>
    </w:p>
    <w:p w14:paraId="0DDE9BF5">
      <w:pPr>
        <w:pStyle w:val="2"/>
        <w:numPr>
          <w:ilvl w:val="0"/>
          <w:numId w:val="3"/>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现场应急处置小组</w:t>
      </w:r>
    </w:p>
    <w:p w14:paraId="28EB1A8B">
      <w:pPr>
        <w:pStyle w:val="2"/>
        <w:numPr>
          <w:ilvl w:val="0"/>
          <w:numId w:val="1"/>
        </w:numPr>
        <w:spacing w:before="101" w:line="562" w:lineRule="exact"/>
        <w:ind w:left="210" w:leftChars="0" w:firstLineChars="0"/>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预防预警</w:t>
      </w:r>
    </w:p>
    <w:p w14:paraId="4CE52573">
      <w:pPr>
        <w:pStyle w:val="2"/>
        <w:numPr>
          <w:ilvl w:val="0"/>
          <w:numId w:val="4"/>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信息监测</w:t>
      </w:r>
    </w:p>
    <w:p w14:paraId="0B2AB743">
      <w:pPr>
        <w:pStyle w:val="2"/>
        <w:numPr>
          <w:ilvl w:val="0"/>
          <w:numId w:val="4"/>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风险监测</w:t>
      </w:r>
    </w:p>
    <w:p w14:paraId="0E2D5147">
      <w:pPr>
        <w:pStyle w:val="2"/>
        <w:numPr>
          <w:ilvl w:val="0"/>
          <w:numId w:val="4"/>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预防措施</w:t>
      </w:r>
    </w:p>
    <w:p w14:paraId="22BC57A6">
      <w:pPr>
        <w:pStyle w:val="2"/>
        <w:numPr>
          <w:ilvl w:val="0"/>
          <w:numId w:val="4"/>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预警分级和发布</w:t>
      </w:r>
    </w:p>
    <w:p w14:paraId="1B4A83D4">
      <w:pPr>
        <w:pStyle w:val="2"/>
        <w:numPr>
          <w:ilvl w:val="0"/>
          <w:numId w:val="4"/>
        </w:numPr>
        <w:spacing w:before="101" w:line="562" w:lineRule="exact"/>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预警调整和解除</w:t>
      </w:r>
    </w:p>
    <w:p w14:paraId="0B054F98">
      <w:pPr>
        <w:pStyle w:val="2"/>
        <w:numPr>
          <w:ilvl w:val="0"/>
          <w:numId w:val="1"/>
        </w:numPr>
        <w:spacing w:before="101" w:line="562" w:lineRule="exact"/>
        <w:ind w:left="210" w:leftChars="0" w:firstLineChars="0"/>
        <w:jc w:val="left"/>
        <w:rPr>
          <w:rFonts w:hint="eastAsia" w:ascii="仿宋_GB2312" w:hAnsi="仿宋_GB2312" w:eastAsia="仿宋_GB2312" w:cs="仿宋_GB2312"/>
          <w:spacing w:val="6"/>
          <w:position w:val="18"/>
          <w:sz w:val="32"/>
          <w:szCs w:val="32"/>
          <w:lang w:val="en-US" w:eastAsia="zh-CN"/>
        </w:rPr>
      </w:pPr>
      <w:r>
        <w:rPr>
          <w:rFonts w:hint="eastAsia" w:ascii="仿宋_GB2312" w:hAnsi="仿宋_GB2312" w:eastAsia="仿宋_GB2312" w:cs="仿宋_GB2312"/>
          <w:spacing w:val="6"/>
          <w:position w:val="18"/>
          <w:sz w:val="32"/>
          <w:szCs w:val="32"/>
          <w:lang w:val="en-US" w:eastAsia="zh-CN"/>
        </w:rPr>
        <w:t>应急响应</w:t>
      </w:r>
    </w:p>
    <w:p w14:paraId="7C9A7874">
      <w:pPr>
        <w:pStyle w:val="2"/>
        <w:spacing w:before="101" w:line="562" w:lineRule="exact"/>
        <w:ind w:left="336"/>
        <w:jc w:val="left"/>
        <w:rPr>
          <w:rFonts w:hint="eastAsia" w:ascii="仿宋_GB2312" w:hAnsi="仿宋_GB2312" w:eastAsia="仿宋_GB2312" w:cs="仿宋_GB2312"/>
          <w:spacing w:val="6"/>
          <w:position w:val="18"/>
          <w:sz w:val="32"/>
          <w:szCs w:val="32"/>
          <w:lang w:val="en-US" w:eastAsia="zh-CN"/>
        </w:rPr>
        <w:sectPr>
          <w:pgSz w:w="11906" w:h="16839"/>
          <w:pgMar w:top="1191" w:right="1587" w:bottom="1077" w:left="1587" w:header="0" w:footer="1148" w:gutter="0"/>
          <w:cols w:space="720" w:num="1"/>
        </w:sectPr>
      </w:pPr>
    </w:p>
    <w:p w14:paraId="3AC85800">
      <w:pPr>
        <w:pStyle w:val="2"/>
        <w:spacing w:before="101" w:line="562" w:lineRule="exact"/>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position w:val="18"/>
          <w:sz w:val="32"/>
          <w:szCs w:val="32"/>
        </w:rPr>
        <w:t>（一）信息报告</w:t>
      </w:r>
    </w:p>
    <w:p w14:paraId="739139D7">
      <w:pPr>
        <w:pStyle w:val="2"/>
        <w:spacing w:before="1" w:line="230"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（二）应急处置</w:t>
      </w:r>
    </w:p>
    <w:p w14:paraId="597D47EC">
      <w:pPr>
        <w:pStyle w:val="2"/>
        <w:spacing w:before="171" w:line="229"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（三）分级响应</w:t>
      </w:r>
    </w:p>
    <w:p w14:paraId="46A388B4">
      <w:pPr>
        <w:pStyle w:val="2"/>
        <w:spacing w:before="175" w:line="228"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（四）安全防护</w:t>
      </w:r>
    </w:p>
    <w:p w14:paraId="1CEB1283">
      <w:pPr>
        <w:pStyle w:val="2"/>
        <w:spacing w:before="178" w:line="229"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（五）响应终止</w:t>
      </w:r>
    </w:p>
    <w:p w14:paraId="1D9E4942">
      <w:pPr>
        <w:pStyle w:val="2"/>
        <w:spacing w:before="174" w:line="229" w:lineRule="auto"/>
        <w:ind w:left="14"/>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w:t>
      </w:r>
      <w:r>
        <w:rPr>
          <w:rFonts w:hint="eastAsia" w:ascii="仿宋_GB2312" w:hAnsi="仿宋_GB2312" w:eastAsia="仿宋_GB2312" w:cs="仿宋_GB2312"/>
          <w:spacing w:val="29"/>
          <w:sz w:val="32"/>
          <w:szCs w:val="32"/>
        </w:rPr>
        <w:t xml:space="preserve"> </w:t>
      </w:r>
      <w:r>
        <w:rPr>
          <w:rFonts w:hint="eastAsia" w:ascii="仿宋_GB2312" w:hAnsi="仿宋_GB2312" w:eastAsia="仿宋_GB2312" w:cs="仿宋_GB2312"/>
          <w:sz w:val="32"/>
          <w:szCs w:val="32"/>
        </w:rPr>
        <w:t>后期处置</w:t>
      </w:r>
    </w:p>
    <w:p w14:paraId="53B03851">
      <w:pPr>
        <w:pStyle w:val="2"/>
        <w:spacing w:before="175" w:line="562" w:lineRule="exact"/>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position w:val="18"/>
          <w:sz w:val="32"/>
          <w:szCs w:val="32"/>
        </w:rPr>
        <w:t>（一）善后处理</w:t>
      </w:r>
    </w:p>
    <w:p w14:paraId="5DF731EF">
      <w:pPr>
        <w:pStyle w:val="2"/>
        <w:spacing w:line="227"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（二）调查分析</w:t>
      </w:r>
    </w:p>
    <w:p w14:paraId="72BAAEEF">
      <w:pPr>
        <w:pStyle w:val="2"/>
        <w:spacing w:before="178" w:line="226" w:lineRule="auto"/>
        <w:ind w:left="18"/>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七</w:t>
      </w:r>
      <w:r>
        <w:rPr>
          <w:rFonts w:hint="eastAsia" w:ascii="仿宋_GB2312" w:hAnsi="仿宋_GB2312" w:eastAsia="仿宋_GB2312" w:cs="仿宋_GB2312"/>
          <w:spacing w:val="30"/>
          <w:sz w:val="32"/>
          <w:szCs w:val="32"/>
        </w:rPr>
        <w:t xml:space="preserve"> </w:t>
      </w:r>
      <w:r>
        <w:rPr>
          <w:rFonts w:hint="eastAsia" w:ascii="仿宋_GB2312" w:hAnsi="仿宋_GB2312" w:eastAsia="仿宋_GB2312" w:cs="仿宋_GB2312"/>
          <w:spacing w:val="-1"/>
          <w:sz w:val="32"/>
          <w:szCs w:val="32"/>
        </w:rPr>
        <w:t>应急保障</w:t>
      </w:r>
    </w:p>
    <w:p w14:paraId="23508A93">
      <w:pPr>
        <w:pStyle w:val="2"/>
        <w:spacing w:before="179" w:line="561" w:lineRule="exact"/>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position w:val="18"/>
          <w:sz w:val="32"/>
          <w:szCs w:val="32"/>
        </w:rPr>
        <w:t>（一）装备保障</w:t>
      </w:r>
    </w:p>
    <w:p w14:paraId="41D8BB61">
      <w:pPr>
        <w:pStyle w:val="2"/>
        <w:spacing w:before="1" w:line="226"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（二）资金保障</w:t>
      </w:r>
    </w:p>
    <w:p w14:paraId="6D113B73">
      <w:pPr>
        <w:pStyle w:val="2"/>
        <w:spacing w:before="180" w:line="226"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（三）技术保障</w:t>
      </w:r>
    </w:p>
    <w:p w14:paraId="6EAB8788">
      <w:pPr>
        <w:pStyle w:val="2"/>
        <w:spacing w:before="178" w:line="229"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（四）社会动员</w:t>
      </w:r>
    </w:p>
    <w:p w14:paraId="4F5AE578">
      <w:pPr>
        <w:pStyle w:val="2"/>
        <w:spacing w:before="178" w:line="228" w:lineRule="auto"/>
        <w:ind w:left="11"/>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八</w:t>
      </w:r>
      <w:r>
        <w:rPr>
          <w:rFonts w:hint="eastAsia" w:ascii="仿宋_GB2312" w:hAnsi="仿宋_GB2312" w:eastAsia="仿宋_GB2312" w:cs="仿宋_GB2312"/>
          <w:spacing w:val="94"/>
          <w:sz w:val="32"/>
          <w:szCs w:val="32"/>
        </w:rPr>
        <w:t xml:space="preserve"> </w:t>
      </w:r>
      <w:r>
        <w:rPr>
          <w:rFonts w:hint="eastAsia" w:ascii="仿宋_GB2312" w:hAnsi="仿宋_GB2312" w:eastAsia="仿宋_GB2312" w:cs="仿宋_GB2312"/>
          <w:spacing w:val="-1"/>
          <w:sz w:val="32"/>
          <w:szCs w:val="32"/>
        </w:rPr>
        <w:t>日常管理与责任奖惩</w:t>
      </w:r>
    </w:p>
    <w:p w14:paraId="0082C7A8">
      <w:pPr>
        <w:pStyle w:val="2"/>
        <w:spacing w:before="176" w:line="559" w:lineRule="exact"/>
        <w:ind w:left="336"/>
        <w:rPr>
          <w:rFonts w:hint="eastAsia" w:ascii="仿宋_GB2312" w:hAnsi="仿宋_GB2312" w:eastAsia="仿宋_GB2312" w:cs="仿宋_GB2312"/>
          <w:sz w:val="32"/>
          <w:szCs w:val="32"/>
        </w:rPr>
      </w:pPr>
      <w:r>
        <w:rPr>
          <w:rFonts w:hint="eastAsia" w:ascii="仿宋_GB2312" w:hAnsi="仿宋_GB2312" w:eastAsia="仿宋_GB2312" w:cs="仿宋_GB2312"/>
          <w:spacing w:val="7"/>
          <w:position w:val="17"/>
          <w:sz w:val="32"/>
          <w:szCs w:val="32"/>
        </w:rPr>
        <w:t>（一）宣传、培训与演练</w:t>
      </w:r>
    </w:p>
    <w:p w14:paraId="31D00194">
      <w:pPr>
        <w:pStyle w:val="2"/>
        <w:spacing w:before="1" w:line="225"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（二）监督检查</w:t>
      </w:r>
    </w:p>
    <w:p w14:paraId="59EFE87B">
      <w:pPr>
        <w:pStyle w:val="2"/>
        <w:spacing w:before="184" w:line="229" w:lineRule="auto"/>
        <w:ind w:left="23"/>
        <w:rPr>
          <w:rFonts w:hint="eastAsia" w:ascii="仿宋_GB2312" w:hAnsi="仿宋_GB2312" w:eastAsia="仿宋_GB2312" w:cs="仿宋_GB2312"/>
          <w:sz w:val="32"/>
          <w:szCs w:val="32"/>
        </w:rPr>
      </w:pPr>
      <w:r>
        <w:rPr>
          <w:rFonts w:hint="eastAsia" w:ascii="仿宋_GB2312" w:hAnsi="仿宋_GB2312" w:eastAsia="仿宋_GB2312" w:cs="仿宋_GB2312"/>
          <w:spacing w:val="-14"/>
          <w:sz w:val="32"/>
          <w:szCs w:val="32"/>
        </w:rPr>
        <w:t>九</w:t>
      </w:r>
      <w:r>
        <w:rPr>
          <w:rFonts w:hint="eastAsia" w:ascii="仿宋_GB2312" w:hAnsi="仿宋_GB2312" w:eastAsia="仿宋_GB2312" w:cs="仿宋_GB2312"/>
          <w:spacing w:val="41"/>
          <w:sz w:val="32"/>
          <w:szCs w:val="32"/>
        </w:rPr>
        <w:t xml:space="preserve"> </w:t>
      </w:r>
      <w:r>
        <w:rPr>
          <w:rFonts w:hint="eastAsia" w:ascii="仿宋_GB2312" w:hAnsi="仿宋_GB2312" w:eastAsia="仿宋_GB2312" w:cs="仿宋_GB2312"/>
          <w:spacing w:val="-14"/>
          <w:sz w:val="32"/>
          <w:szCs w:val="32"/>
        </w:rPr>
        <w:t>附则</w:t>
      </w:r>
    </w:p>
    <w:p w14:paraId="54F9BDCA">
      <w:pPr>
        <w:pStyle w:val="2"/>
        <w:spacing w:before="174" w:line="559" w:lineRule="exact"/>
        <w:ind w:left="336"/>
        <w:rPr>
          <w:rFonts w:hint="eastAsia" w:ascii="仿宋_GB2312" w:hAnsi="仿宋_GB2312" w:eastAsia="仿宋_GB2312" w:cs="仿宋_GB2312"/>
          <w:sz w:val="32"/>
          <w:szCs w:val="32"/>
        </w:rPr>
      </w:pPr>
      <w:r>
        <w:rPr>
          <w:rFonts w:hint="eastAsia" w:ascii="仿宋_GB2312" w:hAnsi="仿宋_GB2312" w:eastAsia="仿宋_GB2312" w:cs="仿宋_GB2312"/>
          <w:spacing w:val="7"/>
          <w:position w:val="17"/>
          <w:sz w:val="32"/>
          <w:szCs w:val="32"/>
        </w:rPr>
        <w:t>（一）名词术语解释</w:t>
      </w:r>
    </w:p>
    <w:p w14:paraId="56F70724">
      <w:pPr>
        <w:pStyle w:val="2"/>
        <w:spacing w:before="1" w:line="228" w:lineRule="auto"/>
        <w:ind w:left="33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（二）预案管理</w:t>
      </w:r>
    </w:p>
    <w:p w14:paraId="27378DCD">
      <w:pPr>
        <w:pStyle w:val="2"/>
        <w:spacing w:before="178" w:line="559" w:lineRule="exact"/>
        <w:ind w:left="336"/>
        <w:rPr>
          <w:rFonts w:hint="eastAsia" w:ascii="仿宋_GB2312" w:hAnsi="仿宋_GB2312" w:eastAsia="仿宋_GB2312" w:cs="仿宋_GB2312"/>
          <w:sz w:val="32"/>
          <w:szCs w:val="32"/>
        </w:rPr>
      </w:pPr>
      <w:r>
        <w:rPr>
          <w:rFonts w:hint="eastAsia" w:ascii="仿宋_GB2312" w:hAnsi="仿宋_GB2312" w:eastAsia="仿宋_GB2312" w:cs="仿宋_GB2312"/>
          <w:spacing w:val="7"/>
          <w:position w:val="17"/>
          <w:sz w:val="32"/>
          <w:szCs w:val="32"/>
        </w:rPr>
        <w:t>（三）事故应急救援联系方式</w:t>
      </w:r>
    </w:p>
    <w:p w14:paraId="7E1BF4F8">
      <w:pPr>
        <w:pStyle w:val="2"/>
        <w:spacing w:before="1" w:line="227" w:lineRule="auto"/>
        <w:ind w:left="336"/>
        <w:rPr>
          <w:rFonts w:hint="eastAsia" w:ascii="仿宋_GB2312" w:hAnsi="仿宋_GB2312" w:eastAsia="仿宋_GB2312" w:cs="仿宋_GB2312"/>
          <w:spacing w:val="7"/>
          <w:sz w:val="32"/>
          <w:szCs w:val="32"/>
        </w:rPr>
      </w:pPr>
      <w:r>
        <w:rPr>
          <w:rFonts w:hint="eastAsia" w:ascii="仿宋_GB2312" w:hAnsi="仿宋_GB2312" w:eastAsia="仿宋_GB2312" w:cs="仿宋_GB2312"/>
          <w:spacing w:val="7"/>
          <w:sz w:val="32"/>
          <w:szCs w:val="32"/>
        </w:rPr>
        <w:t>（四）预案实施时间</w:t>
      </w:r>
    </w:p>
    <w:p w14:paraId="17B258BD">
      <w:pPr>
        <w:pStyle w:val="2"/>
        <w:spacing w:before="1" w:line="227" w:lineRule="auto"/>
        <w:ind w:left="336"/>
        <w:rPr>
          <w:rFonts w:hint="eastAsia" w:ascii="仿宋_GB2312" w:hAnsi="仿宋_GB2312" w:eastAsia="仿宋_GB2312" w:cs="仿宋_GB2312"/>
          <w:spacing w:val="7"/>
          <w:sz w:val="32"/>
          <w:szCs w:val="32"/>
        </w:rPr>
      </w:pPr>
    </w:p>
    <w:p w14:paraId="021CD286">
      <w:pPr>
        <w:pStyle w:val="2"/>
        <w:spacing w:before="178" w:line="226" w:lineRule="auto"/>
        <w:ind w:left="26"/>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附件 特种设备事故分级标准</w:t>
      </w:r>
    </w:p>
    <w:p w14:paraId="34609DAA">
      <w:pPr>
        <w:spacing w:line="226" w:lineRule="auto"/>
        <w:sectPr>
          <w:pgSz w:w="11906" w:h="16839"/>
          <w:pgMar w:top="1123" w:right="1587" w:bottom="1123" w:left="1587" w:header="0" w:footer="1148" w:gutter="0"/>
          <w:cols w:space="720" w:num="1"/>
        </w:sectPr>
      </w:pPr>
    </w:p>
    <w:p w14:paraId="277C83B8">
      <w:pPr>
        <w:spacing w:before="101" w:line="227" w:lineRule="auto"/>
        <w:ind w:left="634"/>
        <w:rPr>
          <w:rFonts w:ascii="黑体" w:hAnsi="黑体" w:eastAsia="黑体" w:cs="黑体"/>
          <w:sz w:val="32"/>
          <w:szCs w:val="32"/>
        </w:rPr>
      </w:pPr>
      <w:r>
        <w:rPr>
          <w:rFonts w:ascii="黑体" w:hAnsi="黑体" w:eastAsia="黑体" w:cs="黑体"/>
          <w:spacing w:val="5"/>
          <w:sz w:val="32"/>
          <w:szCs w:val="32"/>
        </w:rPr>
        <w:t>一、总则</w:t>
      </w:r>
    </w:p>
    <w:p w14:paraId="6DA2D85B">
      <w:pPr>
        <w:spacing w:before="180" w:line="235" w:lineRule="auto"/>
        <w:ind w:left="655"/>
        <w:rPr>
          <w:rFonts w:ascii="楷体" w:hAnsi="楷体" w:eastAsia="楷体" w:cs="楷体"/>
          <w:sz w:val="32"/>
          <w:szCs w:val="32"/>
        </w:rPr>
      </w:pPr>
      <w:r>
        <w:rPr>
          <w:rFonts w:ascii="楷体" w:hAnsi="楷体" w:eastAsia="楷体" w:cs="楷体"/>
          <w:spacing w:val="5"/>
          <w:sz w:val="32"/>
          <w:szCs w:val="32"/>
          <w14:textOutline w14:w="5793" w14:cap="sq" w14:cmpd="sng">
            <w14:solidFill>
              <w14:srgbClr w14:val="000000"/>
            </w14:solidFill>
            <w14:prstDash w14:val="solid"/>
            <w14:bevel/>
          </w14:textOutline>
        </w:rPr>
        <w:t>（一）编制目的</w:t>
      </w:r>
    </w:p>
    <w:p w14:paraId="6A9356B9">
      <w:pPr>
        <w:pStyle w:val="2"/>
        <w:spacing w:before="163" w:line="334" w:lineRule="auto"/>
        <w:ind w:left="7" w:right="87" w:firstLine="630"/>
        <w:jc w:val="left"/>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指导、规范全区市场监管系统特种设备安全事故应急处置工作，及时控制和消除特种设备突发事件，最大限度地减少事</w:t>
      </w:r>
      <w:r>
        <w:rPr>
          <w:rFonts w:hint="eastAsia" w:ascii="仿宋_GB2312" w:hAnsi="仿宋_GB2312" w:eastAsia="仿宋_GB2312" w:cs="仿宋_GB2312"/>
          <w:spacing w:val="8"/>
          <w:sz w:val="32"/>
          <w:szCs w:val="32"/>
        </w:rPr>
        <w:t>故造成的人员伤亡和经济损失，维护社会稳定。</w:t>
      </w:r>
    </w:p>
    <w:p w14:paraId="3BE86C64">
      <w:pPr>
        <w:spacing w:before="181" w:line="235" w:lineRule="auto"/>
        <w:ind w:left="655"/>
        <w:rPr>
          <w:rFonts w:ascii="楷体" w:hAnsi="楷体" w:eastAsia="楷体" w:cs="楷体"/>
          <w:sz w:val="32"/>
          <w:szCs w:val="32"/>
        </w:rPr>
      </w:pPr>
      <w:r>
        <w:rPr>
          <w:rFonts w:ascii="楷体" w:hAnsi="楷体" w:eastAsia="楷体" w:cs="楷体"/>
          <w:spacing w:val="5"/>
          <w:sz w:val="32"/>
          <w:szCs w:val="32"/>
          <w14:textOutline w14:w="5793" w14:cap="sq" w14:cmpd="sng">
            <w14:solidFill>
              <w14:srgbClr w14:val="000000"/>
            </w14:solidFill>
            <w14:prstDash w14:val="solid"/>
            <w14:bevel/>
          </w14:textOutline>
        </w:rPr>
        <w:t>（二）编制依据</w:t>
      </w:r>
    </w:p>
    <w:p w14:paraId="01ABB901">
      <w:pPr>
        <w:pStyle w:val="2"/>
        <w:spacing w:before="165" w:line="227" w:lineRule="auto"/>
        <w:ind w:left="635"/>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《中华人民共和国安全生产法》</w:t>
      </w:r>
    </w:p>
    <w:p w14:paraId="40446D76">
      <w:pPr>
        <w:pStyle w:val="2"/>
        <w:spacing w:before="180" w:line="559" w:lineRule="exact"/>
        <w:ind w:left="635"/>
        <w:rPr>
          <w:rFonts w:hint="eastAsia" w:ascii="仿宋_GB2312" w:hAnsi="仿宋_GB2312" w:eastAsia="仿宋_GB2312" w:cs="仿宋_GB2312"/>
          <w:sz w:val="32"/>
          <w:szCs w:val="32"/>
        </w:rPr>
      </w:pPr>
      <w:r>
        <w:rPr>
          <w:rFonts w:hint="eastAsia" w:ascii="仿宋_GB2312" w:hAnsi="仿宋_GB2312" w:eastAsia="仿宋_GB2312" w:cs="仿宋_GB2312"/>
          <w:spacing w:val="8"/>
          <w:position w:val="17"/>
          <w:sz w:val="32"/>
          <w:szCs w:val="32"/>
        </w:rPr>
        <w:t>《中华人民共和国特种设备安全法》</w:t>
      </w:r>
    </w:p>
    <w:p w14:paraId="4BA7E804">
      <w:pPr>
        <w:pStyle w:val="2"/>
        <w:spacing w:before="1" w:line="226" w:lineRule="auto"/>
        <w:ind w:left="635"/>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《特种设备安全监察条例》</w:t>
      </w:r>
    </w:p>
    <w:p w14:paraId="04D1D7D1">
      <w:pPr>
        <w:pStyle w:val="2"/>
        <w:spacing w:before="180" w:line="226" w:lineRule="auto"/>
        <w:ind w:left="635"/>
        <w:rPr>
          <w:rFonts w:hint="eastAsia" w:ascii="仿宋_GB2312" w:hAnsi="仿宋_GB2312" w:eastAsia="仿宋_GB2312" w:cs="仿宋_GB2312"/>
          <w:sz w:val="32"/>
          <w:szCs w:val="32"/>
        </w:rPr>
      </w:pPr>
      <w:r>
        <w:rPr>
          <w:rFonts w:hint="eastAsia" w:ascii="仿宋_GB2312" w:hAnsi="仿宋_GB2312" w:eastAsia="仿宋_GB2312" w:cs="仿宋_GB2312"/>
          <w:spacing w:val="8"/>
          <w:sz w:val="32"/>
          <w:szCs w:val="32"/>
        </w:rPr>
        <w:t>《特种设备事故报告和调查处理规定》</w:t>
      </w:r>
    </w:p>
    <w:p w14:paraId="74021BC2">
      <w:pPr>
        <w:pStyle w:val="2"/>
        <w:spacing w:before="174" w:line="334" w:lineRule="auto"/>
        <w:ind w:left="8" w:right="87" w:firstLine="628"/>
        <w:jc w:val="both"/>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特种设备事故应急处置遵循统一领导、分级负责，条块结</w:t>
      </w:r>
      <w:r>
        <w:rPr>
          <w:rFonts w:hint="eastAsia" w:ascii="仿宋_GB2312" w:hAnsi="仿宋_GB2312" w:eastAsia="仿宋_GB2312" w:cs="仿宋_GB2312"/>
          <w:spacing w:val="10"/>
          <w:sz w:val="32"/>
          <w:szCs w:val="32"/>
        </w:rPr>
        <w:t>合、以块为主，单位自救与社会救援相结合的</w:t>
      </w:r>
      <w:r>
        <w:rPr>
          <w:rFonts w:hint="eastAsia" w:ascii="仿宋_GB2312" w:hAnsi="仿宋_GB2312" w:eastAsia="仿宋_GB2312" w:cs="仿宋_GB2312"/>
          <w:spacing w:val="9"/>
          <w:sz w:val="32"/>
          <w:szCs w:val="32"/>
        </w:rPr>
        <w:t>原则，做到协同</w:t>
      </w:r>
      <w:r>
        <w:rPr>
          <w:rFonts w:hint="eastAsia" w:ascii="仿宋_GB2312" w:hAnsi="仿宋_GB2312" w:eastAsia="仿宋_GB2312" w:cs="仿宋_GB2312"/>
          <w:spacing w:val="8"/>
          <w:sz w:val="32"/>
          <w:szCs w:val="32"/>
        </w:rPr>
        <w:t>应对、规范有序、响应及时、处置科学。</w:t>
      </w:r>
    </w:p>
    <w:p w14:paraId="5A6EF216">
      <w:pPr>
        <w:spacing w:before="176" w:line="234" w:lineRule="auto"/>
        <w:ind w:left="655"/>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（四）适用范围</w:t>
      </w:r>
    </w:p>
    <w:p w14:paraId="2916A6EA">
      <w:pPr>
        <w:pStyle w:val="2"/>
        <w:spacing w:before="167" w:line="562" w:lineRule="exact"/>
        <w:ind w:left="639"/>
      </w:pPr>
      <w:r>
        <w:rPr>
          <w:rFonts w:hint="eastAsia" w:ascii="仿宋_GB2312" w:hAnsi="仿宋_GB2312" w:eastAsia="仿宋_GB2312" w:cs="仿宋_GB2312"/>
          <w:spacing w:val="8"/>
          <w:position w:val="18"/>
          <w:sz w:val="32"/>
          <w:szCs w:val="32"/>
        </w:rPr>
        <w:t>本预案适用于本区各类特种设备事故的应急处置工作</w:t>
      </w:r>
      <w:r>
        <w:rPr>
          <w:spacing w:val="8"/>
          <w:position w:val="18"/>
        </w:rPr>
        <w:t>。</w:t>
      </w:r>
    </w:p>
    <w:p w14:paraId="371D6B28">
      <w:pPr>
        <w:spacing w:line="226" w:lineRule="auto"/>
        <w:ind w:left="634"/>
        <w:rPr>
          <w:rFonts w:ascii="黑体" w:hAnsi="黑体" w:eastAsia="黑体" w:cs="黑体"/>
          <w:sz w:val="31"/>
          <w:szCs w:val="31"/>
        </w:rPr>
      </w:pPr>
      <w:r>
        <w:rPr>
          <w:rFonts w:ascii="黑体" w:hAnsi="黑体" w:eastAsia="黑体" w:cs="黑体"/>
          <w:spacing w:val="7"/>
          <w:sz w:val="31"/>
          <w:szCs w:val="31"/>
        </w:rPr>
        <w:t>二、事故分级</w:t>
      </w:r>
    </w:p>
    <w:p w14:paraId="471BFA14">
      <w:pPr>
        <w:pStyle w:val="2"/>
        <w:spacing w:before="162" w:line="379" w:lineRule="auto"/>
        <w:ind w:left="3" w:firstLine="616"/>
        <w:jc w:val="both"/>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根据特种设备安全事故造成的危害性、紧急程</w:t>
      </w:r>
      <w:r>
        <w:rPr>
          <w:rFonts w:hint="eastAsia" w:ascii="仿宋_GB2312" w:hAnsi="仿宋_GB2312" w:eastAsia="仿宋_GB2312" w:cs="仿宋_GB2312"/>
          <w:spacing w:val="2"/>
          <w:sz w:val="32"/>
          <w:szCs w:val="32"/>
        </w:rPr>
        <w:t>度和发展态势，</w:t>
      </w:r>
      <w:r>
        <w:rPr>
          <w:rFonts w:hint="eastAsia" w:ascii="仿宋_GB2312" w:hAnsi="仿宋_GB2312" w:eastAsia="仿宋_GB2312" w:cs="仿宋_GB2312"/>
          <w:spacing w:val="8"/>
          <w:sz w:val="32"/>
          <w:szCs w:val="32"/>
        </w:rPr>
        <w:t>分为一般事故(Ⅳ级)、较大事故(Ⅲ级)、重大事故(Ⅱ级)、特别</w:t>
      </w:r>
      <w:r>
        <w:rPr>
          <w:rFonts w:hint="eastAsia" w:ascii="仿宋_GB2312" w:hAnsi="仿宋_GB2312" w:eastAsia="仿宋_GB2312" w:cs="仿宋_GB2312"/>
          <w:spacing w:val="9"/>
          <w:sz w:val="32"/>
          <w:szCs w:val="32"/>
        </w:rPr>
        <w:t>重大事故(Ⅰ级)四级，颜色依次为蓝色、黄色、橙色、红色。具</w:t>
      </w:r>
      <w:r>
        <w:rPr>
          <w:rFonts w:hint="eastAsia" w:ascii="仿宋_GB2312" w:hAnsi="仿宋_GB2312" w:eastAsia="仿宋_GB2312" w:cs="仿宋_GB2312"/>
          <w:spacing w:val="6"/>
          <w:sz w:val="32"/>
          <w:szCs w:val="32"/>
        </w:rPr>
        <w:t>体分级依据见附件。</w:t>
      </w:r>
    </w:p>
    <w:p w14:paraId="225F7505">
      <w:pPr>
        <w:spacing w:before="264" w:line="226" w:lineRule="auto"/>
        <w:ind w:left="636"/>
        <w:rPr>
          <w:rFonts w:ascii="黑体" w:hAnsi="黑体" w:eastAsia="黑体" w:cs="黑体"/>
          <w:sz w:val="32"/>
          <w:szCs w:val="32"/>
        </w:rPr>
      </w:pPr>
      <w:r>
        <w:rPr>
          <w:rFonts w:ascii="黑体" w:hAnsi="黑体" w:eastAsia="黑体" w:cs="黑体"/>
          <w:spacing w:val="8"/>
          <w:sz w:val="32"/>
          <w:szCs w:val="32"/>
        </w:rPr>
        <w:t>三、应急指挥体系及职责</w:t>
      </w:r>
    </w:p>
    <w:p w14:paraId="04E62E4E">
      <w:pPr>
        <w:spacing w:before="179" w:line="230" w:lineRule="auto"/>
        <w:ind w:left="655"/>
        <w:rPr>
          <w:rFonts w:ascii="楷体" w:hAnsi="楷体" w:eastAsia="楷体" w:cs="楷体"/>
          <w:sz w:val="32"/>
          <w:szCs w:val="32"/>
        </w:rPr>
      </w:pPr>
      <w:r>
        <w:rPr>
          <w:rFonts w:ascii="楷体" w:hAnsi="楷体" w:eastAsia="楷体" w:cs="楷体"/>
          <w:spacing w:val="7"/>
          <w:sz w:val="32"/>
          <w:szCs w:val="32"/>
          <w14:textOutline w14:w="5793" w14:cap="sq" w14:cmpd="sng">
            <w14:solidFill>
              <w14:srgbClr w14:val="000000"/>
            </w14:solidFill>
            <w14:prstDash w14:val="solid"/>
            <w14:bevel/>
          </w14:textOutline>
        </w:rPr>
        <w:t>（一）应急组织机构架构</w:t>
      </w:r>
    </w:p>
    <w:p w14:paraId="08B7F1F9">
      <w:pPr>
        <w:spacing w:line="230" w:lineRule="auto"/>
        <w:rPr>
          <w:rFonts w:ascii="楷体" w:hAnsi="楷体" w:eastAsia="楷体" w:cs="楷体"/>
          <w:sz w:val="31"/>
          <w:szCs w:val="31"/>
        </w:rPr>
        <w:sectPr>
          <w:footerReference r:id="rId7" w:type="default"/>
          <w:pgSz w:w="11906" w:h="16839"/>
          <w:pgMar w:top="1123" w:right="1576" w:bottom="1066" w:left="1587" w:header="0" w:footer="1148" w:gutter="0"/>
          <w:cols w:space="720" w:num="1"/>
        </w:sectPr>
      </w:pPr>
    </w:p>
    <w:p w14:paraId="4ADB770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652" w:firstLineChars="200"/>
        <w:jc w:val="both"/>
        <w:textAlignment w:val="baseline"/>
        <w:rPr>
          <w:rFonts w:hint="eastAsia" w:ascii="仿宋_GB2312" w:hAnsi="仿宋_GB2312" w:eastAsia="仿宋_GB2312" w:cs="仿宋_GB2312"/>
          <w:spacing w:val="3"/>
          <w:sz w:val="32"/>
          <w:szCs w:val="32"/>
          <w:lang w:val="en-US" w:eastAsia="zh-CN"/>
        </w:rPr>
      </w:pPr>
      <w:r>
        <w:rPr>
          <w:rFonts w:hint="eastAsia" w:ascii="仿宋_GB2312" w:hAnsi="仿宋_GB2312" w:eastAsia="仿宋_GB2312" w:cs="仿宋_GB2312"/>
          <w:spacing w:val="3"/>
          <w:sz w:val="32"/>
          <w:szCs w:val="32"/>
        </w:rPr>
        <w:t>区市场监督管理局建立特种设备事故应急处置联动机制</w:t>
      </w:r>
      <w:r>
        <w:rPr>
          <w:rFonts w:hint="eastAsia" w:ascii="仿宋_GB2312" w:hAnsi="仿宋_GB2312" w:eastAsia="仿宋_GB2312" w:cs="仿宋_GB2312"/>
          <w:spacing w:val="3"/>
          <w:sz w:val="32"/>
          <w:szCs w:val="32"/>
          <w:lang w:val="en-US" w:eastAsia="zh-CN"/>
        </w:rPr>
        <w:t>负责铜官区特种设备安全事故的防范和应急处置工作。</w:t>
      </w:r>
    </w:p>
    <w:p w14:paraId="3880DAB2">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652" w:firstLineChars="200"/>
        <w:jc w:val="both"/>
        <w:textAlignment w:val="baseline"/>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区市场监督管理局设立铜官区特种设备事故应急指挥中心(以下简称区局应急指挥中心)。区市场监管局局长任指挥长，分管副局长任副指挥长，各市场监管所负责人及相关业务股室工作人员为成员。</w:t>
      </w:r>
    </w:p>
    <w:p w14:paraId="28BE21E0">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652" w:firstLineChars="200"/>
        <w:jc w:val="both"/>
        <w:textAlignment w:val="baseline"/>
        <w:rPr>
          <w:rFonts w:hint="default" w:ascii="仿宋_GB2312" w:hAnsi="仿宋_GB2312" w:eastAsia="仿宋_GB2312" w:cs="仿宋_GB2312"/>
          <w:spacing w:val="3"/>
          <w:sz w:val="32"/>
          <w:szCs w:val="32"/>
          <w:lang w:val="en-US" w:eastAsia="zh-CN"/>
        </w:rPr>
      </w:pPr>
      <w:r>
        <w:rPr>
          <w:rFonts w:hint="eastAsia" w:ascii="仿宋_GB2312" w:hAnsi="仿宋_GB2312" w:eastAsia="仿宋_GB2312" w:cs="仿宋_GB2312"/>
          <w:spacing w:val="3"/>
          <w:sz w:val="32"/>
          <w:szCs w:val="32"/>
        </w:rPr>
        <w:t>区局应急指挥中心下设办公室，办公室设在区局质监股</w:t>
      </w:r>
      <w:r>
        <w:rPr>
          <w:rFonts w:hint="eastAsia" w:ascii="仿宋_GB2312" w:hAnsi="仿宋_GB2312" w:eastAsia="仿宋_GB2312" w:cs="仿宋_GB2312"/>
          <w:spacing w:val="3"/>
          <w:sz w:val="32"/>
          <w:szCs w:val="32"/>
          <w:lang w:eastAsia="zh-CN"/>
        </w:rPr>
        <w:t>，</w:t>
      </w:r>
      <w:r>
        <w:rPr>
          <w:rFonts w:hint="eastAsia" w:ascii="仿宋_GB2312" w:hAnsi="仿宋_GB2312" w:eastAsia="仿宋_GB2312" w:cs="仿宋_GB2312"/>
          <w:spacing w:val="3"/>
          <w:sz w:val="32"/>
          <w:szCs w:val="32"/>
          <w:lang w:val="en-US" w:eastAsia="zh-CN"/>
        </w:rPr>
        <w:t>办公室主任由质监股负责人兼任。</w:t>
      </w:r>
    </w:p>
    <w:p w14:paraId="1DF30E99">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0" w:firstLine="668" w:firstLineChars="200"/>
        <w:jc w:val="left"/>
        <w:textAlignment w:val="baseline"/>
        <w:rPr>
          <w:rFonts w:ascii="楷体" w:hAnsi="楷体" w:eastAsia="楷体" w:cs="楷体"/>
          <w:sz w:val="32"/>
          <w:szCs w:val="32"/>
        </w:rPr>
      </w:pPr>
      <w:r>
        <w:rPr>
          <w:rFonts w:ascii="楷体" w:hAnsi="楷体" w:eastAsia="楷体" w:cs="楷体"/>
          <w:spacing w:val="7"/>
          <w:sz w:val="32"/>
          <w:szCs w:val="32"/>
          <w14:textOutline w14:w="5793" w14:cap="sq" w14:cmpd="sng">
            <w14:solidFill>
              <w14:srgbClr w14:val="000000"/>
            </w14:solidFill>
            <w14:prstDash w14:val="solid"/>
            <w14:bevel/>
          </w14:textOutline>
        </w:rPr>
        <w:t>（二）应急组织机构职责</w:t>
      </w:r>
    </w:p>
    <w:p w14:paraId="6811F388">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6" w:firstLine="652" w:firstLineChars="200"/>
        <w:jc w:val="left"/>
        <w:textAlignment w:val="baseline"/>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1.区局应急指挥中心</w:t>
      </w:r>
    </w:p>
    <w:p w14:paraId="2DA6BC86">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6" w:firstLine="652" w:firstLineChars="200"/>
        <w:jc w:val="left"/>
        <w:textAlignment w:val="baseline"/>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贯彻落实党中央、国务院和省、市级安全生产应急指挥部关于特种设备安全事故应急处置工作的重大决策部署;统一组织、协调全区市场监管系统特种设备安全事故应急救援工作;决定启动或终止应急响应;督促和指导各辖区所开展事故应急处置工作。</w:t>
      </w:r>
    </w:p>
    <w:p w14:paraId="763A3E64">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6" w:firstLine="652" w:firstLineChars="200"/>
        <w:jc w:val="left"/>
        <w:textAlignment w:val="baseline"/>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2.区局应急指挥中心办公室</w:t>
      </w:r>
    </w:p>
    <w:p w14:paraId="0B053D81">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6" w:firstLine="652" w:firstLineChars="200"/>
        <w:jc w:val="left"/>
        <w:textAlignment w:val="baseline"/>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承担区局应急指挥中心的日常工作。督查、落实特种设备应 急救援的有关决策;收集汇总、报送和发布有关事故信息;及时向 区局应急指挥中心报告; 综合协调和督促做好全区特种设备安全事故应急救援工作;组织事故损害调查和快速评估;组织、参与事故调查;督促有关单位制定防范措施。</w:t>
      </w:r>
    </w:p>
    <w:p w14:paraId="0804545A">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6" w:firstLine="652" w:firstLineChars="200"/>
        <w:jc w:val="left"/>
        <w:textAlignment w:val="baseline"/>
        <w:rPr>
          <w:rFonts w:hint="eastAsia" w:ascii="仿宋_GB2312" w:hAnsi="仿宋_GB2312" w:eastAsia="仿宋_GB2312" w:cs="仿宋_GB2312"/>
          <w:spacing w:val="3"/>
          <w:sz w:val="32"/>
          <w:szCs w:val="32"/>
        </w:rPr>
      </w:pPr>
      <w:r>
        <w:rPr>
          <w:rFonts w:hint="eastAsia" w:ascii="仿宋_GB2312" w:hAnsi="仿宋_GB2312" w:eastAsia="仿宋_GB2312" w:cs="仿宋_GB2312"/>
          <w:spacing w:val="3"/>
          <w:sz w:val="32"/>
          <w:szCs w:val="32"/>
        </w:rPr>
        <w:t>3.区局应急指挥中心成员单位</w:t>
      </w:r>
    </w:p>
    <w:p w14:paraId="670CFAE5">
      <w:pPr>
        <w:pStyle w:val="2"/>
        <w:keepNext w:val="0"/>
        <w:keepLines w:val="0"/>
        <w:pageBreakBefore w:val="0"/>
        <w:widowControl/>
        <w:kinsoku w:val="0"/>
        <w:wordWrap/>
        <w:overflowPunct/>
        <w:topLinePunct w:val="0"/>
        <w:autoSpaceDE w:val="0"/>
        <w:autoSpaceDN w:val="0"/>
        <w:bidi w:val="0"/>
        <w:adjustRightInd w:val="0"/>
        <w:snapToGrid w:val="0"/>
        <w:spacing w:before="265" w:line="360" w:lineRule="auto"/>
        <w:ind w:right="14" w:firstLine="68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依法组织制定本级特种设备事故应急预案，建立或者纳入相应的应急处置与救援体系；及时准确的向区局应急指挥中心报告本辖区内发生的特种设备突发情况；接收区局应急指挥中</w:t>
      </w:r>
      <w:r>
        <w:rPr>
          <w:rFonts w:hint="eastAsia" w:ascii="仿宋_GB2312" w:hAnsi="仿宋_GB2312" w:eastAsia="仿宋_GB2312" w:cs="仿宋_GB2312"/>
          <w:spacing w:val="4"/>
          <w:sz w:val="32"/>
          <w:szCs w:val="32"/>
        </w:rPr>
        <w:t>心指令并按要求落实；依法启动应急预案，采取应急处置措施，</w:t>
      </w:r>
      <w:r>
        <w:rPr>
          <w:rFonts w:hint="eastAsia" w:ascii="仿宋_GB2312" w:hAnsi="仿宋_GB2312" w:eastAsia="仿宋_GB2312" w:cs="仿宋_GB2312"/>
          <w:spacing w:val="12"/>
          <w:sz w:val="32"/>
          <w:szCs w:val="32"/>
        </w:rPr>
        <w:t>参与特种设备安全事故应急救援；负责特种设备安全事故应急救援中的有关协调工作；配合做好事故信息发布工作；配合做</w:t>
      </w:r>
      <w:r>
        <w:rPr>
          <w:rFonts w:hint="eastAsia" w:ascii="仿宋_GB2312" w:hAnsi="仿宋_GB2312" w:eastAsia="仿宋_GB2312" w:cs="仿宋_GB2312"/>
          <w:spacing w:val="14"/>
          <w:sz w:val="32"/>
          <w:szCs w:val="32"/>
        </w:rPr>
        <w:t>好地方政府及有关部门对伤亡人员和家属的慰问和</w:t>
      </w:r>
      <w:r>
        <w:rPr>
          <w:rFonts w:hint="eastAsia" w:ascii="仿宋_GB2312" w:hAnsi="仿宋_GB2312" w:eastAsia="仿宋_GB2312" w:cs="仿宋_GB2312"/>
          <w:spacing w:val="13"/>
          <w:sz w:val="32"/>
          <w:szCs w:val="32"/>
        </w:rPr>
        <w:t>安抚工作；</w:t>
      </w:r>
      <w:r>
        <w:rPr>
          <w:rFonts w:hint="eastAsia" w:ascii="仿宋_GB2312" w:hAnsi="仿宋_GB2312" w:eastAsia="仿宋_GB2312" w:cs="仿宋_GB2312"/>
          <w:spacing w:val="12"/>
          <w:sz w:val="32"/>
          <w:szCs w:val="32"/>
        </w:rPr>
        <w:t>组织或者参加事故调查，依照法律、行政法规的规定，追究事</w:t>
      </w:r>
      <w:r>
        <w:rPr>
          <w:rFonts w:hint="eastAsia" w:ascii="仿宋_GB2312" w:hAnsi="仿宋_GB2312" w:eastAsia="仿宋_GB2312" w:cs="仿宋_GB2312"/>
          <w:spacing w:val="7"/>
          <w:sz w:val="32"/>
          <w:szCs w:val="32"/>
        </w:rPr>
        <w:t>故责任单位和责任人员的责任。</w:t>
      </w:r>
    </w:p>
    <w:p w14:paraId="7E4A635E">
      <w:pPr>
        <w:keepNext w:val="0"/>
        <w:keepLines w:val="0"/>
        <w:pageBreakBefore w:val="0"/>
        <w:widowControl/>
        <w:kinsoku w:val="0"/>
        <w:wordWrap/>
        <w:overflowPunct/>
        <w:topLinePunct w:val="0"/>
        <w:autoSpaceDE w:val="0"/>
        <w:autoSpaceDN w:val="0"/>
        <w:bidi w:val="0"/>
        <w:adjustRightInd w:val="0"/>
        <w:snapToGrid w:val="0"/>
        <w:spacing w:before="178" w:line="360" w:lineRule="auto"/>
        <w:ind w:firstLine="656" w:firstLineChars="200"/>
        <w:jc w:val="left"/>
        <w:textAlignment w:val="baseline"/>
        <w:rPr>
          <w:rFonts w:ascii="楷体" w:hAnsi="楷体" w:eastAsia="楷体" w:cs="楷体"/>
          <w:sz w:val="32"/>
          <w:szCs w:val="32"/>
        </w:rPr>
      </w:pPr>
      <w:r>
        <w:rPr>
          <w:rFonts w:ascii="楷体" w:hAnsi="楷体" w:eastAsia="楷体" w:cs="楷体"/>
          <w:spacing w:val="4"/>
          <w:sz w:val="32"/>
          <w:szCs w:val="32"/>
          <w14:textOutline w14:w="5793" w14:cap="sq" w14:cmpd="sng">
            <w14:solidFill>
              <w14:srgbClr w14:val="000000"/>
            </w14:solidFill>
            <w14:prstDash w14:val="solid"/>
            <w14:bevel/>
          </w14:textOutline>
        </w:rPr>
        <w:t>（三）专家组</w:t>
      </w:r>
    </w:p>
    <w:p w14:paraId="53BBBDDE">
      <w:pPr>
        <w:pStyle w:val="2"/>
        <w:keepNext w:val="0"/>
        <w:keepLines w:val="0"/>
        <w:pageBreakBefore w:val="0"/>
        <w:widowControl/>
        <w:kinsoku w:val="0"/>
        <w:wordWrap/>
        <w:overflowPunct/>
        <w:topLinePunct w:val="0"/>
        <w:autoSpaceDE w:val="0"/>
        <w:autoSpaceDN w:val="0"/>
        <w:bidi w:val="0"/>
        <w:adjustRightInd w:val="0"/>
        <w:snapToGrid w:val="0"/>
        <w:spacing w:line="360" w:lineRule="auto"/>
        <w:ind w:left="0" w:firstLine="652"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区局应急指挥中心办公室负责组织建立专家组，负责参与、</w:t>
      </w:r>
      <w:r>
        <w:rPr>
          <w:rFonts w:hint="eastAsia" w:ascii="仿宋_GB2312" w:hAnsi="仿宋_GB2312" w:eastAsia="仿宋_GB2312" w:cs="仿宋_GB2312"/>
          <w:spacing w:val="12"/>
          <w:sz w:val="32"/>
          <w:szCs w:val="32"/>
        </w:rPr>
        <w:t>指导特种设备安全事故应急处置，对特种设备安全事故影响进</w:t>
      </w:r>
      <w:r>
        <w:rPr>
          <w:rFonts w:hint="eastAsia" w:ascii="仿宋_GB2312" w:hAnsi="仿宋_GB2312" w:eastAsia="仿宋_GB2312" w:cs="仿宋_GB2312"/>
          <w:spacing w:val="7"/>
          <w:sz w:val="32"/>
          <w:szCs w:val="32"/>
        </w:rPr>
        <w:t>行评估，为处置决策提供技术支持。</w:t>
      </w:r>
    </w:p>
    <w:p w14:paraId="3756D56B">
      <w:pPr>
        <w:keepNext w:val="0"/>
        <w:keepLines w:val="0"/>
        <w:pageBreakBefore w:val="0"/>
        <w:widowControl/>
        <w:kinsoku w:val="0"/>
        <w:wordWrap/>
        <w:overflowPunct/>
        <w:topLinePunct w:val="0"/>
        <w:autoSpaceDE w:val="0"/>
        <w:autoSpaceDN w:val="0"/>
        <w:bidi w:val="0"/>
        <w:adjustRightInd w:val="0"/>
        <w:snapToGrid w:val="0"/>
        <w:spacing w:before="182" w:line="360" w:lineRule="auto"/>
        <w:ind w:firstLine="668" w:firstLineChars="200"/>
        <w:jc w:val="left"/>
        <w:textAlignment w:val="baseline"/>
        <w:rPr>
          <w:rFonts w:ascii="楷体" w:hAnsi="楷体" w:eastAsia="楷体" w:cs="楷体"/>
          <w:sz w:val="32"/>
          <w:szCs w:val="32"/>
        </w:rPr>
      </w:pPr>
      <w:r>
        <w:rPr>
          <w:rFonts w:ascii="楷体" w:hAnsi="楷体" w:eastAsia="楷体" w:cs="楷体"/>
          <w:spacing w:val="7"/>
          <w:sz w:val="32"/>
          <w:szCs w:val="32"/>
          <w14:textOutline w14:w="5793" w14:cap="sq" w14:cmpd="sng">
            <w14:solidFill>
              <w14:srgbClr w14:val="000000"/>
            </w14:solidFill>
            <w14:prstDash w14:val="solid"/>
            <w14:bevel/>
          </w14:textOutline>
        </w:rPr>
        <w:t>（四）特种设备使用单位</w:t>
      </w:r>
    </w:p>
    <w:p w14:paraId="72EC1E36">
      <w:pPr>
        <w:pStyle w:val="2"/>
        <w:keepNext w:val="0"/>
        <w:keepLines w:val="0"/>
        <w:pageBreakBefore w:val="0"/>
        <w:widowControl/>
        <w:kinsoku w:val="0"/>
        <w:wordWrap/>
        <w:overflowPunct/>
        <w:topLinePunct w:val="0"/>
        <w:autoSpaceDE w:val="0"/>
        <w:autoSpaceDN w:val="0"/>
        <w:bidi w:val="0"/>
        <w:adjustRightInd w:val="0"/>
        <w:snapToGrid w:val="0"/>
        <w:spacing w:before="169" w:line="360" w:lineRule="auto"/>
        <w:ind w:left="1" w:right="14" w:firstLine="68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使用单位是特种设备使用安全的责任主体，应建立专、兼职救援队伍，做好应急物资储备，完善应急预案和现场处置措施，加强从业人员应急培训，组织开展演练。使用单位应做好</w:t>
      </w:r>
      <w:r>
        <w:rPr>
          <w:rFonts w:hint="eastAsia" w:ascii="仿宋_GB2312" w:hAnsi="仿宋_GB2312" w:eastAsia="仿宋_GB2312" w:cs="仿宋_GB2312"/>
          <w:spacing w:val="4"/>
          <w:sz w:val="32"/>
          <w:szCs w:val="32"/>
        </w:rPr>
        <w:t>事故的先期处置工作，及时报告事故情况及已采取的处置措施，</w:t>
      </w:r>
      <w:r>
        <w:rPr>
          <w:rFonts w:hint="eastAsia" w:ascii="仿宋_GB2312" w:hAnsi="仿宋_GB2312" w:eastAsia="仿宋_GB2312" w:cs="仿宋_GB2312"/>
          <w:spacing w:val="12"/>
          <w:sz w:val="32"/>
          <w:szCs w:val="32"/>
        </w:rPr>
        <w:t>按照省局应急指挥中心的要求，提供应急处置相关资料，配合</w:t>
      </w:r>
      <w:r>
        <w:rPr>
          <w:rFonts w:hint="eastAsia" w:ascii="仿宋_GB2312" w:hAnsi="仿宋_GB2312" w:eastAsia="仿宋_GB2312" w:cs="仿宋_GB2312"/>
          <w:spacing w:val="7"/>
          <w:sz w:val="32"/>
          <w:szCs w:val="32"/>
        </w:rPr>
        <w:t>实施事故救援及后期相关工作。</w:t>
      </w:r>
    </w:p>
    <w:p w14:paraId="16B64630">
      <w:pPr>
        <w:keepNext w:val="0"/>
        <w:keepLines w:val="0"/>
        <w:pageBreakBefore w:val="0"/>
        <w:widowControl/>
        <w:kinsoku w:val="0"/>
        <w:wordWrap/>
        <w:overflowPunct/>
        <w:topLinePunct w:val="0"/>
        <w:autoSpaceDE w:val="0"/>
        <w:autoSpaceDN w:val="0"/>
        <w:bidi w:val="0"/>
        <w:adjustRightInd w:val="0"/>
        <w:snapToGrid w:val="0"/>
        <w:spacing w:before="180" w:line="360" w:lineRule="auto"/>
        <w:ind w:firstLine="668" w:firstLineChars="200"/>
        <w:jc w:val="left"/>
        <w:textAlignment w:val="baseline"/>
        <w:rPr>
          <w:rFonts w:ascii="楷体" w:hAnsi="楷体" w:eastAsia="楷体" w:cs="楷体"/>
          <w:sz w:val="32"/>
          <w:szCs w:val="32"/>
        </w:rPr>
      </w:pPr>
      <w:r>
        <w:rPr>
          <w:rFonts w:ascii="楷体" w:hAnsi="楷体" w:eastAsia="楷体" w:cs="楷体"/>
          <w:spacing w:val="7"/>
          <w:sz w:val="32"/>
          <w:szCs w:val="32"/>
          <w14:textOutline w14:w="5793" w14:cap="sq" w14:cmpd="sng">
            <w14:solidFill>
              <w14:srgbClr w14:val="000000"/>
            </w14:solidFill>
            <w14:prstDash w14:val="solid"/>
            <w14:bevel/>
          </w14:textOutline>
        </w:rPr>
        <w:t>（五）现场应急处置小组</w:t>
      </w:r>
    </w:p>
    <w:p w14:paraId="50739798">
      <w:pPr>
        <w:pStyle w:val="2"/>
        <w:keepNext w:val="0"/>
        <w:keepLines w:val="0"/>
        <w:pageBreakBefore w:val="0"/>
        <w:widowControl/>
        <w:kinsoku w:val="0"/>
        <w:wordWrap/>
        <w:overflowPunct/>
        <w:topLinePunct w:val="0"/>
        <w:autoSpaceDE w:val="0"/>
        <w:autoSpaceDN w:val="0"/>
        <w:bidi w:val="0"/>
        <w:adjustRightInd w:val="0"/>
        <w:snapToGrid w:val="0"/>
        <w:spacing w:before="165" w:line="360" w:lineRule="auto"/>
        <w:ind w:firstLine="652"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现场应急救援指挥以属地管理为主。特种设备事故发生后，</w:t>
      </w:r>
      <w:r>
        <w:rPr>
          <w:rFonts w:hint="eastAsia" w:ascii="仿宋_GB2312" w:hAnsi="仿宋_GB2312" w:eastAsia="仿宋_GB2312" w:cs="仿宋_GB2312"/>
          <w:spacing w:val="12"/>
          <w:sz w:val="32"/>
          <w:szCs w:val="32"/>
        </w:rPr>
        <w:t>市场监督管理局应在区政府的领导下，根据应急响应的级别和应急预案的规定，成立现场应急处置小组，具体负责、协调现</w:t>
      </w:r>
      <w:r>
        <w:rPr>
          <w:rFonts w:hint="eastAsia" w:ascii="仿宋_GB2312" w:hAnsi="仿宋_GB2312" w:eastAsia="仿宋_GB2312" w:cs="仿宋_GB2312"/>
          <w:spacing w:val="5"/>
          <w:sz w:val="32"/>
          <w:szCs w:val="32"/>
        </w:rPr>
        <w:t>场应急救援工作。</w:t>
      </w:r>
    </w:p>
    <w:p w14:paraId="5B167602">
      <w:pPr>
        <w:pStyle w:val="2"/>
        <w:keepNext w:val="0"/>
        <w:keepLines w:val="0"/>
        <w:pageBreakBefore w:val="0"/>
        <w:widowControl/>
        <w:kinsoku w:val="0"/>
        <w:wordWrap/>
        <w:overflowPunct/>
        <w:topLinePunct w:val="0"/>
        <w:autoSpaceDE w:val="0"/>
        <w:autoSpaceDN w:val="0"/>
        <w:bidi w:val="0"/>
        <w:adjustRightInd w:val="0"/>
        <w:snapToGrid w:val="0"/>
        <w:spacing w:before="185" w:line="360" w:lineRule="auto"/>
        <w:ind w:left="13" w:firstLine="684"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1"/>
          <w:sz w:val="32"/>
          <w:szCs w:val="32"/>
        </w:rPr>
        <w:t>主要职责：负责现场应急处置、救援保障和善后处理等工</w:t>
      </w:r>
      <w:r>
        <w:rPr>
          <w:rFonts w:hint="eastAsia" w:ascii="仿宋_GB2312" w:hAnsi="仿宋_GB2312" w:eastAsia="仿宋_GB2312" w:cs="仿宋_GB2312"/>
          <w:spacing w:val="12"/>
          <w:sz w:val="32"/>
          <w:szCs w:val="32"/>
        </w:rPr>
        <w:t>作，组织、协调参与应急救援的队伍和人员，及时向应急指挥中心及铜官区人民政府报告事态发展及应急处置情况。涉及多个领域、跨区级行政区域或较大事故，根据需要由区局应急指</w:t>
      </w:r>
      <w:r>
        <w:rPr>
          <w:rFonts w:hint="eastAsia" w:ascii="仿宋_GB2312" w:hAnsi="仿宋_GB2312" w:eastAsia="仿宋_GB2312" w:cs="仿宋_GB2312"/>
          <w:spacing w:val="5"/>
          <w:sz w:val="32"/>
          <w:szCs w:val="32"/>
        </w:rPr>
        <w:t>挥中心组织成立现场指挥部，负责现场应急救援协调指</w:t>
      </w:r>
      <w:r>
        <w:rPr>
          <w:rFonts w:hint="eastAsia" w:ascii="仿宋_GB2312" w:hAnsi="仿宋_GB2312" w:eastAsia="仿宋_GB2312" w:cs="仿宋_GB2312"/>
          <w:spacing w:val="4"/>
          <w:sz w:val="32"/>
          <w:szCs w:val="32"/>
        </w:rPr>
        <w:t>挥工作。</w:t>
      </w:r>
      <w:r>
        <w:rPr>
          <w:rFonts w:hint="eastAsia" w:ascii="仿宋_GB2312" w:hAnsi="仿宋_GB2312" w:eastAsia="仿宋_GB2312" w:cs="仿宋_GB2312"/>
          <w:spacing w:val="12"/>
          <w:sz w:val="32"/>
          <w:szCs w:val="32"/>
        </w:rPr>
        <w:t>当发生重大、特别重大特种设备事故时，按照上级政府和市场</w:t>
      </w:r>
      <w:r>
        <w:rPr>
          <w:rFonts w:hint="eastAsia" w:ascii="仿宋_GB2312" w:hAnsi="仿宋_GB2312" w:eastAsia="仿宋_GB2312" w:cs="仿宋_GB2312"/>
          <w:spacing w:val="7"/>
          <w:sz w:val="32"/>
          <w:szCs w:val="32"/>
        </w:rPr>
        <w:t>监管局的统一部署实施应急处置救援。</w:t>
      </w:r>
    </w:p>
    <w:p w14:paraId="52BB09BC">
      <w:pPr>
        <w:spacing w:before="179" w:line="226" w:lineRule="auto"/>
        <w:ind w:left="660"/>
        <w:rPr>
          <w:rFonts w:ascii="黑体" w:hAnsi="黑体" w:eastAsia="黑体" w:cs="黑体"/>
          <w:sz w:val="32"/>
          <w:szCs w:val="32"/>
        </w:rPr>
      </w:pPr>
      <w:r>
        <w:rPr>
          <w:rFonts w:ascii="黑体" w:hAnsi="黑体" w:eastAsia="黑体" w:cs="黑体"/>
          <w:spacing w:val="4"/>
          <w:sz w:val="32"/>
          <w:szCs w:val="32"/>
        </w:rPr>
        <w:t>四、预防预警</w:t>
      </w:r>
    </w:p>
    <w:p w14:paraId="74788694">
      <w:pPr>
        <w:spacing w:before="179" w:line="238" w:lineRule="auto"/>
        <w:ind w:left="667"/>
        <w:rPr>
          <w:rFonts w:ascii="楷体" w:hAnsi="楷体" w:eastAsia="楷体" w:cs="楷体"/>
          <w:sz w:val="32"/>
          <w:szCs w:val="32"/>
        </w:rPr>
      </w:pPr>
      <w:r>
        <w:rPr>
          <w:rFonts w:ascii="楷体" w:hAnsi="楷体" w:eastAsia="楷体" w:cs="楷体"/>
          <w:spacing w:val="5"/>
          <w:sz w:val="32"/>
          <w:szCs w:val="32"/>
          <w14:textOutline w14:w="5793" w14:cap="sq" w14:cmpd="sng">
            <w14:solidFill>
              <w14:srgbClr w14:val="000000"/>
            </w14:solidFill>
            <w14:prstDash w14:val="solid"/>
            <w14:bevel/>
          </w14:textOutline>
        </w:rPr>
        <w:t>（一）信息监测</w:t>
      </w:r>
    </w:p>
    <w:p w14:paraId="1C4CCF91">
      <w:pPr>
        <w:pStyle w:val="2"/>
        <w:spacing w:before="164" w:line="333" w:lineRule="auto"/>
        <w:ind w:left="16" w:right="23" w:firstLine="661"/>
        <w:rPr>
          <w:rFonts w:hint="eastAsia" w:ascii="仿宋_GB2312" w:hAnsi="仿宋_GB2312" w:eastAsia="仿宋_GB2312" w:cs="仿宋_GB2312"/>
          <w:sz w:val="32"/>
          <w:szCs w:val="32"/>
        </w:rPr>
      </w:pPr>
      <w:r>
        <w:rPr>
          <w:rFonts w:hint="eastAsia" w:ascii="仿宋_GB2312" w:hAnsi="仿宋_GB2312" w:eastAsia="仿宋_GB2312" w:cs="仿宋_GB2312"/>
          <w:spacing w:val="11"/>
          <w:sz w:val="32"/>
          <w:szCs w:val="32"/>
        </w:rPr>
        <w:t>区局应急指挥中心办公室负责全区市场监管系统特种设备</w:t>
      </w:r>
      <w:r>
        <w:rPr>
          <w:rFonts w:hint="eastAsia" w:ascii="仿宋_GB2312" w:hAnsi="仿宋_GB2312" w:eastAsia="仿宋_GB2312" w:cs="仿宋_GB2312"/>
          <w:spacing w:val="4"/>
          <w:sz w:val="32"/>
          <w:szCs w:val="32"/>
        </w:rPr>
        <w:t>安全事故信息的接收、报告、初步处理和统计分析工作。同</w:t>
      </w:r>
      <w:r>
        <w:rPr>
          <w:rFonts w:hint="eastAsia" w:ascii="仿宋_GB2312" w:hAnsi="仿宋_GB2312" w:eastAsia="仿宋_GB2312" w:cs="仿宋_GB2312"/>
          <w:spacing w:val="3"/>
          <w:sz w:val="32"/>
          <w:szCs w:val="32"/>
        </w:rPr>
        <w:t>时，</w:t>
      </w:r>
      <w:r>
        <w:rPr>
          <w:rFonts w:hint="eastAsia" w:ascii="仿宋_GB2312" w:hAnsi="仿宋_GB2312" w:eastAsia="仿宋_GB2312" w:cs="仿宋_GB2312"/>
          <w:spacing w:val="13"/>
          <w:sz w:val="32"/>
          <w:szCs w:val="32"/>
        </w:rPr>
        <w:t>定期或适时通报全区特种设备基本情况、特种设备事故情况、</w:t>
      </w:r>
      <w:r>
        <w:rPr>
          <w:rFonts w:hint="eastAsia" w:ascii="仿宋_GB2312" w:hAnsi="仿宋_GB2312" w:eastAsia="仿宋_GB2312" w:cs="仿宋_GB2312"/>
          <w:spacing w:val="12"/>
          <w:sz w:val="32"/>
          <w:szCs w:val="32"/>
        </w:rPr>
        <w:t>重大危险源、重大事故隐患等；定期完成并公布全区特种设备安全总体状况。各成员单位接到可能引发特种设备安全事故或隐患信息报告后，应进行核实与风险分析，并按规定向区局应</w:t>
      </w:r>
      <w:r>
        <w:rPr>
          <w:rFonts w:hint="eastAsia" w:ascii="仿宋_GB2312" w:hAnsi="仿宋_GB2312" w:eastAsia="仿宋_GB2312" w:cs="仿宋_GB2312"/>
          <w:spacing w:val="3"/>
          <w:sz w:val="32"/>
          <w:szCs w:val="32"/>
        </w:rPr>
        <w:t>急指挥中心报告。</w:t>
      </w:r>
    </w:p>
    <w:p w14:paraId="5B4F3394">
      <w:pPr>
        <w:spacing w:before="179" w:line="238" w:lineRule="auto"/>
        <w:ind w:left="667"/>
        <w:rPr>
          <w:rFonts w:ascii="楷体" w:hAnsi="楷体" w:eastAsia="楷体" w:cs="楷体"/>
          <w:sz w:val="32"/>
          <w:szCs w:val="32"/>
        </w:rPr>
      </w:pPr>
      <w:r>
        <w:rPr>
          <w:rFonts w:ascii="楷体" w:hAnsi="楷体" w:eastAsia="楷体" w:cs="楷体"/>
          <w:spacing w:val="5"/>
          <w:sz w:val="32"/>
          <w:szCs w:val="32"/>
          <w14:textOutline w14:w="5793" w14:cap="sq" w14:cmpd="sng">
            <w14:solidFill>
              <w14:srgbClr w14:val="000000"/>
            </w14:solidFill>
            <w14:prstDash w14:val="solid"/>
            <w14:bevel/>
          </w14:textOutline>
        </w:rPr>
        <w:t>（二）风险监测</w:t>
      </w:r>
    </w:p>
    <w:p w14:paraId="41CFEA09">
      <w:pPr>
        <w:pStyle w:val="2"/>
        <w:keepNext w:val="0"/>
        <w:keepLines w:val="0"/>
        <w:pageBreakBefore w:val="0"/>
        <w:widowControl/>
        <w:kinsoku w:val="0"/>
        <w:wordWrap/>
        <w:overflowPunct/>
        <w:topLinePunct w:val="0"/>
        <w:autoSpaceDE w:val="0"/>
        <w:autoSpaceDN w:val="0"/>
        <w:bidi w:val="0"/>
        <w:adjustRightInd w:val="0"/>
        <w:snapToGrid w:val="0"/>
        <w:spacing w:line="360" w:lineRule="auto"/>
        <w:ind w:right="0" w:firstLine="68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0"/>
          <w:sz w:val="32"/>
          <w:szCs w:val="32"/>
        </w:rPr>
        <w:t>依据《中华人民共和国特种设备安全法》、相关法规及安</w:t>
      </w:r>
      <w:r>
        <w:rPr>
          <w:rFonts w:hint="eastAsia" w:ascii="仿宋_GB2312" w:hAnsi="仿宋_GB2312" w:eastAsia="仿宋_GB2312" w:cs="仿宋_GB2312"/>
          <w:spacing w:val="12"/>
          <w:sz w:val="32"/>
          <w:szCs w:val="32"/>
        </w:rPr>
        <w:t>全技术规范要求，加强市场跟踪监测和风险分析研判，提高市</w:t>
      </w:r>
      <w:r>
        <w:rPr>
          <w:rFonts w:hint="eastAsia" w:ascii="仿宋_GB2312" w:hAnsi="仿宋_GB2312" w:eastAsia="仿宋_GB2312" w:cs="仿宋_GB2312"/>
          <w:spacing w:val="4"/>
          <w:sz w:val="32"/>
          <w:szCs w:val="32"/>
        </w:rPr>
        <w:t>场监管的针对性和预见性。根据安徽省特种设备安全风险研判、</w:t>
      </w:r>
      <w:r>
        <w:rPr>
          <w:rFonts w:hint="eastAsia" w:ascii="仿宋_GB2312" w:hAnsi="仿宋_GB2312" w:eastAsia="仿宋_GB2312" w:cs="仿宋_GB2312"/>
          <w:spacing w:val="12"/>
          <w:sz w:val="32"/>
          <w:szCs w:val="32"/>
        </w:rPr>
        <w:t>预警指南，及时将查找出并确认的风险点清单，录入风险点管理信息系统。使用单位要做好特种设备风险监测，及时报送风险情况，为管控特种设备安全风险提供基础信息。特种设备检验检测技术机构要发挥技术保障作用，为风险研判提供技术支持。区市场监督管理局要分析研究，确定隐患的蓝色、黄色、橙色、红色四个等级的风险点，加强特种设备巡查跟踪，根据具体条件，确定相应的预警级别，提出预测意见，对可能引发事故的异常情况，及时上报区局应急指挥中心。区局应急指挥中心接到预警信息后，要立即予以研判，根据不同的预警级别及时发布预警信息，并做好相应处置工作，及时向上级和有关</w:t>
      </w:r>
      <w:r>
        <w:rPr>
          <w:rFonts w:hint="eastAsia" w:ascii="仿宋_GB2312" w:hAnsi="仿宋_GB2312" w:eastAsia="仿宋_GB2312" w:cs="仿宋_GB2312"/>
          <w:spacing w:val="6"/>
          <w:sz w:val="32"/>
          <w:szCs w:val="32"/>
        </w:rPr>
        <w:t>部门报告预警信息。</w:t>
      </w:r>
    </w:p>
    <w:p w14:paraId="276D070A">
      <w:pPr>
        <w:spacing w:before="178" w:line="232" w:lineRule="auto"/>
        <w:ind w:left="656"/>
        <w:rPr>
          <w:rFonts w:ascii="楷体" w:hAnsi="楷体" w:eastAsia="楷体" w:cs="楷体"/>
          <w:sz w:val="32"/>
          <w:szCs w:val="32"/>
        </w:rPr>
      </w:pPr>
      <w:r>
        <w:rPr>
          <w:rFonts w:ascii="楷体" w:hAnsi="楷体" w:eastAsia="楷体" w:cs="楷体"/>
          <w:spacing w:val="5"/>
          <w:sz w:val="32"/>
          <w:szCs w:val="32"/>
          <w14:textOutline w14:w="5793" w14:cap="sq" w14:cmpd="sng">
            <w14:solidFill>
              <w14:srgbClr w14:val="000000"/>
            </w14:solidFill>
            <w14:prstDash w14:val="solid"/>
            <w14:bevel/>
          </w14:textOutline>
        </w:rPr>
        <w:t>（三）预防措施</w:t>
      </w:r>
    </w:p>
    <w:p w14:paraId="59A008C3">
      <w:pPr>
        <w:pStyle w:val="2"/>
        <w:keepNext w:val="0"/>
        <w:keepLines w:val="0"/>
        <w:pageBreakBefore w:val="0"/>
        <w:widowControl/>
        <w:kinsoku w:val="0"/>
        <w:wordWrap/>
        <w:overflowPunct/>
        <w:topLinePunct w:val="0"/>
        <w:autoSpaceDE w:val="0"/>
        <w:autoSpaceDN w:val="0"/>
        <w:bidi w:val="0"/>
        <w:adjustRightInd w:val="0"/>
        <w:snapToGrid w:val="0"/>
        <w:spacing w:before="165" w:line="360" w:lineRule="auto"/>
        <w:ind w:right="87" w:firstLine="64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1.强化企业主体责任落实。特种设备使用单位应建立完善特</w:t>
      </w:r>
      <w:r>
        <w:rPr>
          <w:rFonts w:hint="eastAsia" w:ascii="仿宋_GB2312" w:hAnsi="仿宋_GB2312" w:eastAsia="仿宋_GB2312" w:cs="仿宋_GB2312"/>
          <w:spacing w:val="12"/>
          <w:sz w:val="32"/>
          <w:szCs w:val="32"/>
        </w:rPr>
        <w:t xml:space="preserve"> 种设备安全管理制度和岗位安全责任制度，设立专兼职机构或者设专、兼职人员，做好特种设备安全工作，适时分析特种设备安全状况，制定、完善事故应急预案，按期申报并保证特种设备定期检验合格，特种设备作业人员须持证上岗，及时整治</w:t>
      </w:r>
      <w:r>
        <w:rPr>
          <w:rFonts w:hint="eastAsia" w:ascii="仿宋_GB2312" w:hAnsi="仿宋_GB2312" w:eastAsia="仿宋_GB2312" w:cs="仿宋_GB2312"/>
          <w:spacing w:val="5"/>
          <w:sz w:val="32"/>
          <w:szCs w:val="32"/>
        </w:rPr>
        <w:t>特种设备隐患。</w:t>
      </w:r>
    </w:p>
    <w:p w14:paraId="1DADDE4C">
      <w:pPr>
        <w:pStyle w:val="2"/>
        <w:keepNext w:val="0"/>
        <w:keepLines w:val="0"/>
        <w:pageBreakBefore w:val="0"/>
        <w:widowControl/>
        <w:kinsoku w:val="0"/>
        <w:wordWrap/>
        <w:overflowPunct/>
        <w:topLinePunct w:val="0"/>
        <w:autoSpaceDE w:val="0"/>
        <w:autoSpaceDN w:val="0"/>
        <w:bidi w:val="0"/>
        <w:adjustRightInd w:val="0"/>
        <w:snapToGrid w:val="0"/>
        <w:spacing w:before="101" w:line="312" w:lineRule="auto"/>
        <w:ind w:left="11" w:right="130" w:firstLine="652"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2.强化特种设备分级防范。区市场监督管理局要根据风险研</w:t>
      </w:r>
      <w:r>
        <w:rPr>
          <w:rFonts w:hint="eastAsia" w:ascii="仿宋_GB2312" w:hAnsi="仿宋_GB2312" w:eastAsia="仿宋_GB2312" w:cs="仿宋_GB2312"/>
          <w:spacing w:val="16"/>
          <w:sz w:val="32"/>
          <w:szCs w:val="32"/>
        </w:rPr>
        <w:t xml:space="preserve"> </w:t>
      </w:r>
      <w:r>
        <w:rPr>
          <w:rFonts w:hint="eastAsia" w:ascii="仿宋_GB2312" w:hAnsi="仿宋_GB2312" w:eastAsia="仿宋_GB2312" w:cs="仿宋_GB2312"/>
          <w:spacing w:val="4"/>
          <w:sz w:val="32"/>
          <w:szCs w:val="32"/>
        </w:rPr>
        <w:t>判结果，制定、完善特种设备风险防范措施，并严格组织落实，</w:t>
      </w:r>
      <w:r>
        <w:rPr>
          <w:rFonts w:hint="eastAsia" w:ascii="仿宋_GB2312" w:hAnsi="仿宋_GB2312" w:eastAsia="仿宋_GB2312" w:cs="仿宋_GB2312"/>
          <w:spacing w:val="12"/>
          <w:sz w:val="32"/>
          <w:szCs w:val="32"/>
        </w:rPr>
        <w:t>实现风险可控。一是强化学校、医院、商场、体育场馆、展览馆、公园等公众聚焦场所特种设备的安全风险管控；二是强化特殊时段、重大活动时期特种设备的安全风险管控；三是突出</w:t>
      </w:r>
      <w:r>
        <w:rPr>
          <w:rFonts w:hint="eastAsia" w:ascii="仿宋_GB2312" w:hAnsi="仿宋_GB2312" w:eastAsia="仿宋_GB2312" w:cs="仿宋_GB2312"/>
          <w:spacing w:val="9"/>
          <w:sz w:val="32"/>
          <w:szCs w:val="32"/>
        </w:rPr>
        <w:t>高风险重点特种设备的安全风险管控；四是进一步完善特种设</w:t>
      </w:r>
      <w:r>
        <w:rPr>
          <w:rFonts w:hint="eastAsia" w:ascii="仿宋_GB2312" w:hAnsi="仿宋_GB2312" w:eastAsia="仿宋_GB2312" w:cs="仿宋_GB2312"/>
          <w:spacing w:val="12"/>
          <w:sz w:val="32"/>
          <w:szCs w:val="32"/>
        </w:rPr>
        <w:t>备隐患排查治理体系建设，对发现的隐患制定治理方案，做到</w:t>
      </w:r>
      <w:r>
        <w:rPr>
          <w:rFonts w:hint="eastAsia" w:ascii="仿宋_GB2312" w:hAnsi="仿宋_GB2312" w:eastAsia="仿宋_GB2312" w:cs="仿宋_GB2312"/>
          <w:spacing w:val="10"/>
          <w:sz w:val="32"/>
          <w:szCs w:val="32"/>
        </w:rPr>
        <w:t>责任、措施、资金、时限、预案“五落实”，防止发生特种设</w:t>
      </w:r>
      <w:r>
        <w:rPr>
          <w:rFonts w:hint="eastAsia" w:ascii="仿宋_GB2312" w:hAnsi="仿宋_GB2312" w:eastAsia="仿宋_GB2312" w:cs="仿宋_GB2312"/>
          <w:spacing w:val="5"/>
          <w:sz w:val="32"/>
          <w:szCs w:val="32"/>
        </w:rPr>
        <w:t>备群死群伤事故。</w:t>
      </w:r>
    </w:p>
    <w:p w14:paraId="65FABAA9">
      <w:pPr>
        <w:pStyle w:val="2"/>
        <w:keepNext w:val="0"/>
        <w:keepLines w:val="0"/>
        <w:pageBreakBefore w:val="0"/>
        <w:widowControl/>
        <w:kinsoku w:val="0"/>
        <w:wordWrap/>
        <w:overflowPunct/>
        <w:topLinePunct w:val="0"/>
        <w:autoSpaceDE w:val="0"/>
        <w:autoSpaceDN w:val="0"/>
        <w:bidi w:val="0"/>
        <w:adjustRightInd w:val="0"/>
        <w:snapToGrid w:val="0"/>
        <w:spacing w:line="317" w:lineRule="auto"/>
        <w:ind w:left="0" w:right="0" w:firstLine="64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3.明确特种设备风险管控工作职责。区局应急指挥中心</w:t>
      </w:r>
      <w:r>
        <w:rPr>
          <w:rFonts w:hint="eastAsia" w:ascii="仿宋_GB2312" w:hAnsi="仿宋_GB2312" w:eastAsia="仿宋_GB2312" w:cs="仿宋_GB2312"/>
          <w:spacing w:val="1"/>
          <w:sz w:val="32"/>
          <w:szCs w:val="32"/>
        </w:rPr>
        <w:t>要督</w:t>
      </w:r>
      <w:r>
        <w:rPr>
          <w:rFonts w:hint="eastAsia" w:ascii="仿宋_GB2312" w:hAnsi="仿宋_GB2312" w:eastAsia="仿宋_GB2312" w:cs="仿宋_GB2312"/>
          <w:spacing w:val="12"/>
          <w:sz w:val="32"/>
          <w:szCs w:val="32"/>
        </w:rPr>
        <w:t>导特种设备生产、经营、检验检测、使用单位推进完善特种设备风险管控工作职责。区市场监督管理局和辖区市场监管所要加强特种设备风险管控责任的检查，督促各相关单位履行风险</w:t>
      </w:r>
      <w:r>
        <w:rPr>
          <w:rFonts w:hint="eastAsia" w:ascii="仿宋_GB2312" w:hAnsi="仿宋_GB2312" w:eastAsia="仿宋_GB2312" w:cs="仿宋_GB2312"/>
          <w:spacing w:val="3"/>
          <w:sz w:val="32"/>
          <w:szCs w:val="32"/>
        </w:rPr>
        <w:t>管控工作职责。</w:t>
      </w:r>
    </w:p>
    <w:p w14:paraId="15DB8ACB">
      <w:pPr>
        <w:spacing w:before="181" w:line="231" w:lineRule="auto"/>
        <w:ind w:left="667"/>
        <w:rPr>
          <w:rFonts w:ascii="楷体" w:hAnsi="楷体" w:eastAsia="楷体" w:cs="楷体"/>
          <w:sz w:val="31"/>
          <w:szCs w:val="31"/>
        </w:rPr>
      </w:pPr>
      <w:r>
        <w:rPr>
          <w:rFonts w:ascii="楷体" w:hAnsi="楷体" w:eastAsia="楷体" w:cs="楷体"/>
          <w:spacing w:val="7"/>
          <w:sz w:val="31"/>
          <w:szCs w:val="31"/>
          <w14:textOutline w14:w="5793" w14:cap="sq" w14:cmpd="sng">
            <w14:solidFill>
              <w14:srgbClr w14:val="000000"/>
            </w14:solidFill>
            <w14:prstDash w14:val="solid"/>
            <w14:bevel/>
          </w14:textOutline>
        </w:rPr>
        <w:t>（四）预警分级和发布</w:t>
      </w:r>
    </w:p>
    <w:p w14:paraId="1F333F8F">
      <w:pPr>
        <w:pStyle w:val="2"/>
        <w:keepNext w:val="0"/>
        <w:keepLines w:val="0"/>
        <w:pageBreakBefore w:val="0"/>
        <w:widowControl/>
        <w:kinsoku w:val="0"/>
        <w:wordWrap/>
        <w:overflowPunct/>
        <w:topLinePunct w:val="0"/>
        <w:autoSpaceDE w:val="0"/>
        <w:autoSpaceDN w:val="0"/>
        <w:bidi w:val="0"/>
        <w:adjustRightInd w:val="0"/>
        <w:snapToGrid w:val="0"/>
        <w:spacing w:before="172" w:line="308" w:lineRule="auto"/>
        <w:ind w:firstLine="644"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
          <w:sz w:val="32"/>
          <w:szCs w:val="32"/>
        </w:rPr>
        <w:t>1.预警分级</w:t>
      </w:r>
    </w:p>
    <w:p w14:paraId="6ED3CD1C">
      <w:pPr>
        <w:pStyle w:val="2"/>
        <w:keepNext w:val="0"/>
        <w:keepLines w:val="0"/>
        <w:pageBreakBefore w:val="0"/>
        <w:widowControl/>
        <w:kinsoku w:val="0"/>
        <w:wordWrap/>
        <w:overflowPunct/>
        <w:topLinePunct w:val="0"/>
        <w:autoSpaceDE w:val="0"/>
        <w:autoSpaceDN w:val="0"/>
        <w:bidi w:val="0"/>
        <w:adjustRightInd w:val="0"/>
        <w:snapToGrid w:val="0"/>
        <w:spacing w:before="174" w:line="308" w:lineRule="auto"/>
        <w:ind w:left="22" w:firstLine="688"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特种设备事故预警级别与事故分级标准相对应，包括特别</w:t>
      </w:r>
      <w:r>
        <w:rPr>
          <w:rFonts w:hint="eastAsia" w:ascii="仿宋_GB2312" w:hAnsi="仿宋_GB2312" w:eastAsia="仿宋_GB2312" w:cs="仿宋_GB2312"/>
          <w:spacing w:val="2"/>
          <w:sz w:val="32"/>
          <w:szCs w:val="32"/>
        </w:rPr>
        <w:t>重大（I级）、重大（</w:t>
      </w:r>
      <w:r>
        <w:rPr>
          <w:rFonts w:hint="eastAsia" w:ascii="仿宋_GB2312" w:hAnsi="仿宋_GB2312" w:eastAsia="仿宋_GB2312" w:cs="仿宋_GB2312"/>
          <w:sz w:val="32"/>
          <w:szCs w:val="32"/>
        </w:rPr>
        <w:t>II</w:t>
      </w:r>
      <w:r>
        <w:rPr>
          <w:rFonts w:hint="eastAsia" w:ascii="仿宋_GB2312" w:hAnsi="仿宋_GB2312" w:eastAsia="仿宋_GB2312" w:cs="仿宋_GB2312"/>
          <w:spacing w:val="2"/>
          <w:sz w:val="32"/>
          <w:szCs w:val="32"/>
        </w:rPr>
        <w:t>级）、较大（</w:t>
      </w:r>
      <w:r>
        <w:rPr>
          <w:rFonts w:hint="eastAsia" w:ascii="仿宋_GB2312" w:hAnsi="仿宋_GB2312" w:eastAsia="仿宋_GB2312" w:cs="仿宋_GB2312"/>
          <w:sz w:val="32"/>
          <w:szCs w:val="32"/>
        </w:rPr>
        <w:t>III</w:t>
      </w:r>
      <w:r>
        <w:rPr>
          <w:rFonts w:hint="eastAsia" w:ascii="仿宋_GB2312" w:hAnsi="仿宋_GB2312" w:eastAsia="仿宋_GB2312" w:cs="仿宋_GB2312"/>
          <w:spacing w:val="2"/>
          <w:sz w:val="32"/>
          <w:szCs w:val="32"/>
        </w:rPr>
        <w:t>级）、一般（</w:t>
      </w:r>
      <w:r>
        <w:rPr>
          <w:rFonts w:hint="eastAsia" w:ascii="仿宋_GB2312" w:hAnsi="仿宋_GB2312" w:eastAsia="仿宋_GB2312" w:cs="仿宋_GB2312"/>
          <w:sz w:val="32"/>
          <w:szCs w:val="32"/>
        </w:rPr>
        <w:t>IV</w:t>
      </w:r>
      <w:r>
        <w:rPr>
          <w:rFonts w:hint="eastAsia" w:ascii="仿宋_GB2312" w:hAnsi="仿宋_GB2312" w:eastAsia="仿宋_GB2312" w:cs="仿宋_GB2312"/>
          <w:spacing w:val="2"/>
          <w:sz w:val="32"/>
          <w:szCs w:val="32"/>
        </w:rPr>
        <w:t>级）</w:t>
      </w:r>
      <w:r>
        <w:rPr>
          <w:rFonts w:hint="eastAsia" w:ascii="仿宋_GB2312" w:hAnsi="仿宋_GB2312" w:eastAsia="仿宋_GB2312" w:cs="仿宋_GB2312"/>
          <w:spacing w:val="6"/>
          <w:sz w:val="32"/>
          <w:szCs w:val="32"/>
        </w:rPr>
        <w:t>四级，依次用红色、橙色、黄色和蓝色表示。</w:t>
      </w:r>
    </w:p>
    <w:p w14:paraId="47F55C4A">
      <w:pPr>
        <w:pStyle w:val="2"/>
        <w:keepNext w:val="0"/>
        <w:keepLines w:val="0"/>
        <w:pageBreakBefore w:val="0"/>
        <w:widowControl/>
        <w:kinsoku w:val="0"/>
        <w:wordWrap/>
        <w:overflowPunct/>
        <w:topLinePunct w:val="0"/>
        <w:autoSpaceDE w:val="0"/>
        <w:autoSpaceDN w:val="0"/>
        <w:bidi w:val="0"/>
        <w:adjustRightInd w:val="0"/>
        <w:snapToGrid w:val="0"/>
        <w:spacing w:before="175" w:line="308" w:lineRule="auto"/>
        <w:ind w:left="13" w:right="132" w:firstLine="684"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1"/>
          <w:sz w:val="32"/>
          <w:szCs w:val="32"/>
        </w:rPr>
        <w:t>Ⅳ级预警（蓝色预警</w:t>
      </w:r>
      <w:r>
        <w:rPr>
          <w:rFonts w:hint="eastAsia" w:ascii="仿宋_GB2312" w:hAnsi="仿宋_GB2312" w:eastAsia="仿宋_GB2312" w:cs="仿宋_GB2312"/>
          <w:spacing w:val="-2"/>
          <w:sz w:val="32"/>
          <w:szCs w:val="32"/>
        </w:rPr>
        <w:t>）：</w:t>
      </w:r>
      <w:r>
        <w:rPr>
          <w:rFonts w:hint="eastAsia" w:ascii="仿宋_GB2312" w:hAnsi="仿宋_GB2312" w:eastAsia="仿宋_GB2312" w:cs="仿宋_GB2312"/>
          <w:spacing w:val="11"/>
          <w:sz w:val="32"/>
          <w:szCs w:val="32"/>
        </w:rPr>
        <w:t>可能发生或引发特种设备一般事</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pacing w:val="12"/>
          <w:sz w:val="32"/>
          <w:szCs w:val="32"/>
        </w:rPr>
        <w:t>故的；或事故已经发生，可能进一步扩大影响范围，造成公共</w:t>
      </w:r>
      <w:r>
        <w:rPr>
          <w:rFonts w:hint="eastAsia" w:ascii="仿宋_GB2312" w:hAnsi="仿宋_GB2312" w:eastAsia="仿宋_GB2312" w:cs="仿宋_GB2312"/>
          <w:sz w:val="32"/>
          <w:szCs w:val="32"/>
        </w:rPr>
        <w:t>危害的。</w:t>
      </w:r>
    </w:p>
    <w:p w14:paraId="5B27DF88">
      <w:pPr>
        <w:pStyle w:val="2"/>
        <w:keepNext w:val="0"/>
        <w:keepLines w:val="0"/>
        <w:pageBreakBefore w:val="0"/>
        <w:widowControl/>
        <w:kinsoku w:val="0"/>
        <w:wordWrap/>
        <w:overflowPunct/>
        <w:topLinePunct w:val="0"/>
        <w:autoSpaceDE w:val="0"/>
        <w:autoSpaceDN w:val="0"/>
        <w:bidi w:val="0"/>
        <w:adjustRightInd w:val="0"/>
        <w:snapToGrid w:val="0"/>
        <w:spacing w:before="174" w:line="308" w:lineRule="auto"/>
        <w:ind w:left="11" w:right="132"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III</w:t>
      </w:r>
      <w:r>
        <w:rPr>
          <w:rFonts w:hint="eastAsia" w:ascii="仿宋_GB2312" w:hAnsi="仿宋_GB2312" w:eastAsia="仿宋_GB2312" w:cs="仿宋_GB2312"/>
          <w:spacing w:val="6"/>
          <w:sz w:val="32"/>
          <w:szCs w:val="32"/>
        </w:rPr>
        <w:t>级预警（黄色预警</w:t>
      </w:r>
      <w:r>
        <w:rPr>
          <w:rFonts w:hint="eastAsia" w:ascii="仿宋_GB2312" w:hAnsi="仿宋_GB2312" w:eastAsia="仿宋_GB2312" w:cs="仿宋_GB2312"/>
          <w:spacing w:val="16"/>
          <w:sz w:val="32"/>
          <w:szCs w:val="32"/>
        </w:rPr>
        <w:t>）：</w:t>
      </w:r>
      <w:r>
        <w:rPr>
          <w:rFonts w:hint="eastAsia" w:ascii="仿宋_GB2312" w:hAnsi="仿宋_GB2312" w:eastAsia="仿宋_GB2312" w:cs="仿宋_GB2312"/>
          <w:spacing w:val="6"/>
          <w:sz w:val="32"/>
          <w:szCs w:val="32"/>
        </w:rPr>
        <w:t>情况比较紧急，可能发生或引发</w:t>
      </w:r>
      <w:r>
        <w:rPr>
          <w:rFonts w:hint="eastAsia" w:ascii="仿宋_GB2312" w:hAnsi="仿宋_GB2312" w:eastAsia="仿宋_GB2312" w:cs="仿宋_GB2312"/>
          <w:spacing w:val="12"/>
          <w:sz w:val="32"/>
          <w:szCs w:val="32"/>
        </w:rPr>
        <w:t>特种设备较大事故的；或事故已经发生，可能进一步扩大影响</w:t>
      </w:r>
      <w:r>
        <w:rPr>
          <w:rFonts w:hint="eastAsia" w:ascii="仿宋_GB2312" w:hAnsi="仿宋_GB2312" w:eastAsia="仿宋_GB2312" w:cs="仿宋_GB2312"/>
          <w:spacing w:val="5"/>
          <w:sz w:val="32"/>
          <w:szCs w:val="32"/>
        </w:rPr>
        <w:t>范围，造成较大危害的。</w:t>
      </w:r>
    </w:p>
    <w:p w14:paraId="3667DBA5">
      <w:pPr>
        <w:pStyle w:val="2"/>
        <w:keepNext w:val="0"/>
        <w:keepLines w:val="0"/>
        <w:pageBreakBefore w:val="0"/>
        <w:widowControl/>
        <w:kinsoku w:val="0"/>
        <w:wordWrap/>
        <w:overflowPunct/>
        <w:topLinePunct w:val="0"/>
        <w:autoSpaceDE w:val="0"/>
        <w:autoSpaceDN w:val="0"/>
        <w:bidi w:val="0"/>
        <w:adjustRightInd w:val="0"/>
        <w:snapToGrid w:val="0"/>
        <w:spacing w:before="177" w:line="308" w:lineRule="auto"/>
        <w:ind w:left="11" w:right="44" w:firstLine="6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II</w:t>
      </w:r>
      <w:r>
        <w:rPr>
          <w:rFonts w:hint="eastAsia" w:ascii="仿宋_GB2312" w:hAnsi="仿宋_GB2312" w:eastAsia="仿宋_GB2312" w:cs="仿宋_GB2312"/>
          <w:spacing w:val="9"/>
          <w:sz w:val="32"/>
          <w:szCs w:val="32"/>
        </w:rPr>
        <w:t>级预警（橙色预警</w:t>
      </w:r>
      <w:r>
        <w:rPr>
          <w:rFonts w:hint="eastAsia" w:ascii="仿宋_GB2312" w:hAnsi="仿宋_GB2312" w:eastAsia="仿宋_GB2312" w:cs="仿宋_GB2312"/>
          <w:spacing w:val="30"/>
          <w:sz w:val="32"/>
          <w:szCs w:val="32"/>
        </w:rPr>
        <w:t>）：</w:t>
      </w:r>
      <w:r>
        <w:rPr>
          <w:rFonts w:hint="eastAsia" w:ascii="仿宋_GB2312" w:hAnsi="仿宋_GB2312" w:eastAsia="仿宋_GB2312" w:cs="仿宋_GB2312"/>
          <w:spacing w:val="9"/>
          <w:sz w:val="32"/>
          <w:szCs w:val="32"/>
        </w:rPr>
        <w:t>情况紧急，可能发生或引发特种</w:t>
      </w:r>
      <w:r>
        <w:rPr>
          <w:rFonts w:hint="eastAsia" w:ascii="仿宋_GB2312" w:hAnsi="仿宋_GB2312" w:eastAsia="仿宋_GB2312" w:cs="仿宋_GB2312"/>
          <w:spacing w:val="1"/>
          <w:sz w:val="32"/>
          <w:szCs w:val="32"/>
        </w:rPr>
        <w:t xml:space="preserve"> </w:t>
      </w:r>
      <w:r>
        <w:rPr>
          <w:rFonts w:hint="eastAsia" w:ascii="仿宋_GB2312" w:hAnsi="仿宋_GB2312" w:eastAsia="仿宋_GB2312" w:cs="仿宋_GB2312"/>
          <w:spacing w:val="4"/>
          <w:sz w:val="32"/>
          <w:szCs w:val="32"/>
        </w:rPr>
        <w:t>设备重大事故的；或事故已经发生，可能进一步扩大影响范围，</w:t>
      </w:r>
      <w:r>
        <w:rPr>
          <w:rFonts w:hint="eastAsia" w:ascii="仿宋_GB2312" w:hAnsi="仿宋_GB2312" w:eastAsia="仿宋_GB2312" w:cs="仿宋_GB2312"/>
          <w:spacing w:val="6"/>
          <w:sz w:val="32"/>
          <w:szCs w:val="32"/>
        </w:rPr>
        <w:t>造成重大危害的。</w:t>
      </w:r>
    </w:p>
    <w:p w14:paraId="1FCF9D26">
      <w:pPr>
        <w:spacing w:line="228" w:lineRule="auto"/>
        <w:sectPr>
          <w:footerReference r:id="rId8" w:type="default"/>
          <w:pgSz w:w="11906" w:h="16839"/>
          <w:pgMar w:top="1066" w:right="1587" w:bottom="1066" w:left="1587" w:header="0" w:footer="1148" w:gutter="0"/>
          <w:cols w:space="720" w:num="1"/>
        </w:sectPr>
      </w:pPr>
    </w:p>
    <w:p w14:paraId="4A6EE4D2">
      <w:pPr>
        <w:pStyle w:val="2"/>
        <w:keepNext w:val="0"/>
        <w:keepLines w:val="0"/>
        <w:pageBreakBefore w:val="0"/>
        <w:widowControl/>
        <w:kinsoku w:val="0"/>
        <w:wordWrap/>
        <w:overflowPunct/>
        <w:topLinePunct w:val="0"/>
        <w:autoSpaceDE w:val="0"/>
        <w:autoSpaceDN w:val="0"/>
        <w:bidi w:val="0"/>
        <w:adjustRightInd w:val="0"/>
        <w:snapToGrid w:val="0"/>
        <w:spacing w:before="101" w:line="310" w:lineRule="auto"/>
        <w:ind w:right="87" w:firstLine="626"/>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I级预警（红色预警</w:t>
      </w:r>
      <w:r>
        <w:rPr>
          <w:rFonts w:hint="eastAsia" w:ascii="仿宋_GB2312" w:hAnsi="仿宋_GB2312" w:eastAsia="仿宋_GB2312" w:cs="仿宋_GB2312"/>
          <w:spacing w:val="8"/>
          <w:sz w:val="32"/>
          <w:szCs w:val="32"/>
        </w:rPr>
        <w:t>）：</w:t>
      </w:r>
      <w:r>
        <w:rPr>
          <w:rFonts w:hint="eastAsia" w:ascii="仿宋_GB2312" w:hAnsi="仿宋_GB2312" w:eastAsia="仿宋_GB2312" w:cs="仿宋_GB2312"/>
          <w:spacing w:val="12"/>
          <w:sz w:val="32"/>
          <w:szCs w:val="32"/>
        </w:rPr>
        <w:t>情况危急，可能发生或引发特种</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pacing w:val="12"/>
          <w:sz w:val="32"/>
          <w:szCs w:val="32"/>
        </w:rPr>
        <w:t>设备特别重大事故的；或事故已经发生，可能进一步扩大影响</w:t>
      </w:r>
      <w:r>
        <w:rPr>
          <w:rFonts w:hint="eastAsia" w:ascii="仿宋_GB2312" w:hAnsi="仿宋_GB2312" w:eastAsia="仿宋_GB2312" w:cs="仿宋_GB2312"/>
          <w:spacing w:val="6"/>
          <w:sz w:val="32"/>
          <w:szCs w:val="32"/>
        </w:rPr>
        <w:t>范围，造成特别重大危害的。</w:t>
      </w:r>
    </w:p>
    <w:p w14:paraId="48EB76C6">
      <w:pPr>
        <w:pStyle w:val="2"/>
        <w:keepNext w:val="0"/>
        <w:keepLines w:val="0"/>
        <w:pageBreakBefore w:val="0"/>
        <w:widowControl/>
        <w:kinsoku w:val="0"/>
        <w:wordWrap/>
        <w:overflowPunct/>
        <w:topLinePunct w:val="0"/>
        <w:autoSpaceDE w:val="0"/>
        <w:autoSpaceDN w:val="0"/>
        <w:bidi w:val="0"/>
        <w:adjustRightInd w:val="0"/>
        <w:snapToGrid w:val="0"/>
        <w:spacing w:before="174" w:line="310" w:lineRule="auto"/>
        <w:ind w:left="624"/>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2.预警发布</w:t>
      </w:r>
    </w:p>
    <w:p w14:paraId="1D80D665">
      <w:pPr>
        <w:pStyle w:val="2"/>
        <w:keepNext w:val="0"/>
        <w:keepLines w:val="0"/>
        <w:pageBreakBefore w:val="0"/>
        <w:widowControl/>
        <w:kinsoku w:val="0"/>
        <w:wordWrap/>
        <w:overflowPunct/>
        <w:topLinePunct w:val="0"/>
        <w:autoSpaceDE w:val="0"/>
        <w:autoSpaceDN w:val="0"/>
        <w:bidi w:val="0"/>
        <w:adjustRightInd w:val="0"/>
        <w:snapToGrid w:val="0"/>
        <w:spacing w:before="185" w:line="310" w:lineRule="auto"/>
        <w:ind w:right="87" w:firstLine="641"/>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预警信息要采取有效措施向可能受影响人群发布，通过广</w:t>
      </w:r>
      <w:r>
        <w:rPr>
          <w:rFonts w:hint="eastAsia" w:ascii="仿宋_GB2312" w:hAnsi="仿宋_GB2312" w:eastAsia="仿宋_GB2312" w:cs="仿宋_GB2312"/>
          <w:spacing w:val="10"/>
          <w:sz w:val="32"/>
          <w:szCs w:val="32"/>
        </w:rPr>
        <w:t>播、电视、报刊、通信、信息网络、手机、警报器、宣传车、</w:t>
      </w:r>
      <w:r>
        <w:rPr>
          <w:rFonts w:hint="eastAsia" w:ascii="仿宋_GB2312" w:hAnsi="仿宋_GB2312" w:eastAsia="仿宋_GB2312" w:cs="仿宋_GB2312"/>
          <w:spacing w:val="12"/>
          <w:sz w:val="32"/>
          <w:szCs w:val="32"/>
        </w:rPr>
        <w:t>大喇叭或组织人员逐户通知等方式进行，对老、幼、病、残、孕等特殊人群以及学校等特殊场所和警报盲区应当采取有针对</w:t>
      </w:r>
      <w:r>
        <w:rPr>
          <w:rFonts w:hint="eastAsia" w:ascii="仿宋_GB2312" w:hAnsi="仿宋_GB2312" w:eastAsia="仿宋_GB2312" w:cs="仿宋_GB2312"/>
          <w:spacing w:val="4"/>
          <w:sz w:val="32"/>
          <w:szCs w:val="32"/>
        </w:rPr>
        <w:t>性的公告方式。</w:t>
      </w:r>
    </w:p>
    <w:p w14:paraId="05FD840A">
      <w:pPr>
        <w:pStyle w:val="2"/>
        <w:keepNext w:val="0"/>
        <w:keepLines w:val="0"/>
        <w:pageBreakBefore w:val="0"/>
        <w:widowControl/>
        <w:kinsoku w:val="0"/>
        <w:wordWrap/>
        <w:overflowPunct/>
        <w:topLinePunct w:val="0"/>
        <w:autoSpaceDE w:val="0"/>
        <w:autoSpaceDN w:val="0"/>
        <w:bidi w:val="0"/>
        <w:adjustRightInd w:val="0"/>
        <w:snapToGrid w:val="0"/>
        <w:spacing w:line="300" w:lineRule="auto"/>
        <w:ind w:left="0" w:firstLine="68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position w:val="18"/>
          <w:sz w:val="32"/>
          <w:szCs w:val="32"/>
        </w:rPr>
        <w:t>预警发布的内容包括：事件类别、预警级别、预警</w:t>
      </w:r>
      <w:r>
        <w:rPr>
          <w:rFonts w:hint="eastAsia" w:ascii="仿宋_GB2312" w:hAnsi="仿宋_GB2312" w:eastAsia="仿宋_GB2312" w:cs="仿宋_GB2312"/>
          <w:spacing w:val="12"/>
          <w:position w:val="18"/>
          <w:sz w:val="32"/>
          <w:szCs w:val="32"/>
          <w:lang w:val="en-US" w:eastAsia="zh-CN"/>
        </w:rPr>
        <w:t>起始</w:t>
      </w:r>
      <w:r>
        <w:rPr>
          <w:rFonts w:hint="eastAsia" w:ascii="仿宋_GB2312" w:hAnsi="仿宋_GB2312" w:eastAsia="仿宋_GB2312" w:cs="仿宋_GB2312"/>
          <w:spacing w:val="12"/>
          <w:position w:val="18"/>
          <w:sz w:val="32"/>
          <w:szCs w:val="32"/>
        </w:rPr>
        <w:t>时间、警示事项、发布机关、发布时间等。</w:t>
      </w:r>
    </w:p>
    <w:p w14:paraId="53750A13">
      <w:pPr>
        <w:pStyle w:val="2"/>
        <w:keepNext w:val="0"/>
        <w:keepLines w:val="0"/>
        <w:pageBreakBefore w:val="0"/>
        <w:widowControl/>
        <w:kinsoku w:val="0"/>
        <w:wordWrap/>
        <w:overflowPunct/>
        <w:topLinePunct w:val="0"/>
        <w:autoSpaceDE w:val="0"/>
        <w:autoSpaceDN w:val="0"/>
        <w:bidi w:val="0"/>
        <w:adjustRightInd w:val="0"/>
        <w:snapToGrid w:val="0"/>
        <w:spacing w:before="177" w:line="310" w:lineRule="auto"/>
        <w:ind w:left="3" w:right="87" w:firstLine="638"/>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9"/>
          <w:sz w:val="32"/>
          <w:szCs w:val="32"/>
        </w:rPr>
        <w:t>预警公告原则上：四级预警信息应由区级市场监督管理部</w:t>
      </w:r>
      <w:r>
        <w:rPr>
          <w:rFonts w:hint="eastAsia" w:ascii="仿宋_GB2312" w:hAnsi="仿宋_GB2312" w:eastAsia="仿宋_GB2312" w:cs="仿宋_GB2312"/>
          <w:spacing w:val="12"/>
          <w:sz w:val="32"/>
          <w:szCs w:val="32"/>
        </w:rPr>
        <w:t>门报请本级人民政府批准后发布；三级预警信息应由市级市场监督管理部门报请本级人民政府批准后发布；二级以上预警信息应由省局应急指挥中心向省委、省政府和省安全生产应急指</w:t>
      </w:r>
      <w:r>
        <w:rPr>
          <w:rFonts w:hint="eastAsia" w:ascii="仿宋_GB2312" w:hAnsi="仿宋_GB2312" w:eastAsia="仿宋_GB2312" w:cs="仿宋_GB2312"/>
          <w:spacing w:val="10"/>
          <w:sz w:val="32"/>
          <w:szCs w:val="32"/>
        </w:rPr>
        <w:t>挥部做出报告并经批准后，向全省或者可能</w:t>
      </w:r>
      <w:r>
        <w:rPr>
          <w:rFonts w:hint="eastAsia" w:ascii="仿宋_GB2312" w:hAnsi="仿宋_GB2312" w:eastAsia="仿宋_GB2312" w:cs="仿宋_GB2312"/>
          <w:spacing w:val="9"/>
          <w:sz w:val="32"/>
          <w:szCs w:val="32"/>
        </w:rPr>
        <w:t>发生地发布预警公</w:t>
      </w:r>
      <w:r>
        <w:rPr>
          <w:rFonts w:hint="eastAsia" w:ascii="仿宋_GB2312" w:hAnsi="仿宋_GB2312" w:eastAsia="仿宋_GB2312" w:cs="仿宋_GB2312"/>
          <w:spacing w:val="-7"/>
          <w:sz w:val="32"/>
          <w:szCs w:val="32"/>
        </w:rPr>
        <w:t>告。</w:t>
      </w:r>
    </w:p>
    <w:p w14:paraId="2E9C3674">
      <w:pPr>
        <w:spacing w:before="175" w:line="233" w:lineRule="auto"/>
        <w:ind w:left="656"/>
        <w:rPr>
          <w:rFonts w:ascii="楷体" w:hAnsi="楷体" w:eastAsia="楷体" w:cs="楷体"/>
          <w:sz w:val="31"/>
          <w:szCs w:val="31"/>
        </w:rPr>
      </w:pPr>
      <w:r>
        <w:rPr>
          <w:rFonts w:ascii="楷体" w:hAnsi="楷体" w:eastAsia="楷体" w:cs="楷体"/>
          <w:spacing w:val="7"/>
          <w:sz w:val="31"/>
          <w:szCs w:val="31"/>
          <w14:textOutline w14:w="5793" w14:cap="sq" w14:cmpd="sng">
            <w14:solidFill>
              <w14:srgbClr w14:val="000000"/>
            </w14:solidFill>
            <w14:prstDash w14:val="solid"/>
            <w14:bevel/>
          </w14:textOutline>
        </w:rPr>
        <w:t>（五）预警调整和解除</w:t>
      </w:r>
    </w:p>
    <w:p w14:paraId="251CCD3E">
      <w:pPr>
        <w:pStyle w:val="2"/>
        <w:keepNext w:val="0"/>
        <w:keepLines w:val="0"/>
        <w:pageBreakBefore w:val="0"/>
        <w:widowControl/>
        <w:kinsoku w:val="0"/>
        <w:wordWrap/>
        <w:overflowPunct/>
        <w:topLinePunct w:val="0"/>
        <w:autoSpaceDE w:val="0"/>
        <w:autoSpaceDN w:val="0"/>
        <w:bidi w:val="0"/>
        <w:adjustRightInd w:val="0"/>
        <w:snapToGrid/>
        <w:spacing w:before="168" w:line="300" w:lineRule="auto"/>
        <w:ind w:firstLine="652"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3"/>
          <w:position w:val="18"/>
          <w:sz w:val="32"/>
          <w:szCs w:val="32"/>
        </w:rPr>
        <w:t>预警发布机构应密切关注事件进展情况，根据事态的发展，按照有关规定适时调整预警级别并发布。</w:t>
      </w:r>
    </w:p>
    <w:p w14:paraId="0E1C0A25">
      <w:pPr>
        <w:pStyle w:val="2"/>
        <w:keepNext w:val="0"/>
        <w:keepLines w:val="0"/>
        <w:pageBreakBefore w:val="0"/>
        <w:widowControl/>
        <w:kinsoku w:val="0"/>
        <w:wordWrap/>
        <w:overflowPunct/>
        <w:topLinePunct w:val="0"/>
        <w:autoSpaceDE w:val="0"/>
        <w:autoSpaceDN w:val="0"/>
        <w:bidi w:val="0"/>
        <w:adjustRightInd w:val="0"/>
        <w:snapToGrid/>
        <w:spacing w:before="180" w:line="300" w:lineRule="auto"/>
        <w:ind w:right="78" w:firstLine="692"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3"/>
          <w:position w:val="17"/>
          <w:sz w:val="32"/>
          <w:szCs w:val="32"/>
        </w:rPr>
        <w:t>有事实证明不可能发生突发事件或者危险已经解除的，应当宣布解除警报，终止预警，并解除已经采取的有关措施。</w:t>
      </w:r>
    </w:p>
    <w:p w14:paraId="30DBCF72">
      <w:pPr>
        <w:numPr>
          <w:ilvl w:val="0"/>
          <w:numId w:val="5"/>
        </w:numPr>
        <w:spacing w:before="101" w:line="235" w:lineRule="auto"/>
        <w:ind w:left="667"/>
        <w:rPr>
          <w:rFonts w:ascii="黑体" w:hAnsi="黑体" w:eastAsia="黑体" w:cs="黑体"/>
          <w:spacing w:val="6"/>
          <w:sz w:val="31"/>
          <w:szCs w:val="31"/>
        </w:rPr>
      </w:pPr>
      <w:r>
        <w:rPr>
          <w:rFonts w:ascii="黑体" w:hAnsi="黑体" w:eastAsia="黑体" w:cs="黑体"/>
          <w:spacing w:val="6"/>
          <w:sz w:val="31"/>
          <w:szCs w:val="31"/>
        </w:rPr>
        <w:t>应急响应</w:t>
      </w:r>
    </w:p>
    <w:p w14:paraId="30AA3545">
      <w:pPr>
        <w:numPr>
          <w:ilvl w:val="0"/>
          <w:numId w:val="0"/>
        </w:numPr>
        <w:spacing w:before="101" w:line="235" w:lineRule="auto"/>
        <w:ind w:firstLine="640" w:firstLineChars="200"/>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（一）信息报告</w:t>
      </w:r>
    </w:p>
    <w:p w14:paraId="30AAFC4F">
      <w:pPr>
        <w:pStyle w:val="2"/>
        <w:keepNext w:val="0"/>
        <w:keepLines w:val="0"/>
        <w:pageBreakBefore w:val="0"/>
        <w:widowControl/>
        <w:kinsoku w:val="0"/>
        <w:wordWrap/>
        <w:overflowPunct/>
        <w:topLinePunct w:val="0"/>
        <w:autoSpaceDE w:val="0"/>
        <w:autoSpaceDN w:val="0"/>
        <w:bidi w:val="0"/>
        <w:adjustRightInd w:val="0"/>
        <w:snapToGrid w:val="0"/>
        <w:spacing w:before="172" w:line="308" w:lineRule="auto"/>
        <w:ind w:left="12" w:firstLine="65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特种设备事故发生后，事故发生单位必须在</w:t>
      </w:r>
      <w:r>
        <w:rPr>
          <w:rFonts w:hint="eastAsia" w:ascii="仿宋_GB2312" w:hAnsi="仿宋_GB2312" w:eastAsia="仿宋_GB2312" w:cs="仿宋_GB2312"/>
          <w:spacing w:val="-20"/>
          <w:sz w:val="32"/>
          <w:szCs w:val="32"/>
        </w:rPr>
        <w:t xml:space="preserve"> </w:t>
      </w:r>
      <w:r>
        <w:rPr>
          <w:rFonts w:hint="eastAsia" w:ascii="仿宋_GB2312" w:hAnsi="仿宋_GB2312" w:eastAsia="仿宋_GB2312" w:cs="仿宋_GB2312"/>
          <w:spacing w:val="3"/>
          <w:sz w:val="32"/>
          <w:szCs w:val="32"/>
        </w:rPr>
        <w:t>10</w:t>
      </w:r>
      <w:r>
        <w:rPr>
          <w:rFonts w:hint="eastAsia" w:ascii="仿宋_GB2312" w:hAnsi="仿宋_GB2312" w:eastAsia="仿宋_GB2312" w:cs="仿宋_GB2312"/>
          <w:spacing w:val="26"/>
          <w:sz w:val="32"/>
          <w:szCs w:val="32"/>
        </w:rPr>
        <w:t xml:space="preserve"> </w:t>
      </w:r>
      <w:r>
        <w:rPr>
          <w:rFonts w:hint="eastAsia" w:ascii="仿宋_GB2312" w:hAnsi="仿宋_GB2312" w:eastAsia="仿宋_GB2312" w:cs="仿宋_GB2312"/>
          <w:spacing w:val="3"/>
          <w:sz w:val="32"/>
          <w:szCs w:val="32"/>
        </w:rPr>
        <w:t>分钟内向所</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pacing w:val="12"/>
          <w:sz w:val="32"/>
          <w:szCs w:val="32"/>
        </w:rPr>
        <w:t xml:space="preserve">在地的主管部门和应急管理、市场监管部门报告，也可以通过 </w:t>
      </w:r>
      <w:r>
        <w:rPr>
          <w:rFonts w:hint="eastAsia" w:ascii="仿宋_GB2312" w:hAnsi="仿宋_GB2312" w:eastAsia="仿宋_GB2312" w:cs="仿宋_GB2312"/>
          <w:spacing w:val="6"/>
          <w:sz w:val="32"/>
          <w:szCs w:val="32"/>
        </w:rPr>
        <w:t>110</w:t>
      </w:r>
      <w:r>
        <w:rPr>
          <w:rFonts w:hint="eastAsia" w:ascii="仿宋_GB2312" w:hAnsi="仿宋_GB2312" w:eastAsia="仿宋_GB2312" w:cs="仿宋_GB2312"/>
          <w:spacing w:val="-23"/>
          <w:sz w:val="32"/>
          <w:szCs w:val="32"/>
        </w:rPr>
        <w:t xml:space="preserve"> </w:t>
      </w:r>
      <w:r>
        <w:rPr>
          <w:rFonts w:hint="eastAsia" w:ascii="仿宋_GB2312" w:hAnsi="仿宋_GB2312" w:eastAsia="仿宋_GB2312" w:cs="仿宋_GB2312"/>
          <w:spacing w:val="6"/>
          <w:sz w:val="32"/>
          <w:szCs w:val="32"/>
        </w:rPr>
        <w:t>、119</w:t>
      </w:r>
      <w:r>
        <w:rPr>
          <w:rFonts w:hint="eastAsia" w:ascii="仿宋_GB2312" w:hAnsi="仿宋_GB2312" w:eastAsia="仿宋_GB2312" w:cs="仿宋_GB2312"/>
          <w:spacing w:val="24"/>
          <w:sz w:val="32"/>
          <w:szCs w:val="32"/>
        </w:rPr>
        <w:t xml:space="preserve"> </w:t>
      </w:r>
      <w:r>
        <w:rPr>
          <w:rFonts w:hint="eastAsia" w:ascii="仿宋_GB2312" w:hAnsi="仿宋_GB2312" w:eastAsia="仿宋_GB2312" w:cs="仿宋_GB2312"/>
          <w:spacing w:val="6"/>
          <w:sz w:val="32"/>
          <w:szCs w:val="32"/>
        </w:rPr>
        <w:t>报告。相关部门接到报告后，应及时向区政府报告，</w:t>
      </w:r>
      <w:r>
        <w:rPr>
          <w:rFonts w:hint="eastAsia" w:ascii="仿宋_GB2312" w:hAnsi="仿宋_GB2312" w:eastAsia="仿宋_GB2312" w:cs="仿宋_GB2312"/>
          <w:spacing w:val="12"/>
          <w:sz w:val="32"/>
          <w:szCs w:val="32"/>
        </w:rPr>
        <w:t xml:space="preserve">并迅速组织救援力量赶赴现场处置。对于较大及以上特种设备事故，事发地高新区、镇办社区及主管部门须在第一时间报告区政府。来不及形成文字的，可先电话口头报告，然后再呈送 </w:t>
      </w:r>
      <w:r>
        <w:rPr>
          <w:rFonts w:hint="eastAsia" w:ascii="仿宋_GB2312" w:hAnsi="仿宋_GB2312" w:eastAsia="仿宋_GB2312" w:cs="仿宋_GB2312"/>
          <w:spacing w:val="10"/>
          <w:sz w:val="32"/>
          <w:szCs w:val="32"/>
        </w:rPr>
        <w:t>文字报告，书面信息应在</w:t>
      </w:r>
      <w:r>
        <w:rPr>
          <w:rFonts w:hint="eastAsia" w:ascii="仿宋_GB2312" w:hAnsi="仿宋_GB2312" w:eastAsia="仿宋_GB2312" w:cs="仿宋_GB2312"/>
          <w:spacing w:val="-36"/>
          <w:sz w:val="32"/>
          <w:szCs w:val="32"/>
        </w:rPr>
        <w:t xml:space="preserve"> </w:t>
      </w:r>
      <w:r>
        <w:rPr>
          <w:rFonts w:hint="eastAsia" w:ascii="仿宋_GB2312" w:hAnsi="仿宋_GB2312" w:eastAsia="仿宋_GB2312" w:cs="仿宋_GB2312"/>
          <w:spacing w:val="10"/>
          <w:sz w:val="32"/>
          <w:szCs w:val="32"/>
        </w:rPr>
        <w:t>1</w:t>
      </w:r>
      <w:r>
        <w:rPr>
          <w:rFonts w:hint="eastAsia" w:ascii="仿宋_GB2312" w:hAnsi="仿宋_GB2312" w:eastAsia="仿宋_GB2312" w:cs="仿宋_GB2312"/>
          <w:spacing w:val="29"/>
          <w:sz w:val="32"/>
          <w:szCs w:val="32"/>
        </w:rPr>
        <w:t xml:space="preserve"> </w:t>
      </w:r>
      <w:r>
        <w:rPr>
          <w:rFonts w:hint="eastAsia" w:ascii="仿宋_GB2312" w:hAnsi="仿宋_GB2312" w:eastAsia="仿宋_GB2312" w:cs="仿宋_GB2312"/>
          <w:spacing w:val="10"/>
          <w:sz w:val="32"/>
          <w:szCs w:val="32"/>
        </w:rPr>
        <w:t>小时以内上报，并根据事</w:t>
      </w:r>
      <w:r>
        <w:rPr>
          <w:rFonts w:hint="eastAsia" w:ascii="仿宋_GB2312" w:hAnsi="仿宋_GB2312" w:eastAsia="仿宋_GB2312" w:cs="仿宋_GB2312"/>
          <w:spacing w:val="9"/>
          <w:sz w:val="32"/>
          <w:szCs w:val="32"/>
        </w:rPr>
        <w:t>态的发展</w:t>
      </w:r>
      <w:r>
        <w:rPr>
          <w:rFonts w:hint="eastAsia" w:ascii="仿宋_GB2312" w:hAnsi="仿宋_GB2312" w:eastAsia="仿宋_GB2312" w:cs="仿宋_GB2312"/>
          <w:spacing w:val="7"/>
          <w:sz w:val="32"/>
          <w:szCs w:val="32"/>
        </w:rPr>
        <w:t>和处置情况，随时续报。</w:t>
      </w:r>
    </w:p>
    <w:p w14:paraId="7C446AB5">
      <w:pPr>
        <w:pStyle w:val="2"/>
        <w:keepNext w:val="0"/>
        <w:keepLines w:val="0"/>
        <w:pageBreakBefore w:val="0"/>
        <w:widowControl/>
        <w:kinsoku w:val="0"/>
        <w:wordWrap/>
        <w:overflowPunct/>
        <w:topLinePunct w:val="0"/>
        <w:autoSpaceDE w:val="0"/>
        <w:autoSpaceDN w:val="0"/>
        <w:bidi w:val="0"/>
        <w:adjustRightInd w:val="0"/>
        <w:snapToGrid w:val="0"/>
        <w:spacing w:before="175" w:line="308" w:lineRule="auto"/>
        <w:ind w:left="16" w:firstLine="688"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任何单位和个人有义务向各级政府、市场监管、应急管理及有关部门报告特种设备事故及隐患，有权举报不履行或者不</w:t>
      </w:r>
      <w:r>
        <w:rPr>
          <w:rFonts w:hint="eastAsia" w:ascii="仿宋_GB2312" w:hAnsi="仿宋_GB2312" w:eastAsia="仿宋_GB2312" w:cs="仿宋_GB2312"/>
          <w:spacing w:val="8"/>
          <w:sz w:val="32"/>
          <w:szCs w:val="32"/>
        </w:rPr>
        <w:t>按照规定履行事故应急处置职责的部门、单位和个人。</w:t>
      </w:r>
    </w:p>
    <w:p w14:paraId="453B0969">
      <w:pPr>
        <w:pStyle w:val="2"/>
        <w:keepNext w:val="0"/>
        <w:keepLines w:val="0"/>
        <w:pageBreakBefore w:val="0"/>
        <w:widowControl/>
        <w:kinsoku w:val="0"/>
        <w:wordWrap/>
        <w:overflowPunct/>
        <w:topLinePunct w:val="0"/>
        <w:autoSpaceDE w:val="0"/>
        <w:autoSpaceDN w:val="0"/>
        <w:bidi w:val="0"/>
        <w:adjustRightInd w:val="0"/>
        <w:snapToGrid w:val="0"/>
        <w:spacing w:before="181" w:line="308" w:lineRule="auto"/>
        <w:ind w:left="12" w:firstLine="688"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报告事故应当包括下列内容：事故发生单位概况，事故发生的时间、地点以及事故现场情况；事故的简要经过；事故已经造成或者可能造成的伤亡人数（包括失踪人数）和初步估计</w:t>
      </w:r>
      <w:r>
        <w:rPr>
          <w:rFonts w:hint="eastAsia" w:ascii="仿宋_GB2312" w:hAnsi="仿宋_GB2312" w:eastAsia="仿宋_GB2312" w:cs="仿宋_GB2312"/>
          <w:spacing w:val="5"/>
          <w:sz w:val="32"/>
          <w:szCs w:val="32"/>
        </w:rPr>
        <w:t>的直接经济损失；已经采取的措施；其他应当报告的情况。</w:t>
      </w:r>
    </w:p>
    <w:p w14:paraId="04C8BBBE">
      <w:pPr>
        <w:spacing w:before="182" w:line="235" w:lineRule="auto"/>
        <w:ind w:left="667"/>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（二）应急处置</w:t>
      </w:r>
    </w:p>
    <w:p w14:paraId="429EE8F8">
      <w:pPr>
        <w:pStyle w:val="2"/>
        <w:spacing w:before="163" w:line="334" w:lineRule="auto"/>
        <w:ind w:left="12" w:right="2" w:firstLine="637"/>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特种设备安全事故发生单位是第一时间处置事故的主体，事发后迅速组织开展自救互救，并充分利用社会救援力量开展</w:t>
      </w:r>
      <w:r>
        <w:rPr>
          <w:rFonts w:hint="eastAsia" w:ascii="仿宋_GB2312" w:hAnsi="仿宋_GB2312" w:eastAsia="仿宋_GB2312" w:cs="仿宋_GB2312"/>
          <w:spacing w:val="8"/>
          <w:sz w:val="32"/>
          <w:szCs w:val="32"/>
        </w:rPr>
        <w:t>抢险救援工作，及时将事故情况报告当地人民政府。</w:t>
      </w:r>
      <w:r>
        <w:rPr>
          <w:rFonts w:hint="eastAsia" w:ascii="仿宋_GB2312" w:hAnsi="仿宋_GB2312" w:eastAsia="仿宋_GB2312" w:cs="仿宋_GB2312"/>
          <w:spacing w:val="12"/>
          <w:sz w:val="32"/>
          <w:szCs w:val="32"/>
        </w:rPr>
        <w:t>特种设备安全事故发生单位和当地救援力量无法有效应对处置时，区市场监督管理局应向上级请求增加救援力量。现场应急措施的主要内容包括：对事故危害情况进行初始评估</w:t>
      </w:r>
      <w:r>
        <w:rPr>
          <w:rFonts w:hint="eastAsia" w:ascii="仿宋_GB2312" w:hAnsi="仿宋_GB2312" w:eastAsia="仿宋_GB2312" w:cs="仿宋_GB2312"/>
          <w:spacing w:val="12"/>
          <w:sz w:val="32"/>
          <w:szCs w:val="32"/>
          <w:lang w:val="en-US" w:eastAsia="zh-CN"/>
        </w:rPr>
        <w:t>封</w:t>
      </w:r>
      <w:r>
        <w:rPr>
          <w:rFonts w:hint="eastAsia" w:ascii="仿宋_GB2312" w:hAnsi="仿宋_GB2312" w:eastAsia="仿宋_GB2312" w:cs="仿宋_GB2312"/>
          <w:spacing w:val="4"/>
          <w:sz w:val="32"/>
          <w:szCs w:val="32"/>
        </w:rPr>
        <w:t>锁事故现场；探测危险物资及控制危险源；建立现场工作</w:t>
      </w:r>
      <w:r>
        <w:rPr>
          <w:rFonts w:hint="eastAsia" w:ascii="仿宋_GB2312" w:hAnsi="仿宋_GB2312" w:eastAsia="仿宋_GB2312" w:cs="仿宋_GB2312"/>
          <w:spacing w:val="3"/>
          <w:sz w:val="32"/>
          <w:szCs w:val="32"/>
        </w:rPr>
        <w:t>区域；</w:t>
      </w:r>
      <w:r>
        <w:rPr>
          <w:rFonts w:hint="eastAsia" w:ascii="仿宋_GB2312" w:hAnsi="仿宋_GB2312" w:eastAsia="仿宋_GB2312" w:cs="仿宋_GB2312"/>
          <w:spacing w:val="12"/>
          <w:sz w:val="32"/>
          <w:szCs w:val="32"/>
        </w:rPr>
        <w:t>抢救受害人员；设立人员疏散区；清理事故现场力控制现场事</w:t>
      </w:r>
      <w:r>
        <w:rPr>
          <w:rFonts w:hint="eastAsia" w:ascii="仿宋_GB2312" w:hAnsi="仿宋_GB2312" w:eastAsia="仿宋_GB2312" w:cs="仿宋_GB2312"/>
          <w:spacing w:val="7"/>
          <w:sz w:val="32"/>
          <w:szCs w:val="32"/>
        </w:rPr>
        <w:t>态，减少人员伤亡、财产损失和社会影响。</w:t>
      </w:r>
    </w:p>
    <w:p w14:paraId="60A469FB">
      <w:pPr>
        <w:spacing w:before="175" w:line="235" w:lineRule="auto"/>
        <w:ind w:left="655"/>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（三）分级响应</w:t>
      </w:r>
    </w:p>
    <w:p w14:paraId="0BAC97D3">
      <w:pPr>
        <w:pStyle w:val="2"/>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688" w:firstLineChars="200"/>
        <w:textAlignment w:val="baseline"/>
        <w:rPr>
          <w:rFonts w:hint="eastAsia" w:ascii="仿宋_GB2312" w:hAnsi="仿宋_GB2312" w:eastAsia="仿宋_GB2312" w:cs="仿宋_GB2312"/>
          <w:spacing w:val="12"/>
          <w:position w:val="17"/>
          <w:sz w:val="32"/>
          <w:szCs w:val="32"/>
        </w:rPr>
      </w:pPr>
      <w:r>
        <w:rPr>
          <w:rFonts w:hint="eastAsia" w:ascii="仿宋_GB2312" w:hAnsi="仿宋_GB2312" w:eastAsia="仿宋_GB2312" w:cs="仿宋_GB2312"/>
          <w:spacing w:val="12"/>
          <w:position w:val="17"/>
          <w:sz w:val="32"/>
          <w:szCs w:val="32"/>
        </w:rPr>
        <w:t>应急响应坚持属地管理原则，按照特种设备事故的严重程度，分级响应。</w:t>
      </w:r>
    </w:p>
    <w:p w14:paraId="35E1AB0F">
      <w:pPr>
        <w:pStyle w:val="2"/>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644" w:firstLineChars="200"/>
        <w:textAlignment w:val="baseline"/>
        <w:rPr>
          <w:rFonts w:hint="eastAsia" w:ascii="仿宋_GB2312" w:hAnsi="仿宋_GB2312" w:eastAsia="仿宋_GB2312" w:cs="仿宋_GB2312"/>
          <w:spacing w:val="1"/>
          <w:position w:val="18"/>
          <w:sz w:val="32"/>
          <w:szCs w:val="32"/>
          <w:lang w:eastAsia="zh-CN"/>
        </w:rPr>
      </w:pPr>
      <w:r>
        <w:rPr>
          <w:rFonts w:hint="eastAsia" w:ascii="仿宋_GB2312" w:hAnsi="仿宋_GB2312" w:eastAsia="仿宋_GB2312" w:cs="仿宋_GB2312"/>
          <w:spacing w:val="1"/>
          <w:position w:val="18"/>
          <w:sz w:val="32"/>
          <w:szCs w:val="32"/>
        </w:rPr>
        <w:t>应对特种设备特别重大事故、重大事故，由省特种设备应急处置领导小组分别启动Ⅰ级或Ⅱ级响应，配合做好事故处置工作</w:t>
      </w:r>
      <w:r>
        <w:rPr>
          <w:rFonts w:hint="eastAsia" w:ascii="仿宋_GB2312" w:hAnsi="仿宋_GB2312" w:eastAsia="仿宋_GB2312" w:cs="仿宋_GB2312"/>
          <w:spacing w:val="1"/>
          <w:position w:val="18"/>
          <w:sz w:val="32"/>
          <w:szCs w:val="32"/>
          <w:lang w:eastAsia="zh-CN"/>
        </w:rPr>
        <w:t>。</w:t>
      </w:r>
    </w:p>
    <w:p w14:paraId="657196C0">
      <w:pPr>
        <w:pStyle w:val="2"/>
        <w:keepNext w:val="0"/>
        <w:keepLines w:val="0"/>
        <w:pageBreakBefore w:val="0"/>
        <w:widowControl/>
        <w:kinsoku w:val="0"/>
        <w:wordWrap/>
        <w:overflowPunct/>
        <w:topLinePunct w:val="0"/>
        <w:autoSpaceDE w:val="0"/>
        <w:autoSpaceDN w:val="0"/>
        <w:bidi w:val="0"/>
        <w:adjustRightInd w:val="0"/>
        <w:snapToGrid w:val="0"/>
        <w:spacing w:line="252" w:lineRule="auto"/>
        <w:ind w:left="0" w:right="0" w:firstLine="680" w:firstLineChars="200"/>
        <w:textAlignment w:val="baseline"/>
        <w:rPr>
          <w:rFonts w:hint="eastAsia" w:ascii="仿宋_GB2312" w:hAnsi="仿宋_GB2312" w:eastAsia="仿宋_GB2312" w:cs="仿宋_GB2312"/>
          <w:spacing w:val="9"/>
          <w:position w:val="17"/>
          <w:sz w:val="32"/>
          <w:szCs w:val="32"/>
          <w:lang w:eastAsia="zh-CN"/>
        </w:rPr>
      </w:pPr>
      <w:r>
        <w:rPr>
          <w:rFonts w:hint="eastAsia" w:ascii="仿宋_GB2312" w:hAnsi="仿宋_GB2312" w:eastAsia="仿宋_GB2312" w:cs="仿宋_GB2312"/>
          <w:spacing w:val="10"/>
          <w:position w:val="17"/>
          <w:sz w:val="32"/>
          <w:szCs w:val="32"/>
        </w:rPr>
        <w:t>应对较大特种设备事故，由市特种设备应急</w:t>
      </w:r>
      <w:r>
        <w:rPr>
          <w:rFonts w:hint="eastAsia" w:ascii="仿宋_GB2312" w:hAnsi="仿宋_GB2312" w:eastAsia="仿宋_GB2312" w:cs="仿宋_GB2312"/>
          <w:spacing w:val="9"/>
          <w:position w:val="17"/>
          <w:sz w:val="32"/>
          <w:szCs w:val="32"/>
        </w:rPr>
        <w:t>处置领导小组启动Ⅲ级响应，配合事故处置工作</w:t>
      </w:r>
      <w:r>
        <w:rPr>
          <w:rFonts w:hint="eastAsia" w:ascii="仿宋_GB2312" w:hAnsi="仿宋_GB2312" w:eastAsia="仿宋_GB2312" w:cs="仿宋_GB2312"/>
          <w:spacing w:val="9"/>
          <w:position w:val="17"/>
          <w:sz w:val="32"/>
          <w:szCs w:val="32"/>
          <w:lang w:eastAsia="zh-CN"/>
        </w:rPr>
        <w:t>。</w:t>
      </w:r>
    </w:p>
    <w:p w14:paraId="1788A606">
      <w:pPr>
        <w:pStyle w:val="2"/>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676" w:firstLineChars="200"/>
        <w:textAlignment w:val="baseline"/>
        <w:rPr>
          <w:rFonts w:hint="eastAsia" w:ascii="仿宋_GB2312" w:hAnsi="仿宋_GB2312" w:eastAsia="仿宋_GB2312" w:cs="仿宋_GB2312"/>
          <w:spacing w:val="9"/>
          <w:position w:val="17"/>
          <w:sz w:val="32"/>
          <w:szCs w:val="32"/>
        </w:rPr>
      </w:pPr>
      <w:r>
        <w:rPr>
          <w:rFonts w:hint="eastAsia" w:ascii="仿宋_GB2312" w:hAnsi="仿宋_GB2312" w:eastAsia="仿宋_GB2312" w:cs="仿宋_GB2312"/>
          <w:spacing w:val="9"/>
          <w:position w:val="17"/>
          <w:sz w:val="32"/>
          <w:szCs w:val="32"/>
        </w:rPr>
        <w:t>应对一般特种设备事故，启动Ⅳ级响应，由区特种设备应急处置领导小组负责组织、指挥、处置工作。</w:t>
      </w:r>
    </w:p>
    <w:p w14:paraId="55F8E8A0">
      <w:pPr>
        <w:pStyle w:val="2"/>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740"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25"/>
          <w:sz w:val="32"/>
          <w:szCs w:val="32"/>
        </w:rPr>
        <w:t>接到上级政府的有关指令或下级政府、事故发生单位请</w:t>
      </w:r>
      <w:r>
        <w:rPr>
          <w:rFonts w:hint="eastAsia" w:ascii="仿宋_GB2312" w:hAnsi="仿宋_GB2312" w:eastAsia="仿宋_GB2312" w:cs="仿宋_GB2312"/>
          <w:spacing w:val="12"/>
          <w:sz w:val="32"/>
          <w:szCs w:val="32"/>
        </w:rPr>
        <w:t>求，以及其它救援组织部门的支援要求后，经区特种设备事故应急处置领导小组批准，启动相应级别预案或立即派出相关应急救援人员。发生涉外特种设备事故，对外协调工作按有关规</w:t>
      </w:r>
      <w:r>
        <w:rPr>
          <w:rFonts w:hint="eastAsia" w:ascii="仿宋_GB2312" w:hAnsi="仿宋_GB2312" w:eastAsia="仿宋_GB2312" w:cs="仿宋_GB2312"/>
          <w:spacing w:val="4"/>
          <w:sz w:val="32"/>
          <w:szCs w:val="32"/>
        </w:rPr>
        <w:t>定实施。</w:t>
      </w:r>
    </w:p>
    <w:p w14:paraId="18ABA994">
      <w:pPr>
        <w:spacing w:before="177" w:line="237" w:lineRule="auto"/>
        <w:ind w:left="655"/>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（四）安全防护</w:t>
      </w:r>
    </w:p>
    <w:p w14:paraId="1EC30656">
      <w:pPr>
        <w:keepNext w:val="0"/>
        <w:keepLines w:val="0"/>
        <w:pageBreakBefore w:val="0"/>
        <w:widowControl/>
        <w:kinsoku w:val="0"/>
        <w:wordWrap/>
        <w:overflowPunct/>
        <w:topLinePunct w:val="0"/>
        <w:autoSpaceDE w:val="0"/>
        <w:autoSpaceDN w:val="0"/>
        <w:bidi w:val="0"/>
        <w:adjustRightInd w:val="0"/>
        <w:snapToGrid w:val="0"/>
        <w:spacing w:line="341" w:lineRule="auto"/>
        <w:ind w:left="0" w:firstLine="688" w:firstLineChars="200"/>
        <w:textAlignment w:val="baseline"/>
        <w:rPr>
          <w:rFonts w:hint="eastAsia" w:ascii="仿宋_GB2312" w:hAnsi="仿宋_GB2312" w:eastAsia="仿宋_GB2312" w:cs="仿宋_GB2312"/>
          <w:spacing w:val="9"/>
          <w:sz w:val="32"/>
          <w:szCs w:val="32"/>
          <w:lang w:eastAsia="zh-CN"/>
        </w:rPr>
      </w:pPr>
      <w:r>
        <w:rPr>
          <w:rFonts w:hint="eastAsia" w:ascii="仿宋_GB2312" w:hAnsi="仿宋_GB2312" w:eastAsia="仿宋_GB2312" w:cs="仿宋_GB2312"/>
          <w:spacing w:val="12"/>
          <w:sz w:val="32"/>
          <w:szCs w:val="32"/>
        </w:rPr>
        <w:t>特种设备安全事故应急处置时，参加应急处置</w:t>
      </w:r>
      <w:r>
        <w:rPr>
          <w:rFonts w:hint="eastAsia" w:ascii="仿宋_GB2312" w:hAnsi="仿宋_GB2312" w:eastAsia="仿宋_GB2312" w:cs="仿宋_GB2312"/>
          <w:spacing w:val="11"/>
          <w:sz w:val="32"/>
          <w:szCs w:val="32"/>
        </w:rPr>
        <w:t>人员配备必</w:t>
      </w:r>
      <w:r>
        <w:rPr>
          <w:rFonts w:hint="eastAsia" w:ascii="仿宋_GB2312" w:hAnsi="仿宋_GB2312" w:eastAsia="仿宋_GB2312" w:cs="仿宋_GB2312"/>
          <w:spacing w:val="12"/>
          <w:sz w:val="32"/>
          <w:szCs w:val="32"/>
        </w:rPr>
        <w:t>要的安全防护装备和安全设施、设备。事故现场处理在专业人员指导下进行。根据事故发生情况和应急救援需要，特种设备安全事故应急指挥机构科学确定事故周边疏散范围，并及时组</w:t>
      </w:r>
      <w:r>
        <w:rPr>
          <w:rFonts w:hint="eastAsia" w:ascii="仿宋_GB2312" w:hAnsi="仿宋_GB2312" w:eastAsia="仿宋_GB2312" w:cs="仿宋_GB2312"/>
          <w:spacing w:val="9"/>
          <w:sz w:val="32"/>
          <w:szCs w:val="32"/>
        </w:rPr>
        <w:t>织人员疏散</w:t>
      </w:r>
      <w:r>
        <w:rPr>
          <w:rFonts w:hint="eastAsia" w:ascii="仿宋_GB2312" w:hAnsi="仿宋_GB2312" w:eastAsia="仿宋_GB2312" w:cs="仿宋_GB2312"/>
          <w:spacing w:val="9"/>
          <w:sz w:val="32"/>
          <w:szCs w:val="32"/>
          <w:lang w:eastAsia="zh-CN"/>
        </w:rPr>
        <w:t>。</w:t>
      </w:r>
    </w:p>
    <w:p w14:paraId="72B466EF">
      <w:pPr>
        <w:spacing w:before="101" w:line="235" w:lineRule="auto"/>
        <w:ind w:left="667"/>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（五）响应终止</w:t>
      </w:r>
    </w:p>
    <w:p w14:paraId="0F388510">
      <w:pPr>
        <w:pStyle w:val="2"/>
        <w:spacing w:before="169" w:line="333" w:lineRule="auto"/>
        <w:ind w:left="12" w:right="55" w:firstLine="689"/>
        <w:jc w:val="both"/>
        <w:rPr>
          <w:rFonts w:hint="eastAsia" w:ascii="仿宋_GB2312" w:hAnsi="仿宋_GB2312" w:eastAsia="仿宋_GB2312" w:cs="仿宋_GB2312"/>
          <w:sz w:val="32"/>
          <w:szCs w:val="32"/>
        </w:rPr>
      </w:pPr>
      <w:r>
        <w:rPr>
          <w:rFonts w:hint="eastAsia" w:ascii="仿宋_GB2312" w:hAnsi="仿宋_GB2312" w:eastAsia="仿宋_GB2312" w:cs="仿宋_GB2312"/>
          <w:spacing w:val="10"/>
          <w:sz w:val="32"/>
          <w:szCs w:val="32"/>
        </w:rPr>
        <w:t>当特种设备安全事故得到控制，造成的危害或不良影响已</w:t>
      </w:r>
      <w:r>
        <w:rPr>
          <w:rFonts w:hint="eastAsia" w:ascii="仿宋_GB2312" w:hAnsi="仿宋_GB2312" w:eastAsia="仿宋_GB2312" w:cs="仿宋_GB2312"/>
          <w:spacing w:val="14"/>
          <w:sz w:val="32"/>
          <w:szCs w:val="32"/>
        </w:rPr>
        <w:t>消除或得到了有效控制，经分析评估认为可解除应急响应的，应当及时终止响应。具备下列条件时，可宣布终止应急响应，</w:t>
      </w:r>
      <w:r>
        <w:rPr>
          <w:rFonts w:hint="eastAsia" w:ascii="仿宋_GB2312" w:hAnsi="仿宋_GB2312" w:eastAsia="仿宋_GB2312" w:cs="仿宋_GB2312"/>
          <w:spacing w:val="10"/>
          <w:sz w:val="32"/>
          <w:szCs w:val="32"/>
        </w:rPr>
        <w:t>转入正常工作：</w:t>
      </w:r>
    </w:p>
    <w:p w14:paraId="4316A151">
      <w:pPr>
        <w:pStyle w:val="2"/>
        <w:spacing w:before="182" w:line="559" w:lineRule="exact"/>
        <w:ind w:left="683"/>
        <w:rPr>
          <w:rFonts w:hint="eastAsia" w:ascii="仿宋_GB2312" w:hAnsi="仿宋_GB2312" w:eastAsia="仿宋_GB2312" w:cs="仿宋_GB2312"/>
          <w:sz w:val="32"/>
          <w:szCs w:val="32"/>
        </w:rPr>
      </w:pPr>
      <w:r>
        <w:rPr>
          <w:rFonts w:hint="eastAsia" w:ascii="仿宋_GB2312" w:hAnsi="仿宋_GB2312" w:eastAsia="仿宋_GB2312" w:cs="仿宋_GB2312"/>
          <w:spacing w:val="11"/>
          <w:position w:val="17"/>
          <w:sz w:val="32"/>
          <w:szCs w:val="32"/>
        </w:rPr>
        <w:t>1.死亡和失踪人员已经查清。</w:t>
      </w:r>
    </w:p>
    <w:p w14:paraId="113A37A9">
      <w:pPr>
        <w:pStyle w:val="2"/>
        <w:spacing w:line="227" w:lineRule="auto"/>
        <w:ind w:left="653"/>
        <w:rPr>
          <w:rFonts w:hint="eastAsia" w:ascii="仿宋_GB2312" w:hAnsi="仿宋_GB2312" w:eastAsia="仿宋_GB2312" w:cs="仿宋_GB2312"/>
          <w:sz w:val="32"/>
          <w:szCs w:val="32"/>
        </w:rPr>
      </w:pPr>
      <w:r>
        <w:rPr>
          <w:rFonts w:hint="eastAsia" w:ascii="仿宋_GB2312" w:hAnsi="仿宋_GB2312" w:eastAsia="仿宋_GB2312" w:cs="仿宋_GB2312"/>
          <w:spacing w:val="13"/>
          <w:sz w:val="32"/>
          <w:szCs w:val="32"/>
        </w:rPr>
        <w:t>2.事故危害基本得以控制。</w:t>
      </w:r>
    </w:p>
    <w:p w14:paraId="2B94033E">
      <w:pPr>
        <w:pStyle w:val="2"/>
        <w:spacing w:before="180" w:line="559" w:lineRule="exact"/>
        <w:ind w:left="659"/>
        <w:rPr>
          <w:rFonts w:hint="eastAsia" w:ascii="仿宋_GB2312" w:hAnsi="仿宋_GB2312" w:eastAsia="仿宋_GB2312" w:cs="仿宋_GB2312"/>
          <w:sz w:val="32"/>
          <w:szCs w:val="32"/>
        </w:rPr>
      </w:pPr>
      <w:r>
        <w:rPr>
          <w:rFonts w:hint="eastAsia" w:ascii="仿宋_GB2312" w:hAnsi="仿宋_GB2312" w:eastAsia="仿宋_GB2312" w:cs="仿宋_GB2312"/>
          <w:spacing w:val="13"/>
          <w:position w:val="17"/>
          <w:sz w:val="32"/>
          <w:szCs w:val="32"/>
        </w:rPr>
        <w:t>3.次生事故因素基本消除。</w:t>
      </w:r>
    </w:p>
    <w:p w14:paraId="1F4D2648">
      <w:pPr>
        <w:pStyle w:val="2"/>
        <w:spacing w:before="2" w:line="227" w:lineRule="auto"/>
        <w:ind w:left="651"/>
        <w:rPr>
          <w:rFonts w:hint="eastAsia" w:ascii="仿宋_GB2312" w:hAnsi="仿宋_GB2312" w:eastAsia="仿宋_GB2312" w:cs="仿宋_GB2312"/>
          <w:sz w:val="32"/>
          <w:szCs w:val="32"/>
        </w:rPr>
      </w:pPr>
      <w:r>
        <w:rPr>
          <w:rFonts w:hint="eastAsia" w:ascii="仿宋_GB2312" w:hAnsi="仿宋_GB2312" w:eastAsia="仿宋_GB2312" w:cs="仿宋_GB2312"/>
          <w:spacing w:val="10"/>
          <w:sz w:val="32"/>
          <w:szCs w:val="32"/>
        </w:rPr>
        <w:t>4.受伤人员基本得到救治。</w:t>
      </w:r>
    </w:p>
    <w:p w14:paraId="296B2979">
      <w:pPr>
        <w:pStyle w:val="2"/>
        <w:spacing w:before="176" w:line="562" w:lineRule="exact"/>
        <w:ind w:left="661"/>
        <w:rPr>
          <w:rFonts w:hint="eastAsia" w:ascii="仿宋_GB2312" w:hAnsi="仿宋_GB2312" w:eastAsia="仿宋_GB2312" w:cs="仿宋_GB2312"/>
          <w:sz w:val="32"/>
          <w:szCs w:val="32"/>
        </w:rPr>
      </w:pPr>
      <w:r>
        <w:rPr>
          <w:rFonts w:hint="eastAsia" w:ascii="仿宋_GB2312" w:hAnsi="仿宋_GB2312" w:eastAsia="仿宋_GB2312" w:cs="仿宋_GB2312"/>
          <w:spacing w:val="12"/>
          <w:position w:val="18"/>
          <w:sz w:val="32"/>
          <w:szCs w:val="32"/>
        </w:rPr>
        <w:t>5.紧急疏散人员基本恢复正常生活秩序。</w:t>
      </w:r>
    </w:p>
    <w:p w14:paraId="4948D7C6">
      <w:pPr>
        <w:spacing w:before="1" w:line="228" w:lineRule="auto"/>
        <w:ind w:left="651"/>
        <w:rPr>
          <w:rFonts w:ascii="黑体" w:hAnsi="黑体" w:eastAsia="黑体" w:cs="黑体"/>
          <w:sz w:val="31"/>
          <w:szCs w:val="31"/>
        </w:rPr>
      </w:pPr>
      <w:r>
        <w:rPr>
          <w:rFonts w:ascii="黑体" w:hAnsi="黑体" w:eastAsia="黑体" w:cs="黑体"/>
          <w:spacing w:val="6"/>
          <w:sz w:val="31"/>
          <w:szCs w:val="31"/>
        </w:rPr>
        <w:t>六、后期处置</w:t>
      </w:r>
    </w:p>
    <w:p w14:paraId="01CFA62E">
      <w:pPr>
        <w:spacing w:before="176" w:line="231" w:lineRule="auto"/>
        <w:ind w:left="667"/>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（一）善后处理</w:t>
      </w:r>
    </w:p>
    <w:p w14:paraId="2478D312">
      <w:pPr>
        <w:pStyle w:val="2"/>
        <w:spacing w:before="170" w:line="334" w:lineRule="auto"/>
        <w:ind w:left="14" w:firstLine="638"/>
        <w:jc w:val="both"/>
        <w:rPr>
          <w:rFonts w:hint="eastAsia" w:ascii="仿宋_GB2312" w:hAnsi="仿宋_GB2312" w:eastAsia="仿宋_GB2312" w:cs="仿宋_GB2312"/>
          <w:sz w:val="32"/>
          <w:szCs w:val="32"/>
        </w:rPr>
      </w:pPr>
      <w:r>
        <w:rPr>
          <w:rFonts w:hint="eastAsia" w:ascii="仿宋_GB2312" w:hAnsi="仿宋_GB2312" w:eastAsia="仿宋_GB2312" w:cs="仿宋_GB2312"/>
          <w:spacing w:val="4"/>
          <w:sz w:val="32"/>
          <w:szCs w:val="32"/>
        </w:rPr>
        <w:t>在应急抢险救援过程中需要紧急调用物资器材、设备仪器、</w:t>
      </w:r>
      <w:r>
        <w:rPr>
          <w:rFonts w:hint="eastAsia" w:ascii="仿宋_GB2312" w:hAnsi="仿宋_GB2312" w:eastAsia="仿宋_GB2312" w:cs="仿宋_GB2312"/>
          <w:spacing w:val="12"/>
          <w:sz w:val="32"/>
          <w:szCs w:val="32"/>
        </w:rPr>
        <w:t>抢险队伍和场地等，所发生费用由事故单位负责，事故单位无</w:t>
      </w:r>
      <w:r>
        <w:rPr>
          <w:rFonts w:hint="eastAsia" w:ascii="仿宋_GB2312" w:hAnsi="仿宋_GB2312" w:eastAsia="仿宋_GB2312" w:cs="仿宋_GB2312"/>
          <w:spacing w:val="2"/>
          <w:sz w:val="32"/>
          <w:szCs w:val="32"/>
        </w:rPr>
        <w:t>力承担时，由当地政府协调解决。</w:t>
      </w:r>
    </w:p>
    <w:p w14:paraId="3C46C5F3">
      <w:pPr>
        <w:pStyle w:val="2"/>
        <w:keepNext w:val="0"/>
        <w:keepLines w:val="0"/>
        <w:pageBreakBefore w:val="0"/>
        <w:widowControl/>
        <w:kinsoku w:val="0"/>
        <w:wordWrap/>
        <w:overflowPunct/>
        <w:topLinePunct w:val="0"/>
        <w:autoSpaceDE w:val="0"/>
        <w:autoSpaceDN w:val="0"/>
        <w:bidi w:val="0"/>
        <w:adjustRightInd w:val="0"/>
        <w:snapToGrid w:val="0"/>
        <w:spacing w:line="334" w:lineRule="auto"/>
        <w:ind w:left="0" w:right="0" w:firstLine="68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对受害、伤亡人员及家属的安抚、抚恤、理赔、补偿按有关规定执行。事故救援结束后，应当尽快恢复受影响群众的正</w:t>
      </w:r>
      <w:r>
        <w:rPr>
          <w:rFonts w:hint="eastAsia" w:ascii="仿宋_GB2312" w:hAnsi="仿宋_GB2312" w:eastAsia="仿宋_GB2312" w:cs="仿宋_GB2312"/>
          <w:spacing w:val="4"/>
          <w:sz w:val="32"/>
          <w:szCs w:val="32"/>
        </w:rPr>
        <w:t>常生活和生产活动。</w:t>
      </w:r>
    </w:p>
    <w:p w14:paraId="3B9EF1CD">
      <w:pPr>
        <w:pStyle w:val="2"/>
        <w:keepNext w:val="0"/>
        <w:keepLines w:val="0"/>
        <w:pageBreakBefore w:val="0"/>
        <w:widowControl/>
        <w:kinsoku w:val="0"/>
        <w:wordWrap/>
        <w:overflowPunct/>
        <w:topLinePunct w:val="0"/>
        <w:autoSpaceDE w:val="0"/>
        <w:autoSpaceDN w:val="0"/>
        <w:bidi w:val="0"/>
        <w:adjustRightInd w:val="0"/>
        <w:snapToGrid w:val="0"/>
        <w:spacing w:line="334" w:lineRule="auto"/>
        <w:ind w:left="0" w:right="0" w:firstLine="688" w:firstLineChars="200"/>
        <w:jc w:val="left"/>
        <w:textAlignment w:val="baseline"/>
      </w:pPr>
      <w:r>
        <w:rPr>
          <w:rFonts w:hint="eastAsia" w:ascii="仿宋_GB2312" w:hAnsi="仿宋_GB2312" w:eastAsia="仿宋_GB2312" w:cs="仿宋_GB2312"/>
          <w:spacing w:val="12"/>
          <w:sz w:val="32"/>
          <w:szCs w:val="32"/>
        </w:rPr>
        <w:t>发生特种设备事故后，必须由特种设备监管部门许可的单位对特种设备进行全面的检修，经检验合格后方可重新投入使</w:t>
      </w:r>
      <w:r>
        <w:rPr>
          <w:rFonts w:hint="eastAsia" w:ascii="仿宋_GB2312" w:hAnsi="仿宋_GB2312" w:eastAsia="仿宋_GB2312" w:cs="仿宋_GB2312"/>
          <w:spacing w:val="8"/>
          <w:sz w:val="32"/>
          <w:szCs w:val="32"/>
        </w:rPr>
        <w:t>用。严重损毁、无维修价值的，应当予以报废。</w:t>
      </w:r>
      <w:r>
        <w:rPr>
          <w:rFonts w:hint="eastAsia" w:ascii="仿宋_GB2312" w:hAnsi="仿宋_GB2312" w:eastAsia="仿宋_GB2312" w:cs="仿宋_GB2312"/>
          <w:spacing w:val="8"/>
          <w:sz w:val="32"/>
          <w:szCs w:val="32"/>
          <w:lang w:val="en-US" w:eastAsia="zh-CN"/>
        </w:rPr>
        <w:t>涉及毒性介质泄漏、污染或者邻近设备设施损坏的，应</w:t>
      </w:r>
      <w:r>
        <w:rPr>
          <w:rFonts w:hint="eastAsia" w:ascii="仿宋_GB2312" w:hAnsi="仿宋_GB2312" w:eastAsia="仿宋_GB2312" w:cs="仿宋_GB2312"/>
          <w:spacing w:val="12"/>
          <w:sz w:val="32"/>
          <w:szCs w:val="32"/>
        </w:rPr>
        <w:t>经生态环境分局、卫健委、应急管理局、住建局和市场监管局</w:t>
      </w:r>
      <w:r>
        <w:rPr>
          <w:rFonts w:hint="eastAsia" w:ascii="仿宋_GB2312" w:hAnsi="仿宋_GB2312" w:eastAsia="仿宋_GB2312" w:cs="仿宋_GB2312"/>
          <w:spacing w:val="7"/>
          <w:sz w:val="32"/>
          <w:szCs w:val="32"/>
        </w:rPr>
        <w:t>等部门检查并提出意见后，方可开展修复工作。</w:t>
      </w:r>
    </w:p>
    <w:p w14:paraId="1FE68B26">
      <w:pPr>
        <w:spacing w:before="183" w:line="231" w:lineRule="auto"/>
        <w:ind w:left="654"/>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（二）调查分析</w:t>
      </w:r>
    </w:p>
    <w:p w14:paraId="7CCEB00B">
      <w:pPr>
        <w:pStyle w:val="2"/>
        <w:spacing w:before="170" w:line="559" w:lineRule="exact"/>
        <w:ind w:right="3"/>
        <w:jc w:val="right"/>
        <w:rPr>
          <w:rFonts w:hint="eastAsia" w:ascii="仿宋_GB2312" w:hAnsi="仿宋_GB2312" w:eastAsia="仿宋_GB2312" w:cs="仿宋_GB2312"/>
          <w:sz w:val="32"/>
          <w:szCs w:val="32"/>
        </w:rPr>
      </w:pPr>
      <w:r>
        <w:rPr>
          <w:rFonts w:hint="eastAsia" w:ascii="仿宋_GB2312" w:hAnsi="仿宋_GB2312" w:eastAsia="仿宋_GB2312" w:cs="仿宋_GB2312"/>
          <w:spacing w:val="12"/>
          <w:position w:val="17"/>
          <w:sz w:val="32"/>
          <w:szCs w:val="32"/>
        </w:rPr>
        <w:t>根据事故造成的人员伤亡和破坏程度，按有关规定组成事</w:t>
      </w:r>
    </w:p>
    <w:p w14:paraId="74517FA5">
      <w:pPr>
        <w:pStyle w:val="2"/>
        <w:spacing w:line="226" w:lineRule="auto"/>
        <w:rPr>
          <w:rFonts w:hint="eastAsia" w:ascii="仿宋_GB2312" w:hAnsi="仿宋_GB2312" w:eastAsia="仿宋_GB2312" w:cs="仿宋_GB2312"/>
          <w:sz w:val="32"/>
          <w:szCs w:val="32"/>
        </w:rPr>
      </w:pPr>
      <w:r>
        <w:rPr>
          <w:rFonts w:hint="eastAsia" w:ascii="仿宋_GB2312" w:hAnsi="仿宋_GB2312" w:eastAsia="仿宋_GB2312" w:cs="仿宋_GB2312"/>
          <w:spacing w:val="8"/>
          <w:sz w:val="32"/>
          <w:szCs w:val="32"/>
        </w:rPr>
        <w:t>故调查组，对事故进行调查分析，提出处理意见。</w:t>
      </w:r>
    </w:p>
    <w:p w14:paraId="2F5FDEDA">
      <w:pPr>
        <w:pStyle w:val="2"/>
        <w:spacing w:before="182" w:line="333" w:lineRule="auto"/>
        <w:ind w:left="17" w:right="1" w:firstLine="632"/>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需要对事故、受事故影响的设备和事故现场环境进行必要</w:t>
      </w:r>
      <w:bookmarkStart w:id="0" w:name="_GoBack"/>
      <w:bookmarkEnd w:id="0"/>
      <w:r>
        <w:rPr>
          <w:rFonts w:hint="eastAsia" w:ascii="仿宋_GB2312" w:hAnsi="仿宋_GB2312" w:eastAsia="仿宋_GB2312" w:cs="仿宋_GB2312"/>
          <w:spacing w:val="6"/>
          <w:sz w:val="32"/>
          <w:szCs w:val="32"/>
        </w:rPr>
        <w:t>的检验（测）、试验及鉴定时，由事故调查组确定与事故各方</w:t>
      </w:r>
      <w:r>
        <w:rPr>
          <w:rFonts w:hint="eastAsia" w:ascii="仿宋_GB2312" w:hAnsi="仿宋_GB2312" w:eastAsia="仿宋_GB2312" w:cs="仿宋_GB2312"/>
          <w:spacing w:val="7"/>
          <w:sz w:val="32"/>
          <w:szCs w:val="32"/>
        </w:rPr>
        <w:t>无直接利害关系的专业单位负责。</w:t>
      </w:r>
    </w:p>
    <w:p w14:paraId="3E013907">
      <w:pPr>
        <w:spacing w:before="183" w:line="228" w:lineRule="auto"/>
        <w:ind w:left="627"/>
        <w:rPr>
          <w:rFonts w:ascii="黑体" w:hAnsi="黑体" w:eastAsia="黑体" w:cs="黑体"/>
          <w:sz w:val="31"/>
          <w:szCs w:val="31"/>
        </w:rPr>
      </w:pPr>
      <w:r>
        <w:rPr>
          <w:rFonts w:ascii="黑体" w:hAnsi="黑体" w:eastAsia="黑体" w:cs="黑体"/>
          <w:spacing w:val="4"/>
          <w:sz w:val="31"/>
          <w:szCs w:val="31"/>
        </w:rPr>
        <w:t>七、应急保障</w:t>
      </w:r>
    </w:p>
    <w:p w14:paraId="092674AB">
      <w:pPr>
        <w:spacing w:before="176" w:line="232" w:lineRule="auto"/>
        <w:ind w:left="654"/>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（一）装备保障</w:t>
      </w:r>
    </w:p>
    <w:p w14:paraId="2BBDE975">
      <w:pPr>
        <w:pStyle w:val="2"/>
        <w:spacing w:before="171" w:line="333" w:lineRule="auto"/>
        <w:ind w:left="1" w:right="1" w:firstLine="646"/>
        <w:jc w:val="both"/>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高新区管委会、各镇办社区应针对可能发生的特种设备安全事故，为参与事故救援的公安、消防、特种设备安全监督管理等部门配备相应的救援工具、检测仪器、车辆等抢险救援装</w:t>
      </w:r>
      <w:r>
        <w:rPr>
          <w:rFonts w:hint="eastAsia" w:ascii="仿宋_GB2312" w:hAnsi="仿宋_GB2312" w:eastAsia="仿宋_GB2312" w:cs="仿宋_GB2312"/>
          <w:spacing w:val="-8"/>
          <w:sz w:val="32"/>
          <w:szCs w:val="32"/>
        </w:rPr>
        <w:t>备。</w:t>
      </w:r>
    </w:p>
    <w:p w14:paraId="35918E5B">
      <w:pPr>
        <w:spacing w:before="176" w:line="231" w:lineRule="auto"/>
        <w:ind w:left="654"/>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（二）资金保障</w:t>
      </w:r>
    </w:p>
    <w:p w14:paraId="5C9F63B3">
      <w:pPr>
        <w:pStyle w:val="2"/>
        <w:spacing w:before="171" w:line="559" w:lineRule="exact"/>
        <w:ind w:right="1"/>
        <w:jc w:val="right"/>
        <w:rPr>
          <w:rFonts w:hint="eastAsia" w:ascii="仿宋_GB2312" w:hAnsi="仿宋_GB2312" w:eastAsia="仿宋_GB2312" w:cs="仿宋_GB2312"/>
          <w:sz w:val="32"/>
          <w:szCs w:val="32"/>
        </w:rPr>
      </w:pPr>
      <w:r>
        <w:rPr>
          <w:rFonts w:hint="eastAsia" w:ascii="仿宋_GB2312" w:hAnsi="仿宋_GB2312" w:eastAsia="仿宋_GB2312" w:cs="仿宋_GB2312"/>
          <w:spacing w:val="12"/>
          <w:position w:val="18"/>
          <w:sz w:val="32"/>
          <w:szCs w:val="32"/>
        </w:rPr>
        <w:t>高新区管委会、各镇办社区和特种设备使用单位根据工作</w:t>
      </w:r>
    </w:p>
    <w:p w14:paraId="480782C5">
      <w:pPr>
        <w:pStyle w:val="2"/>
        <w:spacing w:before="1" w:line="225" w:lineRule="auto"/>
        <w:ind w:left="11"/>
      </w:pPr>
      <w:r>
        <w:rPr>
          <w:rFonts w:hint="eastAsia" w:ascii="仿宋_GB2312" w:hAnsi="仿宋_GB2312" w:eastAsia="仿宋_GB2312" w:cs="仿宋_GB2312"/>
          <w:spacing w:val="8"/>
          <w:sz w:val="32"/>
          <w:szCs w:val="32"/>
        </w:rPr>
        <w:t>需要，统筹安排保障应急救援工作开展所需资金</w:t>
      </w:r>
      <w:r>
        <w:rPr>
          <w:spacing w:val="8"/>
        </w:rPr>
        <w:t>。</w:t>
      </w:r>
    </w:p>
    <w:p w14:paraId="02D99F3B">
      <w:pPr>
        <w:spacing w:before="183" w:line="232" w:lineRule="auto"/>
        <w:ind w:left="654"/>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（三）技术保障</w:t>
      </w:r>
    </w:p>
    <w:p w14:paraId="5E6CABA5">
      <w:pPr>
        <w:pStyle w:val="2"/>
        <w:spacing w:before="169" w:line="334" w:lineRule="auto"/>
        <w:ind w:left="16" w:right="1" w:firstLine="648"/>
        <w:jc w:val="both"/>
      </w:pPr>
      <w:r>
        <w:rPr>
          <w:rFonts w:hint="eastAsia" w:ascii="仿宋_GB2312" w:hAnsi="仿宋_GB2312" w:eastAsia="仿宋_GB2312" w:cs="仿宋_GB2312"/>
          <w:spacing w:val="25"/>
          <w:sz w:val="32"/>
          <w:szCs w:val="32"/>
        </w:rPr>
        <w:t>区市场监督管理局应积极开展特种设备应急救援科学研</w:t>
      </w:r>
      <w:r>
        <w:rPr>
          <w:rFonts w:hint="eastAsia" w:ascii="仿宋_GB2312" w:hAnsi="仿宋_GB2312" w:eastAsia="仿宋_GB2312" w:cs="仿宋_GB2312"/>
          <w:spacing w:val="12"/>
          <w:sz w:val="32"/>
          <w:szCs w:val="32"/>
        </w:rPr>
        <w:t>究，为特种设备事故应急处置和决策提供咨询、</w:t>
      </w:r>
      <w:r>
        <w:rPr>
          <w:rFonts w:hint="eastAsia" w:ascii="仿宋_GB2312" w:hAnsi="仿宋_GB2312" w:eastAsia="仿宋_GB2312" w:cs="仿宋_GB2312"/>
          <w:spacing w:val="11"/>
          <w:sz w:val="32"/>
          <w:szCs w:val="32"/>
        </w:rPr>
        <w:t>建议和技术保</w:t>
      </w:r>
      <w:r>
        <w:rPr>
          <w:rFonts w:hint="eastAsia" w:ascii="仿宋_GB2312" w:hAnsi="仿宋_GB2312" w:eastAsia="仿宋_GB2312" w:cs="仿宋_GB2312"/>
          <w:spacing w:val="-15"/>
          <w:sz w:val="32"/>
          <w:szCs w:val="32"/>
        </w:rPr>
        <w:t>障</w:t>
      </w:r>
      <w:r>
        <w:rPr>
          <w:spacing w:val="-15"/>
        </w:rPr>
        <w:t>。</w:t>
      </w:r>
    </w:p>
    <w:p w14:paraId="6CAA7100">
      <w:pPr>
        <w:keepNext w:val="0"/>
        <w:keepLines w:val="0"/>
        <w:pageBreakBefore w:val="0"/>
        <w:widowControl/>
        <w:kinsoku w:val="0"/>
        <w:wordWrap/>
        <w:overflowPunct/>
        <w:topLinePunct w:val="0"/>
        <w:autoSpaceDE w:val="0"/>
        <w:autoSpaceDN w:val="0"/>
        <w:bidi w:val="0"/>
        <w:adjustRightInd w:val="0"/>
        <w:snapToGrid w:val="0"/>
        <w:spacing w:before="178" w:line="233" w:lineRule="auto"/>
        <w:ind w:firstLine="660" w:firstLineChars="200"/>
        <w:textAlignment w:val="baseline"/>
        <w:rPr>
          <w:rFonts w:hint="eastAsia" w:ascii="楷体" w:hAnsi="楷体" w:eastAsia="楷体" w:cs="楷体"/>
          <w:sz w:val="32"/>
          <w:szCs w:val="32"/>
        </w:rPr>
      </w:pPr>
      <w:r>
        <w:rPr>
          <w:rFonts w:hint="eastAsia" w:ascii="楷体" w:hAnsi="楷体" w:eastAsia="楷体" w:cs="楷体"/>
          <w:spacing w:val="5"/>
          <w:sz w:val="32"/>
          <w:szCs w:val="32"/>
          <w14:textOutline w14:w="5793" w14:cap="sq" w14:cmpd="sng">
            <w14:solidFill>
              <w14:srgbClr w14:val="000000"/>
            </w14:solidFill>
            <w14:prstDash w14:val="solid"/>
            <w14:bevel/>
          </w14:textOutline>
        </w:rPr>
        <w:t>（四）社会动员</w:t>
      </w:r>
    </w:p>
    <w:p w14:paraId="4FBDEE46">
      <w:pPr>
        <w:pStyle w:val="2"/>
        <w:keepNext w:val="0"/>
        <w:keepLines w:val="0"/>
        <w:pageBreakBefore w:val="0"/>
        <w:widowControl/>
        <w:kinsoku w:val="0"/>
        <w:wordWrap/>
        <w:overflowPunct/>
        <w:topLinePunct w:val="0"/>
        <w:autoSpaceDE w:val="0"/>
        <w:autoSpaceDN w:val="0"/>
        <w:bidi w:val="0"/>
        <w:adjustRightInd w:val="0"/>
        <w:snapToGrid w:val="0"/>
        <w:spacing w:line="320" w:lineRule="auto"/>
        <w:ind w:firstLine="68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position w:val="18"/>
          <w:sz w:val="32"/>
          <w:szCs w:val="32"/>
        </w:rPr>
        <w:t>高新区管委会、各镇办社区根据需要，动员有关人员</w:t>
      </w:r>
      <w:r>
        <w:rPr>
          <w:rFonts w:hint="eastAsia" w:ascii="仿宋_GB2312" w:hAnsi="仿宋_GB2312" w:eastAsia="仿宋_GB2312" w:cs="仿宋_GB2312"/>
          <w:spacing w:val="12"/>
          <w:position w:val="18"/>
          <w:sz w:val="32"/>
          <w:szCs w:val="32"/>
          <w:lang w:eastAsia="zh-CN"/>
        </w:rPr>
        <w:t>，</w:t>
      </w:r>
      <w:r>
        <w:rPr>
          <w:rFonts w:hint="eastAsia" w:ascii="仿宋_GB2312" w:hAnsi="仿宋_GB2312" w:eastAsia="仿宋_GB2312" w:cs="仿宋_GB2312"/>
          <w:spacing w:val="12"/>
          <w:position w:val="18"/>
          <w:sz w:val="32"/>
          <w:szCs w:val="32"/>
          <w:lang w:val="en-US" w:eastAsia="zh-CN"/>
        </w:rPr>
        <w:t>有关物资、设备、器材，占用必要场地参与应急抢险救援，相关单位和个人给予支持配合。</w:t>
      </w:r>
    </w:p>
    <w:p w14:paraId="602D13F9">
      <w:pPr>
        <w:spacing w:line="226" w:lineRule="auto"/>
        <w:ind w:left="642"/>
        <w:rPr>
          <w:rFonts w:ascii="黑体" w:hAnsi="黑体" w:eastAsia="黑体" w:cs="黑体"/>
          <w:sz w:val="31"/>
          <w:szCs w:val="31"/>
        </w:rPr>
      </w:pPr>
      <w:r>
        <w:rPr>
          <w:rFonts w:ascii="黑体" w:hAnsi="黑体" w:eastAsia="黑体" w:cs="黑体"/>
          <w:spacing w:val="2"/>
          <w:sz w:val="31"/>
          <w:szCs w:val="31"/>
        </w:rPr>
        <w:t>八、日常管理与责任奖惩</w:t>
      </w:r>
    </w:p>
    <w:p w14:paraId="15AB25D5">
      <w:pPr>
        <w:spacing w:before="178" w:line="233" w:lineRule="auto"/>
        <w:ind w:left="667"/>
        <w:rPr>
          <w:rFonts w:ascii="楷体" w:hAnsi="楷体" w:eastAsia="楷体" w:cs="楷体"/>
          <w:sz w:val="31"/>
          <w:szCs w:val="31"/>
        </w:rPr>
      </w:pPr>
      <w:r>
        <w:rPr>
          <w:rFonts w:ascii="楷体" w:hAnsi="楷体" w:eastAsia="楷体" w:cs="楷体"/>
          <w:spacing w:val="7"/>
          <w:sz w:val="31"/>
          <w:szCs w:val="31"/>
          <w14:textOutline w14:w="5793" w14:cap="sq" w14:cmpd="sng">
            <w14:solidFill>
              <w14:srgbClr w14:val="000000"/>
            </w14:solidFill>
            <w14:prstDash w14:val="solid"/>
            <w14:bevel/>
          </w14:textOutline>
        </w:rPr>
        <w:t>（一）宣传、培训与演练</w:t>
      </w:r>
    </w:p>
    <w:p w14:paraId="22BE53C0">
      <w:pPr>
        <w:pStyle w:val="2"/>
        <w:spacing w:before="167" w:line="334" w:lineRule="auto"/>
        <w:ind w:left="16" w:right="2" w:firstLine="661"/>
        <w:rPr>
          <w:rFonts w:hint="eastAsia" w:ascii="仿宋_GB2312" w:hAnsi="仿宋_GB2312" w:eastAsia="仿宋_GB2312" w:cs="仿宋_GB2312"/>
          <w:sz w:val="32"/>
          <w:szCs w:val="32"/>
          <w:lang w:eastAsia="zh-CN"/>
        </w:rPr>
      </w:pPr>
      <w:r>
        <w:rPr>
          <w:rFonts w:hint="eastAsia" w:ascii="仿宋_GB2312" w:hAnsi="仿宋_GB2312" w:eastAsia="仿宋_GB2312" w:cs="仿宋_GB2312"/>
          <w:spacing w:val="11"/>
          <w:sz w:val="32"/>
          <w:szCs w:val="32"/>
        </w:rPr>
        <w:t>区市场监督管理局及各辖区市场监管所负责开展特种设备</w:t>
      </w:r>
      <w:r>
        <w:rPr>
          <w:rFonts w:hint="eastAsia" w:ascii="仿宋_GB2312" w:hAnsi="仿宋_GB2312" w:eastAsia="仿宋_GB2312" w:cs="仿宋_GB2312"/>
          <w:spacing w:val="8"/>
          <w:sz w:val="32"/>
          <w:szCs w:val="32"/>
        </w:rPr>
        <w:t>安全事故预防、避险、避灾、自救、互救等知识的宣传教育，组织开展相关培训，定期进行演练，提高应对处置能力</w:t>
      </w:r>
      <w:r>
        <w:rPr>
          <w:rFonts w:hint="eastAsia" w:ascii="仿宋_GB2312" w:hAnsi="仿宋_GB2312" w:eastAsia="仿宋_GB2312" w:cs="仿宋_GB2312"/>
          <w:spacing w:val="8"/>
          <w:sz w:val="32"/>
          <w:szCs w:val="32"/>
          <w:lang w:eastAsia="zh-CN"/>
        </w:rPr>
        <w:t>。</w:t>
      </w:r>
    </w:p>
    <w:p w14:paraId="0A822ADB">
      <w:pPr>
        <w:spacing w:before="179" w:line="233" w:lineRule="auto"/>
        <w:ind w:left="667"/>
        <w:rPr>
          <w:rFonts w:ascii="楷体" w:hAnsi="楷体" w:eastAsia="楷体" w:cs="楷体"/>
          <w:sz w:val="31"/>
          <w:szCs w:val="31"/>
        </w:rPr>
      </w:pPr>
      <w:r>
        <w:rPr>
          <w:rFonts w:ascii="楷体" w:hAnsi="楷体" w:eastAsia="楷体" w:cs="楷体"/>
          <w:spacing w:val="5"/>
          <w:sz w:val="31"/>
          <w:szCs w:val="31"/>
          <w14:textOutline w14:w="5793" w14:cap="sq" w14:cmpd="sng">
            <w14:solidFill>
              <w14:srgbClr w14:val="000000"/>
            </w14:solidFill>
            <w14:prstDash w14:val="solid"/>
            <w14:bevel/>
          </w14:textOutline>
        </w:rPr>
        <w:t>（二）监督检查</w:t>
      </w:r>
    </w:p>
    <w:p w14:paraId="3CBFB26D">
      <w:pPr>
        <w:pStyle w:val="2"/>
        <w:keepNext w:val="0"/>
        <w:keepLines w:val="0"/>
        <w:pageBreakBefore w:val="0"/>
        <w:widowControl/>
        <w:kinsoku w:val="0"/>
        <w:wordWrap/>
        <w:overflowPunct/>
        <w:topLinePunct w:val="0"/>
        <w:autoSpaceDE w:val="0"/>
        <w:autoSpaceDN w:val="0"/>
        <w:bidi w:val="0"/>
        <w:adjustRightInd w:val="0"/>
        <w:snapToGrid w:val="0"/>
        <w:spacing w:before="171" w:line="559" w:lineRule="exact"/>
        <w:ind w:firstLine="684" w:firstLineChars="200"/>
        <w:jc w:val="left"/>
        <w:textAlignment w:val="baseline"/>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pacing w:val="11"/>
          <w:position w:val="17"/>
          <w:sz w:val="32"/>
          <w:szCs w:val="32"/>
        </w:rPr>
        <w:t>区市场监督管理局及各辖区市场监管所负责对特种设备</w:t>
      </w:r>
      <w:r>
        <w:rPr>
          <w:rFonts w:hint="eastAsia" w:ascii="仿宋_GB2312" w:hAnsi="仿宋_GB2312" w:eastAsia="仿宋_GB2312" w:cs="仿宋_GB2312"/>
          <w:spacing w:val="11"/>
          <w:position w:val="17"/>
          <w:sz w:val="32"/>
          <w:szCs w:val="32"/>
          <w:lang w:val="en-US" w:eastAsia="zh-CN"/>
        </w:rPr>
        <w:t>使用单位预案的实施情况进行监督检查。</w:t>
      </w:r>
    </w:p>
    <w:p w14:paraId="1EB8F23B">
      <w:pPr>
        <w:spacing w:before="180" w:line="227" w:lineRule="auto"/>
        <w:ind w:left="649"/>
        <w:rPr>
          <w:rFonts w:ascii="黑体" w:hAnsi="黑体" w:eastAsia="黑体" w:cs="黑体"/>
          <w:sz w:val="31"/>
          <w:szCs w:val="31"/>
        </w:rPr>
      </w:pPr>
      <w:r>
        <w:rPr>
          <w:rFonts w:ascii="黑体" w:hAnsi="黑体" w:eastAsia="黑体" w:cs="黑体"/>
          <w:spacing w:val="5"/>
          <w:sz w:val="31"/>
          <w:szCs w:val="31"/>
        </w:rPr>
        <w:t>九、附则</w:t>
      </w:r>
    </w:p>
    <w:p w14:paraId="0D43C480">
      <w:pPr>
        <w:keepNext w:val="0"/>
        <w:keepLines w:val="0"/>
        <w:pageBreakBefore w:val="0"/>
        <w:widowControl/>
        <w:kinsoku w:val="0"/>
        <w:wordWrap/>
        <w:overflowPunct/>
        <w:topLinePunct w:val="0"/>
        <w:autoSpaceDE w:val="0"/>
        <w:autoSpaceDN w:val="0"/>
        <w:bidi w:val="0"/>
        <w:adjustRightInd w:val="0"/>
        <w:snapToGrid w:val="0"/>
        <w:spacing w:before="181" w:line="317" w:lineRule="auto"/>
        <w:ind w:left="667"/>
        <w:textAlignment w:val="baseline"/>
        <w:rPr>
          <w:rFonts w:ascii="楷体" w:hAnsi="楷体" w:eastAsia="楷体" w:cs="楷体"/>
          <w:sz w:val="31"/>
          <w:szCs w:val="31"/>
        </w:rPr>
      </w:pPr>
      <w:r>
        <w:rPr>
          <w:rFonts w:ascii="楷体" w:hAnsi="楷体" w:eastAsia="楷体" w:cs="楷体"/>
          <w:spacing w:val="6"/>
          <w:sz w:val="31"/>
          <w:szCs w:val="31"/>
          <w14:textOutline w14:w="5793" w14:cap="sq" w14:cmpd="sng">
            <w14:solidFill>
              <w14:srgbClr w14:val="000000"/>
            </w14:solidFill>
            <w14:prstDash w14:val="solid"/>
            <w14:bevel/>
          </w14:textOutline>
        </w:rPr>
        <w:t>（一）名词术语解释</w:t>
      </w:r>
    </w:p>
    <w:p w14:paraId="130AE97B">
      <w:pPr>
        <w:pStyle w:val="2"/>
        <w:keepNext w:val="0"/>
        <w:keepLines w:val="0"/>
        <w:pageBreakBefore w:val="0"/>
        <w:widowControl/>
        <w:kinsoku w:val="0"/>
        <w:wordWrap/>
        <w:overflowPunct/>
        <w:topLinePunct w:val="0"/>
        <w:autoSpaceDE w:val="0"/>
        <w:autoSpaceDN w:val="0"/>
        <w:bidi w:val="0"/>
        <w:adjustRightInd w:val="0"/>
        <w:snapToGrid w:val="0"/>
        <w:spacing w:line="317" w:lineRule="auto"/>
        <w:ind w:left="0" w:firstLine="68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特种设备：指涉及生命安全、危险性较大的锅炉、压力容</w:t>
      </w:r>
      <w:r>
        <w:rPr>
          <w:rFonts w:hint="eastAsia" w:ascii="仿宋_GB2312" w:hAnsi="仿宋_GB2312" w:eastAsia="仿宋_GB2312" w:cs="仿宋_GB2312"/>
          <w:spacing w:val="8"/>
          <w:sz w:val="32"/>
          <w:szCs w:val="32"/>
        </w:rPr>
        <w:t>器（含气瓶）、压力管道、电梯、起重机械</w:t>
      </w:r>
      <w:r>
        <w:rPr>
          <w:rFonts w:hint="eastAsia" w:ascii="仿宋_GB2312" w:hAnsi="仿宋_GB2312" w:eastAsia="仿宋_GB2312" w:cs="仿宋_GB2312"/>
          <w:spacing w:val="7"/>
          <w:sz w:val="32"/>
          <w:szCs w:val="32"/>
        </w:rPr>
        <w:t>、客运索道、大型</w:t>
      </w:r>
      <w:r>
        <w:rPr>
          <w:rFonts w:hint="eastAsia" w:ascii="仿宋_GB2312" w:hAnsi="仿宋_GB2312" w:eastAsia="仿宋_GB2312" w:cs="仿宋_GB2312"/>
          <w:spacing w:val="3"/>
          <w:sz w:val="32"/>
          <w:szCs w:val="32"/>
        </w:rPr>
        <w:t>游乐设施和场（厂）内专用机动车辆等。</w:t>
      </w:r>
    </w:p>
    <w:p w14:paraId="613D5F61">
      <w:pPr>
        <w:pStyle w:val="2"/>
        <w:keepNext w:val="0"/>
        <w:keepLines w:val="0"/>
        <w:pageBreakBefore w:val="0"/>
        <w:widowControl/>
        <w:kinsoku w:val="0"/>
        <w:wordWrap/>
        <w:overflowPunct/>
        <w:topLinePunct w:val="0"/>
        <w:autoSpaceDE w:val="0"/>
        <w:autoSpaceDN w:val="0"/>
        <w:bidi w:val="0"/>
        <w:adjustRightInd w:val="0"/>
        <w:snapToGrid w:val="0"/>
        <w:spacing w:line="317" w:lineRule="auto"/>
        <w:ind w:left="0" w:right="0" w:firstLine="68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position w:val="17"/>
          <w:sz w:val="32"/>
          <w:szCs w:val="32"/>
        </w:rPr>
        <w:t>事故隐患：指可能导致事故发生的设备缺陷、人的不安全</w:t>
      </w:r>
      <w:r>
        <w:rPr>
          <w:rFonts w:hint="eastAsia" w:ascii="仿宋_GB2312" w:hAnsi="仿宋_GB2312" w:eastAsia="仿宋_GB2312" w:cs="仿宋_GB2312"/>
          <w:spacing w:val="12"/>
          <w:position w:val="17"/>
          <w:sz w:val="32"/>
          <w:szCs w:val="32"/>
          <w:lang w:val="en-US" w:eastAsia="zh-CN"/>
        </w:rPr>
        <w:t>行为及管理上的缺陷。</w:t>
      </w:r>
    </w:p>
    <w:p w14:paraId="43F24E2F">
      <w:pPr>
        <w:pStyle w:val="2"/>
        <w:keepNext w:val="0"/>
        <w:keepLines w:val="0"/>
        <w:pageBreakBefore w:val="0"/>
        <w:widowControl/>
        <w:kinsoku w:val="0"/>
        <w:wordWrap/>
        <w:overflowPunct/>
        <w:topLinePunct w:val="0"/>
        <w:autoSpaceDE w:val="0"/>
        <w:autoSpaceDN w:val="0"/>
        <w:bidi w:val="0"/>
        <w:adjustRightInd w:val="0"/>
        <w:snapToGrid w:val="0"/>
        <w:spacing w:line="317" w:lineRule="auto"/>
        <w:ind w:left="0" w:firstLine="68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2"/>
          <w:sz w:val="32"/>
          <w:szCs w:val="32"/>
        </w:rPr>
        <w:t>特种设备事故：是指因特种设备的不安全状态或者相关人员的不安全行为，在特种设备制造、安装、改造、修理、使用</w:t>
      </w:r>
      <w:r>
        <w:rPr>
          <w:rFonts w:hint="eastAsia" w:ascii="仿宋_GB2312" w:hAnsi="仿宋_GB2312" w:eastAsia="仿宋_GB2312" w:cs="仿宋_GB2312"/>
          <w:spacing w:val="10"/>
          <w:sz w:val="32"/>
          <w:szCs w:val="32"/>
        </w:rPr>
        <w:t>（含移动式压力容器、气瓶充装）、检验检测活动中造成</w:t>
      </w:r>
      <w:r>
        <w:rPr>
          <w:rFonts w:hint="eastAsia" w:ascii="仿宋_GB2312" w:hAnsi="仿宋_GB2312" w:eastAsia="仿宋_GB2312" w:cs="仿宋_GB2312"/>
          <w:spacing w:val="9"/>
          <w:sz w:val="32"/>
          <w:szCs w:val="32"/>
        </w:rPr>
        <w:t>的人</w:t>
      </w:r>
      <w:r>
        <w:rPr>
          <w:rFonts w:hint="eastAsia" w:ascii="仿宋_GB2312" w:hAnsi="仿宋_GB2312" w:eastAsia="仿宋_GB2312" w:cs="仿宋_GB2312"/>
          <w:spacing w:val="12"/>
          <w:sz w:val="32"/>
          <w:szCs w:val="32"/>
        </w:rPr>
        <w:t>员伤亡、财产损失、特种设备严重损坏或者中断运行、人员滞</w:t>
      </w:r>
      <w:r>
        <w:rPr>
          <w:rFonts w:hint="eastAsia" w:ascii="仿宋_GB2312" w:hAnsi="仿宋_GB2312" w:eastAsia="仿宋_GB2312" w:cs="仿宋_GB2312"/>
          <w:spacing w:val="4"/>
          <w:sz w:val="32"/>
          <w:szCs w:val="32"/>
        </w:rPr>
        <w:t>留、人员转移等突发事件。</w:t>
      </w:r>
    </w:p>
    <w:p w14:paraId="61FBBBFD">
      <w:pPr>
        <w:pStyle w:val="2"/>
        <w:keepNext w:val="0"/>
        <w:keepLines w:val="0"/>
        <w:pageBreakBefore w:val="0"/>
        <w:widowControl/>
        <w:kinsoku w:val="0"/>
        <w:wordWrap/>
        <w:overflowPunct/>
        <w:topLinePunct w:val="0"/>
        <w:autoSpaceDE w:val="0"/>
        <w:autoSpaceDN w:val="0"/>
        <w:bidi w:val="0"/>
        <w:adjustRightInd w:val="0"/>
        <w:snapToGrid w:val="0"/>
        <w:spacing w:line="341" w:lineRule="auto"/>
        <w:ind w:left="0" w:firstLine="600"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0"/>
          <w:sz w:val="32"/>
          <w:szCs w:val="32"/>
        </w:rPr>
        <w:t>以上有关数量的表述中，“以上”含本数，“以下</w:t>
      </w:r>
      <w:r>
        <w:rPr>
          <w:rFonts w:hint="eastAsia" w:ascii="仿宋_GB2312" w:hAnsi="仿宋_GB2312" w:eastAsia="仿宋_GB2312" w:cs="仿宋_GB2312"/>
          <w:spacing w:val="-11"/>
          <w:sz w:val="32"/>
          <w:szCs w:val="32"/>
        </w:rPr>
        <w:t>”不含本数。</w:t>
      </w:r>
    </w:p>
    <w:p w14:paraId="7779EF9C">
      <w:pPr>
        <w:pStyle w:val="2"/>
        <w:numPr>
          <w:ilvl w:val="0"/>
          <w:numId w:val="6"/>
        </w:numPr>
        <w:spacing w:before="101" w:line="227" w:lineRule="auto"/>
        <w:ind w:left="625"/>
        <w:rPr>
          <w:rFonts w:ascii="楷体" w:hAnsi="楷体" w:eastAsia="楷体" w:cs="楷体"/>
          <w:spacing w:val="5"/>
          <w:sz w:val="32"/>
          <w:szCs w:val="32"/>
          <w14:textOutline w14:w="5793" w14:cap="sq" w14:cmpd="sng">
            <w14:solidFill>
              <w14:srgbClr w14:val="000000"/>
            </w14:solidFill>
            <w14:prstDash w14:val="solid"/>
            <w14:bevel/>
          </w14:textOutline>
        </w:rPr>
      </w:pPr>
      <w:r>
        <w:rPr>
          <w:rFonts w:ascii="楷体" w:hAnsi="楷体" w:eastAsia="楷体" w:cs="楷体"/>
          <w:spacing w:val="5"/>
          <w:sz w:val="32"/>
          <w:szCs w:val="32"/>
          <w14:textOutline w14:w="5793" w14:cap="sq" w14:cmpd="sng">
            <w14:solidFill>
              <w14:srgbClr w14:val="000000"/>
            </w14:solidFill>
            <w14:prstDash w14:val="solid"/>
            <w14:bevel/>
          </w14:textOutline>
        </w:rPr>
        <w:t>预案管理</w:t>
      </w:r>
    </w:p>
    <w:p w14:paraId="39F70A95">
      <w:pPr>
        <w:pStyle w:val="2"/>
        <w:keepNext w:val="0"/>
        <w:keepLines w:val="0"/>
        <w:pageBreakBefore w:val="0"/>
        <w:widowControl/>
        <w:numPr>
          <w:ilvl w:val="0"/>
          <w:numId w:val="0"/>
        </w:numPr>
        <w:kinsoku w:val="0"/>
        <w:wordWrap/>
        <w:overflowPunct/>
        <w:topLinePunct w:val="0"/>
        <w:autoSpaceDE w:val="0"/>
        <w:autoSpaceDN w:val="0"/>
        <w:bidi w:val="0"/>
        <w:adjustRightInd w:val="0"/>
        <w:snapToGrid w:val="0"/>
        <w:spacing w:before="101" w:line="228" w:lineRule="auto"/>
        <w:ind w:firstLine="672" w:firstLineChars="2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8"/>
          <w:sz w:val="32"/>
          <w:szCs w:val="32"/>
        </w:rPr>
        <w:t>本预案由区市场监管局负责编制、解释。</w:t>
      </w:r>
    </w:p>
    <w:p w14:paraId="07D410F5">
      <w:pPr>
        <w:spacing w:before="179" w:line="229" w:lineRule="auto"/>
        <w:ind w:left="641"/>
        <w:rPr>
          <w:rFonts w:ascii="楷体" w:hAnsi="楷体" w:eastAsia="楷体" w:cs="楷体"/>
          <w:sz w:val="32"/>
          <w:szCs w:val="32"/>
        </w:rPr>
      </w:pPr>
      <w:r>
        <w:rPr>
          <w:rFonts w:ascii="楷体" w:hAnsi="楷体" w:eastAsia="楷体" w:cs="楷体"/>
          <w:spacing w:val="8"/>
          <w:sz w:val="32"/>
          <w:szCs w:val="32"/>
          <w14:textOutline w14:w="5793" w14:cap="sq" w14:cmpd="sng">
            <w14:solidFill>
              <w14:srgbClr w14:val="000000"/>
            </w14:solidFill>
            <w14:prstDash w14:val="solid"/>
            <w14:bevel/>
          </w14:textOutline>
        </w:rPr>
        <w:t>（三）事故应急救援联系方式</w:t>
      </w:r>
    </w:p>
    <w:p w14:paraId="47EE6BFB">
      <w:pPr>
        <w:pStyle w:val="2"/>
        <w:spacing w:before="175" w:line="559" w:lineRule="exact"/>
        <w:jc w:val="right"/>
        <w:rPr>
          <w:rFonts w:hint="eastAsia" w:ascii="仿宋_GB2312" w:hAnsi="仿宋_GB2312" w:eastAsia="仿宋_GB2312" w:cs="仿宋_GB2312"/>
          <w:sz w:val="32"/>
          <w:szCs w:val="32"/>
        </w:rPr>
      </w:pPr>
      <w:r>
        <w:rPr>
          <w:rFonts w:hint="eastAsia" w:ascii="仿宋_GB2312" w:hAnsi="仿宋_GB2312" w:eastAsia="仿宋_GB2312" w:cs="仿宋_GB2312"/>
          <w:spacing w:val="1"/>
          <w:position w:val="17"/>
          <w:sz w:val="32"/>
          <w:szCs w:val="32"/>
        </w:rPr>
        <w:t>区市场监管局：0562-2213991、18056204321、1</w:t>
      </w:r>
      <w:r>
        <w:rPr>
          <w:rFonts w:hint="eastAsia" w:ascii="仿宋_GB2312" w:hAnsi="仿宋_GB2312" w:eastAsia="仿宋_GB2312" w:cs="仿宋_GB2312"/>
          <w:position w:val="17"/>
          <w:sz w:val="32"/>
          <w:szCs w:val="32"/>
        </w:rPr>
        <w:t>8956285566</w:t>
      </w:r>
    </w:p>
    <w:p w14:paraId="1C077D62">
      <w:pPr>
        <w:pStyle w:val="2"/>
        <w:spacing w:line="226" w:lineRule="auto"/>
        <w:ind w:left="629"/>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（若有调整再另行通知</w:t>
      </w:r>
      <w:r>
        <w:rPr>
          <w:rFonts w:hint="eastAsia" w:ascii="仿宋_GB2312" w:hAnsi="仿宋_GB2312" w:eastAsia="仿宋_GB2312" w:cs="仿宋_GB2312"/>
          <w:spacing w:val="1"/>
          <w:sz w:val="32"/>
          <w:szCs w:val="32"/>
        </w:rPr>
        <w:t>）；</w:t>
      </w:r>
    </w:p>
    <w:p w14:paraId="43EED884">
      <w:pPr>
        <w:pStyle w:val="2"/>
        <w:spacing w:before="181" w:line="228" w:lineRule="auto"/>
        <w:ind w:left="652"/>
        <w:rPr>
          <w:rFonts w:hint="eastAsia" w:ascii="仿宋_GB2312" w:hAnsi="仿宋_GB2312" w:eastAsia="仿宋_GB2312" w:cs="仿宋_GB2312"/>
          <w:sz w:val="32"/>
          <w:szCs w:val="32"/>
        </w:rPr>
      </w:pPr>
      <w:r>
        <w:rPr>
          <w:rFonts w:hint="eastAsia" w:ascii="仿宋_GB2312" w:hAnsi="仿宋_GB2312" w:eastAsia="仿宋_GB2312" w:cs="仿宋_GB2312"/>
          <w:spacing w:val="3"/>
          <w:sz w:val="32"/>
          <w:szCs w:val="32"/>
        </w:rPr>
        <w:t>区应急管理局：6863398；</w:t>
      </w:r>
    </w:p>
    <w:p w14:paraId="7C205883">
      <w:pPr>
        <w:pStyle w:val="2"/>
        <w:spacing w:before="176" w:line="229" w:lineRule="auto"/>
        <w:ind w:left="652"/>
        <w:rPr>
          <w:rFonts w:hint="eastAsia" w:ascii="仿宋_GB2312" w:hAnsi="仿宋_GB2312" w:eastAsia="仿宋_GB2312" w:cs="仿宋_GB2312"/>
          <w:sz w:val="32"/>
          <w:szCs w:val="32"/>
        </w:rPr>
      </w:pPr>
      <w:r>
        <w:rPr>
          <w:rFonts w:hint="eastAsia" w:ascii="仿宋_GB2312" w:hAnsi="仿宋_GB2312" w:eastAsia="仿宋_GB2312" w:cs="仿宋_GB2312"/>
          <w:spacing w:val="2"/>
          <w:sz w:val="32"/>
          <w:szCs w:val="32"/>
        </w:rPr>
        <w:t>区政府办：6861612。</w:t>
      </w:r>
    </w:p>
    <w:p w14:paraId="413C2313">
      <w:pPr>
        <w:spacing w:before="176" w:line="232" w:lineRule="auto"/>
        <w:ind w:left="641"/>
        <w:rPr>
          <w:rFonts w:ascii="楷体" w:hAnsi="楷体" w:eastAsia="楷体" w:cs="楷体"/>
          <w:sz w:val="32"/>
          <w:szCs w:val="32"/>
        </w:rPr>
      </w:pPr>
      <w:r>
        <w:rPr>
          <w:rFonts w:ascii="楷体" w:hAnsi="楷体" w:eastAsia="楷体" w:cs="楷体"/>
          <w:spacing w:val="6"/>
          <w:sz w:val="32"/>
          <w:szCs w:val="32"/>
          <w14:textOutline w14:w="5793" w14:cap="sq" w14:cmpd="sng">
            <w14:solidFill>
              <w14:srgbClr w14:val="000000"/>
            </w14:solidFill>
            <w14:prstDash w14:val="solid"/>
            <w14:bevel/>
          </w14:textOutline>
        </w:rPr>
        <w:t>（四）预案实施时间</w:t>
      </w:r>
    </w:p>
    <w:p w14:paraId="623D0CC0">
      <w:pPr>
        <w:pStyle w:val="2"/>
        <w:spacing w:before="172" w:line="227" w:lineRule="auto"/>
        <w:ind w:left="625"/>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本预案自印发之日起实施。</w:t>
      </w:r>
    </w:p>
    <w:p w14:paraId="68B72ED0">
      <w:pPr>
        <w:spacing w:line="337" w:lineRule="auto"/>
        <w:rPr>
          <w:rFonts w:ascii="Arial"/>
          <w:sz w:val="21"/>
        </w:rPr>
      </w:pPr>
    </w:p>
    <w:p w14:paraId="69109FBB">
      <w:pPr>
        <w:spacing w:line="338" w:lineRule="auto"/>
        <w:rPr>
          <w:rFonts w:ascii="Arial"/>
          <w:sz w:val="21"/>
        </w:rPr>
      </w:pPr>
    </w:p>
    <w:p w14:paraId="71A555DF">
      <w:pPr>
        <w:pStyle w:val="2"/>
        <w:spacing w:before="101" w:line="226" w:lineRule="auto"/>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附件：特种设备事故分级标准</w:t>
      </w:r>
    </w:p>
    <w:p w14:paraId="67349B11">
      <w:pPr>
        <w:spacing w:line="226" w:lineRule="auto"/>
        <w:sectPr>
          <w:footerReference r:id="rId9" w:type="default"/>
          <w:pgSz w:w="11906" w:h="16839"/>
          <w:pgMar w:top="1066" w:right="1587" w:bottom="1066" w:left="1623" w:header="0" w:footer="1148" w:gutter="0"/>
          <w:cols w:space="720" w:num="1"/>
        </w:sectPr>
      </w:pPr>
    </w:p>
    <w:p w14:paraId="663FDBBC">
      <w:pPr>
        <w:spacing w:line="316" w:lineRule="auto"/>
        <w:rPr>
          <w:rFonts w:ascii="Arial"/>
          <w:sz w:val="21"/>
        </w:rPr>
      </w:pPr>
    </w:p>
    <w:p w14:paraId="56B15CC5">
      <w:pPr>
        <w:pStyle w:val="2"/>
        <w:keepNext w:val="0"/>
        <w:keepLines w:val="0"/>
        <w:pageBreakBefore w:val="0"/>
        <w:widowControl/>
        <w:kinsoku w:val="0"/>
        <w:wordWrap/>
        <w:overflowPunct/>
        <w:topLinePunct w:val="0"/>
        <w:autoSpaceDE w:val="0"/>
        <w:autoSpaceDN w:val="0"/>
        <w:bidi w:val="0"/>
        <w:adjustRightInd w:val="0"/>
        <w:snapToGrid w:val="0"/>
        <w:spacing w:before="101" w:line="341" w:lineRule="auto"/>
        <w:ind w:left="8" w:firstLine="684"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1"/>
          <w:sz w:val="32"/>
          <w:szCs w:val="32"/>
        </w:rPr>
        <w:t>1.特别重大事故(Ⅰ级）。是指造成30人以上死亡，或者</w:t>
      </w:r>
      <w:r>
        <w:rPr>
          <w:rFonts w:hint="eastAsia" w:ascii="仿宋_GB2312" w:hAnsi="仿宋_GB2312" w:eastAsia="仿宋_GB2312" w:cs="仿宋_GB2312"/>
          <w:spacing w:val="1"/>
          <w:sz w:val="32"/>
          <w:szCs w:val="32"/>
        </w:rPr>
        <w:t>100人以上重伤（包括急性工业中毒，下同</w:t>
      </w:r>
      <w:r>
        <w:rPr>
          <w:rFonts w:hint="eastAsia" w:ascii="仿宋_GB2312" w:hAnsi="仿宋_GB2312" w:eastAsia="仿宋_GB2312" w:cs="仿宋_GB2312"/>
          <w:spacing w:val="-8"/>
          <w:sz w:val="32"/>
          <w:szCs w:val="32"/>
        </w:rPr>
        <w:t>），</w:t>
      </w:r>
      <w:r>
        <w:rPr>
          <w:rFonts w:hint="eastAsia" w:ascii="仿宋_GB2312" w:hAnsi="仿宋_GB2312" w:eastAsia="仿宋_GB2312" w:cs="仿宋_GB2312"/>
          <w:spacing w:val="1"/>
          <w:sz w:val="32"/>
          <w:szCs w:val="32"/>
        </w:rPr>
        <w:t>或者1亿元以上</w:t>
      </w:r>
      <w:r>
        <w:rPr>
          <w:rFonts w:hint="eastAsia" w:ascii="仿宋_GB2312" w:hAnsi="仿宋_GB2312" w:eastAsia="仿宋_GB2312" w:cs="仿宋_GB2312"/>
          <w:spacing w:val="4"/>
          <w:sz w:val="32"/>
          <w:szCs w:val="32"/>
        </w:rPr>
        <w:t>直接经济损失的，以及可能造成上述严重后果的特种设备事故；</w:t>
      </w:r>
      <w:r>
        <w:rPr>
          <w:rFonts w:hint="eastAsia" w:ascii="仿宋_GB2312" w:hAnsi="仿宋_GB2312" w:eastAsia="仿宋_GB2312" w:cs="仿宋_GB2312"/>
          <w:spacing w:val="-5"/>
          <w:sz w:val="32"/>
          <w:szCs w:val="32"/>
        </w:rPr>
        <w:t>600兆瓦以上锅炉爆炸事故；压力容器、压力管道有毒介质泄漏，</w:t>
      </w:r>
      <w:r>
        <w:rPr>
          <w:rFonts w:hint="eastAsia" w:ascii="仿宋_GB2312" w:hAnsi="仿宋_GB2312" w:eastAsia="仿宋_GB2312" w:cs="仿宋_GB2312"/>
          <w:spacing w:val="2"/>
          <w:sz w:val="32"/>
          <w:szCs w:val="32"/>
        </w:rPr>
        <w:t>造成15万人以上转移；大型游乐设施高空滞留10</w:t>
      </w:r>
      <w:r>
        <w:rPr>
          <w:rFonts w:hint="eastAsia" w:ascii="仿宋_GB2312" w:hAnsi="仿宋_GB2312" w:eastAsia="仿宋_GB2312" w:cs="仿宋_GB2312"/>
          <w:spacing w:val="1"/>
          <w:sz w:val="32"/>
          <w:szCs w:val="32"/>
        </w:rPr>
        <w:t>0人以上并且</w:t>
      </w:r>
      <w:r>
        <w:rPr>
          <w:rFonts w:hint="eastAsia" w:ascii="仿宋_GB2312" w:hAnsi="仿宋_GB2312" w:eastAsia="仿宋_GB2312" w:cs="仿宋_GB2312"/>
          <w:spacing w:val="4"/>
          <w:sz w:val="32"/>
          <w:szCs w:val="32"/>
        </w:rPr>
        <w:t>时间在48小时以上的特种设备事故。</w:t>
      </w:r>
    </w:p>
    <w:p w14:paraId="1431828C">
      <w:pPr>
        <w:pStyle w:val="2"/>
        <w:keepNext w:val="0"/>
        <w:keepLines w:val="0"/>
        <w:pageBreakBefore w:val="0"/>
        <w:widowControl/>
        <w:kinsoku w:val="0"/>
        <w:wordWrap/>
        <w:overflowPunct/>
        <w:topLinePunct w:val="0"/>
        <w:autoSpaceDE w:val="0"/>
        <w:autoSpaceDN w:val="0"/>
        <w:bidi w:val="0"/>
        <w:adjustRightInd w:val="0"/>
        <w:snapToGrid w:val="0"/>
        <w:spacing w:before="186" w:line="341" w:lineRule="auto"/>
        <w:ind w:left="15" w:firstLine="664"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6"/>
          <w:sz w:val="32"/>
          <w:szCs w:val="32"/>
        </w:rPr>
        <w:t>2.重大事故(Ⅱ级）。是指造成10人以上30人以下死亡，</w:t>
      </w:r>
      <w:r>
        <w:rPr>
          <w:rFonts w:hint="eastAsia" w:ascii="仿宋_GB2312" w:hAnsi="仿宋_GB2312" w:eastAsia="仿宋_GB2312" w:cs="仿宋_GB2312"/>
          <w:spacing w:val="2"/>
          <w:sz w:val="32"/>
          <w:szCs w:val="32"/>
        </w:rPr>
        <w:t>或者50人以上100人以下重伤，或者5000万元以上1亿元以</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pacing w:val="10"/>
          <w:sz w:val="32"/>
          <w:szCs w:val="32"/>
        </w:rPr>
        <w:t>下直接经济损失的，以及可能造成上述严重后果的特种设备事</w:t>
      </w:r>
      <w:r>
        <w:rPr>
          <w:rFonts w:hint="eastAsia" w:ascii="仿宋_GB2312" w:hAnsi="仿宋_GB2312" w:eastAsia="仿宋_GB2312" w:cs="仿宋_GB2312"/>
          <w:spacing w:val="1"/>
          <w:sz w:val="32"/>
          <w:szCs w:val="32"/>
        </w:rPr>
        <w:t>故；600</w:t>
      </w:r>
      <w:r>
        <w:rPr>
          <w:rFonts w:hint="eastAsia" w:ascii="仿宋_GB2312" w:hAnsi="仿宋_GB2312" w:eastAsia="仿宋_GB2312" w:cs="仿宋_GB2312"/>
          <w:spacing w:val="38"/>
          <w:w w:val="101"/>
          <w:sz w:val="32"/>
          <w:szCs w:val="32"/>
        </w:rPr>
        <w:t xml:space="preserve"> </w:t>
      </w:r>
      <w:r>
        <w:rPr>
          <w:rFonts w:hint="eastAsia" w:ascii="仿宋_GB2312" w:hAnsi="仿宋_GB2312" w:eastAsia="仿宋_GB2312" w:cs="仿宋_GB2312"/>
          <w:spacing w:val="1"/>
          <w:sz w:val="32"/>
          <w:szCs w:val="32"/>
        </w:rPr>
        <w:t>兆瓦以上锅炉因安全故障中断运行240小时以上；压力</w:t>
      </w:r>
      <w:r>
        <w:rPr>
          <w:rFonts w:hint="eastAsia" w:ascii="仿宋_GB2312" w:hAnsi="仿宋_GB2312" w:eastAsia="仿宋_GB2312" w:cs="仿宋_GB2312"/>
          <w:spacing w:val="2"/>
          <w:sz w:val="32"/>
          <w:szCs w:val="32"/>
        </w:rPr>
        <w:t>容器、压力管道有毒介质泄漏，造成5万人以上15万人以下转</w:t>
      </w:r>
      <w:r>
        <w:rPr>
          <w:rFonts w:hint="eastAsia" w:ascii="仿宋_GB2312" w:hAnsi="仿宋_GB2312" w:eastAsia="仿宋_GB2312" w:cs="仿宋_GB2312"/>
          <w:spacing w:val="3"/>
          <w:sz w:val="32"/>
          <w:szCs w:val="32"/>
        </w:rPr>
        <w:t>移；大型游乐设施高空滞留100人以上并</w:t>
      </w:r>
      <w:r>
        <w:rPr>
          <w:rFonts w:hint="eastAsia" w:ascii="仿宋_GB2312" w:hAnsi="仿宋_GB2312" w:eastAsia="仿宋_GB2312" w:cs="仿宋_GB2312"/>
          <w:spacing w:val="2"/>
          <w:sz w:val="32"/>
          <w:szCs w:val="32"/>
        </w:rPr>
        <w:t>且时间在24小时以上</w:t>
      </w:r>
      <w:r>
        <w:rPr>
          <w:rFonts w:hint="eastAsia" w:ascii="仿宋_GB2312" w:hAnsi="仿宋_GB2312" w:eastAsia="仿宋_GB2312" w:cs="仿宋_GB2312"/>
          <w:spacing w:val="7"/>
          <w:sz w:val="32"/>
          <w:szCs w:val="32"/>
        </w:rPr>
        <w:t>48小时以下的特种设备事故。</w:t>
      </w:r>
    </w:p>
    <w:p w14:paraId="756F24CE">
      <w:pPr>
        <w:pStyle w:val="2"/>
        <w:keepNext w:val="0"/>
        <w:keepLines w:val="0"/>
        <w:pageBreakBefore w:val="0"/>
        <w:widowControl/>
        <w:kinsoku w:val="0"/>
        <w:wordWrap/>
        <w:overflowPunct/>
        <w:topLinePunct w:val="0"/>
        <w:autoSpaceDE w:val="0"/>
        <w:autoSpaceDN w:val="0"/>
        <w:bidi w:val="0"/>
        <w:adjustRightInd w:val="0"/>
        <w:snapToGrid w:val="0"/>
        <w:spacing w:before="184" w:line="341" w:lineRule="auto"/>
        <w:ind w:left="15" w:right="21" w:firstLine="668"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7"/>
          <w:sz w:val="32"/>
          <w:szCs w:val="32"/>
        </w:rPr>
        <w:t>3</w:t>
      </w:r>
      <w:r>
        <w:rPr>
          <w:rFonts w:hint="eastAsia" w:ascii="仿宋_GB2312" w:hAnsi="仿宋_GB2312" w:eastAsia="仿宋_GB2312" w:cs="仿宋_GB2312"/>
          <w:spacing w:val="7"/>
          <w:sz w:val="32"/>
          <w:szCs w:val="32"/>
          <w:lang w:val="en-US" w:eastAsia="zh-CN"/>
        </w:rPr>
        <w:t>.</w:t>
      </w:r>
      <w:r>
        <w:rPr>
          <w:rFonts w:hint="eastAsia" w:ascii="仿宋_GB2312" w:hAnsi="仿宋_GB2312" w:eastAsia="仿宋_GB2312" w:cs="仿宋_GB2312"/>
          <w:spacing w:val="7"/>
          <w:sz w:val="32"/>
          <w:szCs w:val="32"/>
        </w:rPr>
        <w:t>较大事故(Ⅲ级）。是指造成3人以上10人以下死亡，</w:t>
      </w:r>
      <w:r>
        <w:rPr>
          <w:rFonts w:hint="eastAsia" w:ascii="仿宋_GB2312" w:hAnsi="仿宋_GB2312" w:eastAsia="仿宋_GB2312" w:cs="仿宋_GB2312"/>
          <w:spacing w:val="2"/>
          <w:sz w:val="32"/>
          <w:szCs w:val="32"/>
        </w:rPr>
        <w:t>或者10人以上50人以下重伤，或者1000万元以上5000万元</w:t>
      </w:r>
      <w:r>
        <w:rPr>
          <w:rFonts w:hint="eastAsia" w:ascii="仿宋_GB2312" w:hAnsi="仿宋_GB2312" w:eastAsia="仿宋_GB2312" w:cs="仿宋_GB2312"/>
          <w:spacing w:val="10"/>
          <w:sz w:val="32"/>
          <w:szCs w:val="32"/>
        </w:rPr>
        <w:t>以下直接经济损失的，</w:t>
      </w:r>
      <w:r>
        <w:rPr>
          <w:rFonts w:hint="eastAsia" w:ascii="仿宋_GB2312" w:hAnsi="仿宋_GB2312" w:eastAsia="仿宋_GB2312" w:cs="仿宋_GB2312"/>
          <w:spacing w:val="-89"/>
          <w:sz w:val="32"/>
          <w:szCs w:val="32"/>
        </w:rPr>
        <w:t xml:space="preserve"> </w:t>
      </w:r>
      <w:r>
        <w:rPr>
          <w:rFonts w:hint="eastAsia" w:ascii="仿宋_GB2312" w:hAnsi="仿宋_GB2312" w:eastAsia="仿宋_GB2312" w:cs="仿宋_GB2312"/>
          <w:spacing w:val="10"/>
          <w:sz w:val="32"/>
          <w:szCs w:val="32"/>
        </w:rPr>
        <w:t>以及可能造成上述严重后果的特种设备</w:t>
      </w:r>
      <w:r>
        <w:rPr>
          <w:rFonts w:hint="eastAsia" w:ascii="仿宋_GB2312" w:hAnsi="仿宋_GB2312" w:eastAsia="仿宋_GB2312" w:cs="仿宋_GB2312"/>
          <w:spacing w:val="12"/>
          <w:sz w:val="32"/>
          <w:szCs w:val="32"/>
        </w:rPr>
        <w:t>事故；锅炉、压力容器、压力管道爆炸事故；压力容器、压力</w:t>
      </w:r>
      <w:r>
        <w:rPr>
          <w:rFonts w:hint="eastAsia" w:ascii="仿宋_GB2312" w:hAnsi="仿宋_GB2312" w:eastAsia="仿宋_GB2312" w:cs="仿宋_GB2312"/>
          <w:spacing w:val="8"/>
          <w:sz w:val="32"/>
          <w:szCs w:val="32"/>
        </w:rPr>
        <w:t>管道有毒介质泄漏，造成1万人以上5万人以下</w:t>
      </w:r>
      <w:r>
        <w:rPr>
          <w:rFonts w:hint="eastAsia" w:ascii="仿宋_GB2312" w:hAnsi="仿宋_GB2312" w:eastAsia="仿宋_GB2312" w:cs="仿宋_GB2312"/>
          <w:spacing w:val="7"/>
          <w:sz w:val="32"/>
          <w:szCs w:val="32"/>
        </w:rPr>
        <w:t>转移；起重机</w:t>
      </w:r>
      <w:r>
        <w:rPr>
          <w:rFonts w:hint="eastAsia" w:ascii="仿宋_GB2312" w:hAnsi="仿宋_GB2312" w:eastAsia="仿宋_GB2312" w:cs="仿宋_GB2312"/>
          <w:spacing w:val="4"/>
          <w:sz w:val="32"/>
          <w:szCs w:val="32"/>
        </w:rPr>
        <w:t>械整体倾覆；大型游乐设施高空滞留人员12小时以上的特种设</w:t>
      </w:r>
      <w:r>
        <w:rPr>
          <w:rFonts w:hint="eastAsia" w:ascii="仿宋_GB2312" w:hAnsi="仿宋_GB2312" w:eastAsia="仿宋_GB2312" w:cs="仿宋_GB2312"/>
          <w:spacing w:val="1"/>
          <w:sz w:val="32"/>
          <w:szCs w:val="32"/>
        </w:rPr>
        <w:t>备事故。</w:t>
      </w:r>
    </w:p>
    <w:p w14:paraId="468AA0DA">
      <w:pPr>
        <w:pStyle w:val="2"/>
        <w:keepNext w:val="0"/>
        <w:keepLines w:val="0"/>
        <w:pageBreakBefore w:val="0"/>
        <w:widowControl/>
        <w:kinsoku w:val="0"/>
        <w:wordWrap/>
        <w:overflowPunct/>
        <w:topLinePunct w:val="0"/>
        <w:autoSpaceDE w:val="0"/>
        <w:autoSpaceDN w:val="0"/>
        <w:bidi w:val="0"/>
        <w:adjustRightInd w:val="0"/>
        <w:snapToGrid w:val="0"/>
        <w:spacing w:line="341" w:lineRule="auto"/>
        <w:ind w:left="0" w:firstLine="700" w:firstLineChars="200"/>
        <w:jc w:val="left"/>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pacing w:val="15"/>
          <w:sz w:val="32"/>
          <w:szCs w:val="32"/>
        </w:rPr>
        <w:t>4.一般事故(Ⅳ级）。是指造成3人以下死亡，或者10</w:t>
      </w:r>
      <w:r>
        <w:rPr>
          <w:rFonts w:hint="eastAsia" w:ascii="仿宋_GB2312" w:hAnsi="仿宋_GB2312" w:eastAsia="仿宋_GB2312" w:cs="仿宋_GB2312"/>
          <w:spacing w:val="1"/>
          <w:sz w:val="32"/>
          <w:szCs w:val="32"/>
        </w:rPr>
        <w:t>人以下重伤，或者1万元以上1000万元以下直接经济损失的特</w:t>
      </w:r>
      <w:r>
        <w:rPr>
          <w:rFonts w:hint="eastAsia" w:ascii="仿宋_GB2312" w:hAnsi="仿宋_GB2312" w:eastAsia="仿宋_GB2312" w:cs="仿宋_GB2312"/>
          <w:spacing w:val="10"/>
          <w:sz w:val="32"/>
          <w:szCs w:val="32"/>
        </w:rPr>
        <w:t>种设备事故；压力容器、压力管道有毒介质泄漏，造成500人</w:t>
      </w:r>
      <w:r>
        <w:rPr>
          <w:rFonts w:hint="eastAsia" w:ascii="仿宋_GB2312" w:hAnsi="仿宋_GB2312" w:eastAsia="仿宋_GB2312" w:cs="仿宋_GB2312"/>
          <w:spacing w:val="5"/>
          <w:sz w:val="32"/>
          <w:szCs w:val="32"/>
        </w:rPr>
        <w:t>以上1万人以下转移；电梯轿厢滞留人员2小时以上；起重机</w:t>
      </w:r>
      <w:r>
        <w:rPr>
          <w:rFonts w:hint="eastAsia" w:ascii="仿宋_GB2312" w:hAnsi="仿宋_GB2312" w:eastAsia="仿宋_GB2312" w:cs="仿宋_GB2312"/>
          <w:spacing w:val="12"/>
          <w:sz w:val="32"/>
          <w:szCs w:val="32"/>
        </w:rPr>
        <w:t>械主要受力结构件折断或者起升机构坠落；大型游乐设施高空</w:t>
      </w:r>
      <w:r>
        <w:rPr>
          <w:rFonts w:hint="eastAsia" w:ascii="仿宋_GB2312" w:hAnsi="仿宋_GB2312" w:eastAsia="仿宋_GB2312" w:cs="仿宋_GB2312"/>
          <w:spacing w:val="2"/>
          <w:sz w:val="32"/>
          <w:szCs w:val="32"/>
        </w:rPr>
        <w:t>滞留人员1小时以上12小时以下的特种设备事故。</w:t>
      </w:r>
    </w:p>
    <w:sectPr>
      <w:footerReference r:id="rId10" w:type="default"/>
      <w:pgSz w:w="11906" w:h="16839"/>
      <w:pgMar w:top="1049" w:right="1587" w:bottom="1049" w:left="1609" w:header="0" w:footer="114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22742">
    <w:pPr>
      <w:spacing w:before="1" w:line="176" w:lineRule="auto"/>
      <w:rPr>
        <w:rFonts w:ascii="宋体" w:hAnsi="宋体" w:eastAsia="宋体" w:cs="宋体"/>
        <w:sz w:val="28"/>
        <w:szCs w:val="28"/>
      </w:rPr>
    </w:pPr>
    <w:r>
      <w:rPr>
        <w:rFonts w:ascii="宋体" w:hAnsi="宋体" w:eastAsia="宋体" w:cs="宋体"/>
        <w:spacing w:val="-8"/>
        <w:sz w:val="28"/>
        <w:szCs w:val="28"/>
      </w:rPr>
      <w:t>-</w:t>
    </w:r>
    <w:r>
      <w:rPr>
        <w:rFonts w:ascii="宋体" w:hAnsi="宋体" w:eastAsia="宋体" w:cs="宋体"/>
        <w:spacing w:val="13"/>
        <w:sz w:val="28"/>
        <w:szCs w:val="28"/>
      </w:rPr>
      <w:t xml:space="preserve"> </w:t>
    </w:r>
    <w:r>
      <w:rPr>
        <w:rFonts w:ascii="宋体" w:hAnsi="宋体" w:eastAsia="宋体" w:cs="宋体"/>
        <w:spacing w:val="-8"/>
        <w:sz w:val="28"/>
        <w:szCs w:val="28"/>
      </w:rPr>
      <w:t>2</w:t>
    </w:r>
    <w:r>
      <w:rPr>
        <w:rFonts w:ascii="宋体" w:hAnsi="宋体" w:eastAsia="宋体" w:cs="宋体"/>
        <w:spacing w:val="9"/>
        <w:sz w:val="28"/>
        <w:szCs w:val="28"/>
      </w:rPr>
      <w:t xml:space="preserve"> </w:t>
    </w:r>
    <w:r>
      <w:rPr>
        <w:rFonts w:ascii="宋体" w:hAnsi="宋体" w:eastAsia="宋体" w:cs="宋体"/>
        <w:spacing w:val="-8"/>
        <w:sz w:val="28"/>
        <w:szCs w:val="28"/>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DE7571">
    <w:pPr>
      <w:spacing w:before="1" w:line="176" w:lineRule="auto"/>
      <w:ind w:left="8015"/>
      <w:rPr>
        <w:rFonts w:ascii="宋体" w:hAnsi="宋体" w:eastAsia="宋体" w:cs="宋体"/>
        <w:sz w:val="28"/>
        <w:szCs w:val="28"/>
      </w:rPr>
    </w:pPr>
    <w:r>
      <w:rPr>
        <w:rFonts w:ascii="宋体" w:hAnsi="宋体" w:eastAsia="宋体" w:cs="宋体"/>
        <w:spacing w:val="-9"/>
        <w:sz w:val="28"/>
        <w:szCs w:val="28"/>
      </w:rPr>
      <w:t>-</w:t>
    </w:r>
    <w:r>
      <w:rPr>
        <w:rFonts w:ascii="宋体" w:hAnsi="宋体" w:eastAsia="宋体" w:cs="宋体"/>
        <w:spacing w:val="18"/>
        <w:sz w:val="28"/>
        <w:szCs w:val="28"/>
      </w:rPr>
      <w:t xml:space="preserve"> </w:t>
    </w:r>
    <w:r>
      <w:rPr>
        <w:rFonts w:ascii="宋体" w:hAnsi="宋体" w:eastAsia="宋体" w:cs="宋体"/>
        <w:spacing w:val="-9"/>
        <w:sz w:val="28"/>
        <w:szCs w:val="28"/>
      </w:rPr>
      <w:t>3</w:t>
    </w:r>
    <w:r>
      <w:rPr>
        <w:rFonts w:ascii="宋体" w:hAnsi="宋体" w:eastAsia="宋体" w:cs="宋体"/>
        <w:spacing w:val="9"/>
        <w:sz w:val="28"/>
        <w:szCs w:val="28"/>
      </w:rPr>
      <w:t xml:space="preserve"> </w:t>
    </w:r>
    <w:r>
      <w:rPr>
        <w:rFonts w:ascii="宋体" w:hAnsi="宋体" w:eastAsia="宋体" w:cs="宋体"/>
        <w:spacing w:val="-9"/>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57B0CB">
    <w:pPr>
      <w:spacing w:before="1" w:line="176" w:lineRule="auto"/>
      <w:rPr>
        <w:rFonts w:ascii="宋体" w:hAnsi="宋体" w:eastAsia="宋体" w:cs="宋体"/>
        <w:sz w:val="28"/>
        <w:szCs w:val="28"/>
      </w:rPr>
    </w:pPr>
    <w:r>
      <w:rPr>
        <w:rFonts w:ascii="宋体" w:hAnsi="宋体" w:eastAsia="宋体" w:cs="宋体"/>
        <w:spacing w:val="-7"/>
        <w:sz w:val="28"/>
        <w:szCs w:val="28"/>
      </w:rPr>
      <w:t>-</w:t>
    </w:r>
    <w:r>
      <w:rPr>
        <w:rFonts w:ascii="宋体" w:hAnsi="宋体" w:eastAsia="宋体" w:cs="宋体"/>
        <w:spacing w:val="10"/>
        <w:sz w:val="28"/>
        <w:szCs w:val="28"/>
      </w:rPr>
      <w:t xml:space="preserve"> </w:t>
    </w:r>
    <w:r>
      <w:rPr>
        <w:rFonts w:ascii="宋体" w:hAnsi="宋体" w:eastAsia="宋体" w:cs="宋体"/>
        <w:spacing w:val="-7"/>
        <w:sz w:val="28"/>
        <w:szCs w:val="28"/>
      </w:rPr>
      <w:t>8</w:t>
    </w:r>
    <w:r>
      <w:rPr>
        <w:rFonts w:ascii="宋体" w:hAnsi="宋体" w:eastAsia="宋体" w:cs="宋体"/>
        <w:spacing w:val="9"/>
        <w:sz w:val="28"/>
        <w:szCs w:val="28"/>
      </w:rPr>
      <w:t xml:space="preserve"> </w:t>
    </w:r>
    <w:r>
      <w:rPr>
        <w:rFonts w:ascii="宋体" w:hAnsi="宋体" w:eastAsia="宋体" w:cs="宋体"/>
        <w:spacing w:val="-7"/>
        <w:sz w:val="28"/>
        <w:szCs w:val="28"/>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8F8DB">
    <w:pPr>
      <w:spacing w:line="177" w:lineRule="auto"/>
      <w:jc w:val="right"/>
      <w:rPr>
        <w:rFonts w:ascii="宋体" w:hAnsi="宋体" w:eastAsia="宋体" w:cs="宋体"/>
        <w:sz w:val="28"/>
        <w:szCs w:val="28"/>
      </w:rPr>
    </w:pPr>
    <w:r>
      <w:rPr>
        <w:rFonts w:ascii="宋体" w:hAnsi="宋体" w:eastAsia="宋体" w:cs="宋体"/>
        <w:spacing w:val="-13"/>
        <w:sz w:val="28"/>
        <w:szCs w:val="28"/>
      </w:rPr>
      <w:t>-</w:t>
    </w:r>
    <w:r>
      <w:rPr>
        <w:rFonts w:ascii="宋体" w:hAnsi="宋体" w:eastAsia="宋体" w:cs="宋体"/>
        <w:spacing w:val="32"/>
        <w:sz w:val="28"/>
        <w:szCs w:val="28"/>
      </w:rPr>
      <w:t xml:space="preserve"> </w:t>
    </w:r>
    <w:r>
      <w:rPr>
        <w:rFonts w:ascii="宋体" w:hAnsi="宋体" w:eastAsia="宋体" w:cs="宋体"/>
        <w:spacing w:val="-13"/>
        <w:sz w:val="28"/>
        <w:szCs w:val="28"/>
      </w:rPr>
      <w:t>1</w:t>
    </w:r>
    <w:r>
      <w:rPr>
        <w:rFonts w:ascii="宋体" w:hAnsi="宋体" w:eastAsia="宋体" w:cs="宋体"/>
        <w:spacing w:val="-12"/>
        <w:sz w:val="28"/>
        <w:szCs w:val="28"/>
      </w:rPr>
      <w:t>5</w:t>
    </w:r>
    <w:r>
      <w:rPr>
        <w:rFonts w:ascii="宋体" w:hAnsi="宋体" w:eastAsia="宋体" w:cs="宋体"/>
        <w:spacing w:val="7"/>
        <w:sz w:val="28"/>
        <w:szCs w:val="28"/>
      </w:rPr>
      <w:t xml:space="preserve"> </w:t>
    </w:r>
    <w:r>
      <w:rPr>
        <w:rFonts w:ascii="宋体" w:hAnsi="宋体" w:eastAsia="宋体" w:cs="宋体"/>
        <w:spacing w:val="-10"/>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B2B8C">
    <w:pPr>
      <w:spacing w:line="177" w:lineRule="auto"/>
      <w:jc w:val="right"/>
      <w:rPr>
        <w:rFonts w:ascii="宋体" w:hAnsi="宋体" w:eastAsia="宋体" w:cs="宋体"/>
        <w:sz w:val="28"/>
        <w:szCs w:val="28"/>
      </w:rPr>
    </w:pPr>
    <w:r>
      <w:rPr>
        <w:rFonts w:ascii="宋体" w:hAnsi="宋体" w:eastAsia="宋体" w:cs="宋体"/>
        <w:spacing w:val="-13"/>
        <w:sz w:val="28"/>
        <w:szCs w:val="28"/>
      </w:rPr>
      <w:t>-</w:t>
    </w:r>
    <w:r>
      <w:rPr>
        <w:rFonts w:ascii="宋体" w:hAnsi="宋体" w:eastAsia="宋体" w:cs="宋体"/>
        <w:spacing w:val="32"/>
        <w:sz w:val="28"/>
        <w:szCs w:val="28"/>
      </w:rPr>
      <w:t xml:space="preserve"> </w:t>
    </w:r>
    <w:r>
      <w:rPr>
        <w:rFonts w:ascii="宋体" w:hAnsi="宋体" w:eastAsia="宋体" w:cs="宋体"/>
        <w:spacing w:val="-13"/>
        <w:sz w:val="28"/>
        <w:szCs w:val="28"/>
      </w:rPr>
      <w:t>1</w:t>
    </w:r>
    <w:r>
      <w:rPr>
        <w:rFonts w:ascii="宋体" w:hAnsi="宋体" w:eastAsia="宋体" w:cs="宋体"/>
        <w:spacing w:val="-12"/>
        <w:sz w:val="28"/>
        <w:szCs w:val="28"/>
      </w:rPr>
      <w:t>7</w:t>
    </w:r>
    <w:r>
      <w:rPr>
        <w:rFonts w:ascii="宋体" w:hAnsi="宋体" w:eastAsia="宋体" w:cs="宋体"/>
        <w:spacing w:val="7"/>
        <w:sz w:val="28"/>
        <w:szCs w:val="28"/>
      </w:rPr>
      <w:t xml:space="preserve"> </w:t>
    </w:r>
    <w:r>
      <w:rPr>
        <w:rFonts w:ascii="宋体" w:hAnsi="宋体" w:eastAsia="宋体" w:cs="宋体"/>
        <w:spacing w:val="-10"/>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82F3B">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C826CFE"/>
    <w:multiLevelType w:val="singleLevel"/>
    <w:tmpl w:val="DC826CFE"/>
    <w:lvl w:ilvl="0" w:tentative="0">
      <w:start w:val="5"/>
      <w:numFmt w:val="chineseCounting"/>
      <w:suff w:val="nothing"/>
      <w:lvlText w:val="%1、"/>
      <w:lvlJc w:val="left"/>
      <w:rPr>
        <w:rFonts w:hint="eastAsia"/>
      </w:rPr>
    </w:lvl>
  </w:abstractNum>
  <w:abstractNum w:abstractNumId="1">
    <w:nsid w:val="E32F2964"/>
    <w:multiLevelType w:val="singleLevel"/>
    <w:tmpl w:val="E32F2964"/>
    <w:lvl w:ilvl="0" w:tentative="0">
      <w:start w:val="1"/>
      <w:numFmt w:val="chineseCounting"/>
      <w:suff w:val="nothing"/>
      <w:lvlText w:val="（%1）"/>
      <w:lvlJc w:val="left"/>
      <w:rPr>
        <w:rFonts w:hint="eastAsia"/>
      </w:rPr>
    </w:lvl>
  </w:abstractNum>
  <w:abstractNum w:abstractNumId="2">
    <w:nsid w:val="043F0709"/>
    <w:multiLevelType w:val="singleLevel"/>
    <w:tmpl w:val="043F0709"/>
    <w:lvl w:ilvl="0" w:tentative="0">
      <w:start w:val="1"/>
      <w:numFmt w:val="chineseCounting"/>
      <w:suff w:val="nothing"/>
      <w:lvlText w:val="（%1）"/>
      <w:lvlJc w:val="left"/>
      <w:rPr>
        <w:rFonts w:hint="eastAsia"/>
      </w:rPr>
    </w:lvl>
  </w:abstractNum>
  <w:abstractNum w:abstractNumId="3">
    <w:nsid w:val="102237EF"/>
    <w:multiLevelType w:val="singleLevel"/>
    <w:tmpl w:val="102237EF"/>
    <w:lvl w:ilvl="0" w:tentative="0">
      <w:start w:val="1"/>
      <w:numFmt w:val="chineseCounting"/>
      <w:suff w:val="nothing"/>
      <w:lvlText w:val="%1、"/>
      <w:lvlJc w:val="left"/>
      <w:pPr>
        <w:ind w:left="-126"/>
      </w:pPr>
      <w:rPr>
        <w:rFonts w:hint="eastAsia"/>
      </w:rPr>
    </w:lvl>
  </w:abstractNum>
  <w:abstractNum w:abstractNumId="4">
    <w:nsid w:val="32F9E91D"/>
    <w:multiLevelType w:val="singleLevel"/>
    <w:tmpl w:val="32F9E91D"/>
    <w:lvl w:ilvl="0" w:tentative="0">
      <w:start w:val="1"/>
      <w:numFmt w:val="chineseCounting"/>
      <w:suff w:val="nothing"/>
      <w:lvlText w:val="（%1）"/>
      <w:lvlJc w:val="left"/>
      <w:rPr>
        <w:rFonts w:hint="eastAsia"/>
      </w:rPr>
    </w:lvl>
  </w:abstractNum>
  <w:abstractNum w:abstractNumId="5">
    <w:nsid w:val="3875B9DF"/>
    <w:multiLevelType w:val="singleLevel"/>
    <w:tmpl w:val="3875B9DF"/>
    <w:lvl w:ilvl="0" w:tentative="0">
      <w:start w:val="2"/>
      <w:numFmt w:val="chineseCounting"/>
      <w:suff w:val="nothing"/>
      <w:lvlText w:val="（%1）"/>
      <w:lvlJc w:val="left"/>
      <w:rPr>
        <w:rFonts w:hint="eastAsia"/>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GYzNDUwNDMzZmZhMTMwOGVmNGI5MmRlYTEyNjMxODQifQ=="/>
  </w:docVars>
  <w:rsids>
    <w:rsidRoot w:val="00000000"/>
    <w:rsid w:val="289F5E41"/>
    <w:rsid w:val="2ABB0BA6"/>
    <w:rsid w:val="2DAF3E40"/>
    <w:rsid w:val="462521AF"/>
    <w:rsid w:val="6B540DF4"/>
    <w:rsid w:val="757358FC"/>
    <w:rsid w:val="7BA9324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仿宋" w:hAnsi="仿宋" w:eastAsia="仿宋" w:cs="仿宋"/>
      <w:sz w:val="31"/>
      <w:szCs w:val="31"/>
      <w:lang w:val="en-US" w:eastAsia="en-US" w:bidi="ar-SA"/>
    </w:rPr>
  </w:style>
  <w:style w:type="table" w:customStyle="1" w:styleId="5">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18</Pages>
  <Words>6837</Words>
  <Characters>6969</Characters>
  <TotalTime>26</TotalTime>
  <ScaleCrop>false</ScaleCrop>
  <LinksUpToDate>false</LinksUpToDate>
  <CharactersWithSpaces>7001</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2024-04-02T01:43:00Z</dcterms:created>
  <dc:creator>Administrator</dc:creator>
  <cp:lastModifiedBy>ZL</cp:lastModifiedBy>
  <dcterms:modified xsi:type="dcterms:W3CDTF">2025-07-09T07:29:39Z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2024-04-02T09:43:08Z</vt:filetime>
  </property>
  <property fmtid="{D5CDD505-2E9C-101B-9397-08002B2CF9AE}" pid="4" name="KSOProductBuildVer">
    <vt:lpwstr>2052-12.1.0.20305</vt:lpwstr>
  </property>
  <property fmtid="{D5CDD505-2E9C-101B-9397-08002B2CF9AE}" pid="5" name="ICV">
    <vt:lpwstr>1588B62B881A47C0B91C0080E2D0ED6D_12</vt:lpwstr>
  </property>
  <property fmtid="{D5CDD505-2E9C-101B-9397-08002B2CF9AE}" pid="6" name="KSOTemplateDocerSaveRecord">
    <vt:lpwstr>eyJoZGlkIjoiMGYzNDUwNDMzZmZhMTMwOGVmNGI5MmRlYTEyNjMxODQiLCJ1c2VySWQiOiI1NjQyNzQ5OTUifQ==</vt:lpwstr>
  </property>
</Properties>
</file>