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6B318">
      <w:pPr>
        <w:pStyle w:val="19"/>
        <w:keepNext w:val="0"/>
        <w:keepLines w:val="0"/>
        <w:pageBreakBefore w:val="0"/>
        <w:widowControl w:val="0"/>
        <w:kinsoku/>
        <w:wordWrap/>
        <w:overflowPunct/>
        <w:topLinePunct w:val="0"/>
        <w:bidi w:val="0"/>
        <w:adjustRightInd/>
        <w:snapToGrid/>
        <w:spacing w:line="640" w:lineRule="exact"/>
        <w:ind w:firstLine="0" w:firstLineChars="0"/>
        <w:textAlignment w:val="auto"/>
        <w:rPr>
          <w:rFonts w:hint="default" w:ascii="Times New Roman" w:hAnsi="Times New Roman" w:eastAsia="宋体" w:cs="Times New Roman"/>
          <w:color w:val="auto"/>
          <w:lang w:val="en-US" w:eastAsia="zh-CN"/>
        </w:rPr>
      </w:pPr>
    </w:p>
    <w:p w14:paraId="435D94B5">
      <w:pPr>
        <w:pStyle w:val="19"/>
        <w:keepNext w:val="0"/>
        <w:keepLines w:val="0"/>
        <w:pageBreakBefore w:val="0"/>
        <w:widowControl w:val="0"/>
        <w:kinsoku/>
        <w:wordWrap/>
        <w:overflowPunct/>
        <w:topLinePunct w:val="0"/>
        <w:bidi w:val="0"/>
        <w:adjustRightInd/>
        <w:snapToGrid/>
        <w:spacing w:line="640" w:lineRule="exact"/>
        <w:ind w:firstLine="0" w:firstLineChars="0"/>
        <w:textAlignment w:val="auto"/>
        <w:rPr>
          <w:rFonts w:hint="default" w:ascii="Times New Roman" w:hAnsi="Times New Roman" w:cs="Times New Roman"/>
          <w:color w:val="auto"/>
        </w:rPr>
      </w:pPr>
    </w:p>
    <w:p w14:paraId="6176777A">
      <w:pPr>
        <w:pStyle w:val="19"/>
        <w:keepNext w:val="0"/>
        <w:keepLines w:val="0"/>
        <w:pageBreakBefore w:val="0"/>
        <w:widowControl w:val="0"/>
        <w:kinsoku/>
        <w:wordWrap/>
        <w:overflowPunct/>
        <w:topLinePunct w:val="0"/>
        <w:bidi w:val="0"/>
        <w:adjustRightInd/>
        <w:snapToGrid/>
        <w:spacing w:line="640" w:lineRule="exact"/>
        <w:ind w:firstLine="0" w:firstLineChars="0"/>
        <w:textAlignment w:val="auto"/>
        <w:rPr>
          <w:rFonts w:hint="default" w:ascii="Times New Roman" w:hAnsi="Times New Roman" w:cs="Times New Roman"/>
          <w:color w:val="auto"/>
        </w:rPr>
      </w:pPr>
    </w:p>
    <w:p w14:paraId="73BBE5E6">
      <w:pPr>
        <w:pStyle w:val="19"/>
        <w:keepNext w:val="0"/>
        <w:keepLines w:val="0"/>
        <w:pageBreakBefore w:val="0"/>
        <w:widowControl w:val="0"/>
        <w:kinsoku/>
        <w:wordWrap/>
        <w:overflowPunct/>
        <w:topLinePunct w:val="0"/>
        <w:bidi w:val="0"/>
        <w:adjustRightInd/>
        <w:snapToGrid/>
        <w:spacing w:line="640" w:lineRule="exact"/>
        <w:ind w:firstLine="0" w:firstLineChars="0"/>
        <w:textAlignment w:val="auto"/>
        <w:rPr>
          <w:rFonts w:hint="default" w:ascii="Times New Roman" w:hAnsi="Times New Roman" w:cs="Times New Roman"/>
          <w:color w:val="auto"/>
        </w:rPr>
      </w:pPr>
    </w:p>
    <w:p w14:paraId="485D2353">
      <w:pPr>
        <w:pStyle w:val="19"/>
        <w:keepNext w:val="0"/>
        <w:keepLines w:val="0"/>
        <w:pageBreakBefore w:val="0"/>
        <w:widowControl w:val="0"/>
        <w:kinsoku/>
        <w:wordWrap/>
        <w:overflowPunct/>
        <w:topLinePunct w:val="0"/>
        <w:bidi w:val="0"/>
        <w:adjustRightInd/>
        <w:snapToGrid/>
        <w:spacing w:line="640" w:lineRule="exact"/>
        <w:ind w:firstLine="0" w:firstLineChars="0"/>
        <w:textAlignment w:val="auto"/>
        <w:rPr>
          <w:rFonts w:hint="default" w:ascii="Times New Roman" w:hAnsi="Times New Roman" w:cs="Times New Roman"/>
          <w:color w:val="auto"/>
        </w:rPr>
      </w:pPr>
    </w:p>
    <w:p w14:paraId="2830BAC7">
      <w:pPr>
        <w:keepNext w:val="0"/>
        <w:keepLines w:val="0"/>
        <w:pageBreakBefore w:val="0"/>
        <w:widowControl w:val="0"/>
        <w:kinsoku/>
        <w:wordWrap/>
        <w:overflowPunct/>
        <w:topLinePunct w:val="0"/>
        <w:bidi w:val="0"/>
        <w:adjustRightInd/>
        <w:snapToGrid/>
        <w:spacing w:line="640" w:lineRule="exact"/>
        <w:jc w:val="both"/>
        <w:textAlignment w:val="auto"/>
        <w:rPr>
          <w:rFonts w:hint="default" w:ascii="Times New Roman" w:hAnsi="Times New Roman" w:eastAsia="方正小标宋简体" w:cs="Times New Roman"/>
          <w:bCs/>
          <w:color w:val="auto"/>
          <w:spacing w:val="16"/>
          <w:kern w:val="2"/>
          <w:sz w:val="44"/>
          <w:szCs w:val="44"/>
          <w:lang w:val="en-US" w:eastAsia="zh-CN"/>
        </w:rPr>
      </w:pPr>
    </w:p>
    <w:p w14:paraId="382D3CC8">
      <w:pPr>
        <w:pStyle w:val="19"/>
        <w:keepNext w:val="0"/>
        <w:keepLines w:val="0"/>
        <w:pageBreakBefore w:val="0"/>
        <w:kinsoku/>
        <w:wordWrap/>
        <w:topLinePunct w:val="0"/>
        <w:autoSpaceDE/>
        <w:autoSpaceDN/>
        <w:bidi w:val="0"/>
        <w:adjustRightInd/>
        <w:spacing w:line="580" w:lineRule="exact"/>
        <w:ind w:left="-96" w:right="-96" w:firstLine="0" w:firstLineChars="0"/>
        <w:jc w:val="both"/>
        <w:textAlignment w:val="auto"/>
        <w:rPr>
          <w:rFonts w:hint="default" w:ascii="Times New Roman" w:hAnsi="Times New Roman" w:cs="Times New Roman"/>
          <w:color w:val="auto"/>
        </w:rPr>
      </w:pPr>
    </w:p>
    <w:p w14:paraId="3C2B4DBE">
      <w:pPr>
        <w:keepNext w:val="0"/>
        <w:keepLines w:val="0"/>
        <w:pageBreakBefore w:val="0"/>
        <w:widowControl/>
        <w:kinsoku/>
        <w:wordWrap/>
        <w:topLinePunct w:val="0"/>
        <w:autoSpaceDE/>
        <w:autoSpaceDN/>
        <w:bidi w:val="0"/>
        <w:adjustRightInd/>
        <w:spacing w:line="580" w:lineRule="exact"/>
        <w:ind w:left="-96" w:right="-96" w:firstLine="640"/>
        <w:jc w:val="center"/>
        <w:textAlignment w:val="auto"/>
        <w:rPr>
          <w:rFonts w:hint="default" w:ascii="Times New Roman" w:hAnsi="Times New Roman" w:cs="Times New Roman"/>
          <w:color w:val="auto"/>
        </w:rPr>
      </w:pPr>
    </w:p>
    <w:p w14:paraId="4552C992">
      <w:pPr>
        <w:keepNext w:val="0"/>
        <w:keepLines w:val="0"/>
        <w:pageBreakBefore w:val="0"/>
        <w:kinsoku/>
        <w:wordWrap/>
        <w:topLinePunct w:val="0"/>
        <w:autoSpaceDE/>
        <w:autoSpaceDN/>
        <w:bidi w:val="0"/>
        <w:adjustRightInd/>
        <w:spacing w:line="580" w:lineRule="exact"/>
        <w:jc w:val="center"/>
        <w:textAlignment w:val="auto"/>
        <w:rPr>
          <w:rFonts w:hint="default" w:ascii="Times New Roman" w:hAnsi="Times New Roman" w:eastAsia="方正小标宋简体" w:cs="Times New Roman"/>
          <w:bCs/>
          <w:snapToGrid w:val="0"/>
          <w:color w:val="auto"/>
          <w:kern w:val="0"/>
          <w:sz w:val="44"/>
          <w:szCs w:val="44"/>
        </w:rPr>
      </w:pPr>
      <w:bookmarkStart w:id="0" w:name="_GoBack"/>
      <w:r>
        <w:rPr>
          <w:rFonts w:hint="default" w:ascii="Times New Roman" w:hAnsi="Times New Roman" w:eastAsia="方正小标宋简体" w:cs="Times New Roman"/>
          <w:bCs/>
          <w:snapToGrid w:val="0"/>
          <w:color w:val="auto"/>
          <w:kern w:val="0"/>
          <w:sz w:val="44"/>
          <w:szCs w:val="44"/>
        </w:rPr>
        <w:t>关于2024年基本公共卫生及家庭医生签约</w:t>
      </w:r>
    </w:p>
    <w:p w14:paraId="24816192">
      <w:pPr>
        <w:keepNext w:val="0"/>
        <w:keepLines w:val="0"/>
        <w:pageBreakBefore w:val="0"/>
        <w:kinsoku/>
        <w:wordWrap/>
        <w:topLinePunct w:val="0"/>
        <w:autoSpaceDE/>
        <w:autoSpaceDN/>
        <w:bidi w:val="0"/>
        <w:adjustRightInd/>
        <w:spacing w:line="580" w:lineRule="exact"/>
        <w:jc w:val="center"/>
        <w:textAlignment w:val="auto"/>
        <w:rPr>
          <w:rFonts w:hint="default" w:ascii="Times New Roman" w:hAnsi="Times New Roman" w:eastAsia="方正小标宋简体" w:cs="Times New Roman"/>
          <w:bCs/>
          <w:snapToGrid w:val="0"/>
          <w:color w:val="auto"/>
          <w:kern w:val="0"/>
          <w:sz w:val="44"/>
          <w:szCs w:val="44"/>
        </w:rPr>
      </w:pPr>
      <w:r>
        <w:rPr>
          <w:rFonts w:hint="default" w:ascii="Times New Roman" w:hAnsi="Times New Roman" w:eastAsia="方正小标宋简体" w:cs="Times New Roman"/>
          <w:bCs/>
          <w:snapToGrid w:val="0"/>
          <w:color w:val="auto"/>
          <w:kern w:val="0"/>
          <w:sz w:val="44"/>
          <w:szCs w:val="44"/>
        </w:rPr>
        <w:t>年终绩效考核通报</w:t>
      </w:r>
    </w:p>
    <w:p w14:paraId="6A9A1C9E">
      <w:pPr>
        <w:keepNext w:val="0"/>
        <w:keepLines w:val="0"/>
        <w:pageBreakBefore w:val="0"/>
        <w:kinsoku/>
        <w:wordWrap/>
        <w:topLinePunct w:val="0"/>
        <w:autoSpaceDE/>
        <w:autoSpaceDN/>
        <w:bidi w:val="0"/>
        <w:adjustRightInd/>
        <w:spacing w:line="580" w:lineRule="exact"/>
        <w:jc w:val="center"/>
        <w:textAlignment w:val="auto"/>
        <w:rPr>
          <w:rFonts w:hint="default" w:ascii="Times New Roman" w:hAnsi="Times New Roman" w:cs="Times New Roman"/>
          <w:color w:val="auto"/>
        </w:rPr>
      </w:pPr>
    </w:p>
    <w:p w14:paraId="681ACC45">
      <w:pPr>
        <w:keepNext w:val="0"/>
        <w:keepLines w:val="0"/>
        <w:pageBreakBefore w:val="0"/>
        <w:widowControl w:val="0"/>
        <w:kinsoku/>
        <w:wordWrap/>
        <w:topLinePunct w:val="0"/>
        <w:autoSpaceDE/>
        <w:autoSpaceDN/>
        <w:bidi w:val="0"/>
        <w:adjustRightInd/>
        <w:snapToGrid/>
        <w:spacing w:line="600" w:lineRule="exact"/>
        <w:jc w:val="both"/>
        <w:textAlignment w:val="auto"/>
        <w:rPr>
          <w:rFonts w:hint="default" w:ascii="Times New Roman" w:hAnsi="Times New Roman" w:eastAsia="仿宋_GB2312" w:cs="Times New Roman"/>
          <w:color w:val="auto"/>
          <w:lang w:eastAsia="zh-CN"/>
        </w:rPr>
      </w:pPr>
      <w:r>
        <w:rPr>
          <w:rFonts w:hint="default" w:ascii="Times New Roman" w:hAnsi="Times New Roman" w:cs="Times New Roman"/>
          <w:color w:val="auto"/>
        </w:rPr>
        <w:t>各基层医疗卫生机构</w:t>
      </w:r>
      <w:r>
        <w:rPr>
          <w:rFonts w:hint="default" w:ascii="Times New Roman" w:hAnsi="Times New Roman" w:cs="Times New Roman"/>
          <w:color w:val="auto"/>
          <w:lang w:eastAsia="zh-CN"/>
        </w:rPr>
        <w:t>：</w:t>
      </w:r>
    </w:p>
    <w:p w14:paraId="43F93F5C">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根据《关于开展2024年基层医疗卫生机构年终绩效考核工作的通知》（区卫〔2024〕109号）文件，2024年12月2日至12月9日，</w:t>
      </w:r>
      <w:r>
        <w:rPr>
          <w:rFonts w:hint="default" w:ascii="Times New Roman" w:hAnsi="Times New Roman" w:cs="Times New Roman"/>
          <w:color w:val="auto"/>
          <w:lang w:val="en-US" w:eastAsia="zh-CN"/>
        </w:rPr>
        <w:t>我</w:t>
      </w:r>
      <w:r>
        <w:rPr>
          <w:rFonts w:hint="default" w:ascii="Times New Roman" w:hAnsi="Times New Roman" w:cs="Times New Roman"/>
          <w:color w:val="auto"/>
        </w:rPr>
        <w:t>委组织开展了2024年度基本公共卫生工作</w:t>
      </w:r>
      <w:r>
        <w:rPr>
          <w:rFonts w:hint="default" w:ascii="Times New Roman" w:hAnsi="Times New Roman" w:cs="Times New Roman"/>
          <w:color w:val="auto"/>
          <w:lang w:val="en-US" w:eastAsia="zh-CN"/>
        </w:rPr>
        <w:t>年终</w:t>
      </w:r>
      <w:r>
        <w:rPr>
          <w:rFonts w:hint="default" w:ascii="Times New Roman" w:hAnsi="Times New Roman" w:cs="Times New Roman"/>
          <w:color w:val="auto"/>
        </w:rPr>
        <w:t>绩效考核。现将考核情况通报如下：</w:t>
      </w:r>
    </w:p>
    <w:p w14:paraId="182A6C24">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eastAsia="黑体"/>
          <w:color w:val="auto"/>
        </w:rPr>
      </w:pPr>
      <w:r>
        <w:rPr>
          <w:rFonts w:hint="default" w:ascii="Times New Roman" w:eastAsia="黑体"/>
          <w:color w:val="auto"/>
        </w:rPr>
        <w:t>一、基本情况</w:t>
      </w:r>
    </w:p>
    <w:p w14:paraId="2BE56D32">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（一）考核方式</w:t>
      </w:r>
    </w:p>
    <w:p w14:paraId="25D63C7B">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1、由区卫健委统一组织，成立综合考核组，考核组成员由区卫健委、区疾控中心、区妇计中心、区卫生监督所及基层专家库成员共同组成。</w:t>
      </w:r>
    </w:p>
    <w:p w14:paraId="0978A89F">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2、区级督导考核中心层级，被查中心包含本级及一体化管理站，考核结果代表中心及一体化管理站成绩。</w:t>
      </w:r>
    </w:p>
    <w:p w14:paraId="387BB81B">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3、考核方式以线上、线下考核为主。按照考核方案，采取现场考核、查阅资料、电话核实、调阅各电子信息系统平台数据等方式进行。</w:t>
      </w:r>
    </w:p>
    <w:p w14:paraId="43AD466E">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eastAsia="楷体_GB2312" w:cs="Times New Roman"/>
          <w:b/>
          <w:bCs/>
          <w:color w:val="auto"/>
        </w:rPr>
      </w:pPr>
      <w:r>
        <w:rPr>
          <w:rFonts w:hint="default" w:ascii="Times New Roman" w:hAnsi="Times New Roman" w:eastAsia="楷体_GB2312" w:cs="Times New Roman"/>
          <w:b/>
          <w:bCs/>
          <w:color w:val="auto"/>
        </w:rPr>
        <w:t>（二）考核内容</w:t>
      </w:r>
    </w:p>
    <w:p w14:paraId="0D74E497">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考核内容为基本公共卫生</w:t>
      </w:r>
      <w:r>
        <w:rPr>
          <w:rFonts w:hint="default" w:ascii="Times New Roman" w:hAnsi="Times New Roman" w:cs="Times New Roman"/>
          <w:color w:val="auto"/>
          <w:lang w:val="en-US" w:eastAsia="zh-CN"/>
        </w:rPr>
        <w:t>服务</w:t>
      </w:r>
      <w:r>
        <w:rPr>
          <w:rFonts w:hint="default" w:ascii="Times New Roman" w:hAnsi="Times New Roman" w:cs="Times New Roman"/>
          <w:color w:val="auto"/>
        </w:rPr>
        <w:t>和家庭医生签约服务。</w:t>
      </w:r>
    </w:p>
    <w:p w14:paraId="6CD6D488">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（三）考核分值</w:t>
      </w:r>
    </w:p>
    <w:p w14:paraId="73D00EFB">
      <w:pPr>
        <w:keepNext w:val="0"/>
        <w:keepLines w:val="0"/>
        <w:pageBreakBefore w:val="0"/>
        <w:widowControl w:val="0"/>
        <w:pBdr>
          <w:bottom w:val="none" w:color="auto" w:sz="0" w:space="0"/>
        </w:pBdr>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考核指标包括基本公共卫生服务（</w:t>
      </w:r>
      <w:r>
        <w:rPr>
          <w:rFonts w:hint="default" w:ascii="Times New Roman" w:hAnsi="Times New Roman" w:cs="Times New Roman"/>
          <w:i w:val="0"/>
          <w:strike w:val="0"/>
          <w:color w:val="auto"/>
          <w:sz w:val="32"/>
          <w:u w:val="none"/>
        </w:rPr>
        <w:t>75</w:t>
      </w:r>
      <w:r>
        <w:rPr>
          <w:rFonts w:hint="default" w:ascii="Times New Roman" w:hAnsi="Times New Roman" w:eastAsia="仿宋_GB2312" w:cs="Times New Roman"/>
          <w:i w:val="0"/>
          <w:strike w:val="0"/>
          <w:color w:val="auto"/>
          <w:sz w:val="32"/>
          <w:u w:val="none"/>
        </w:rPr>
        <w:t>分）和家庭医生签约服务（</w:t>
      </w:r>
      <w:r>
        <w:rPr>
          <w:rFonts w:hint="default" w:ascii="Times New Roman" w:hAnsi="Times New Roman" w:cs="Times New Roman"/>
          <w:i w:val="0"/>
          <w:strike w:val="0"/>
          <w:color w:val="auto"/>
          <w:sz w:val="32"/>
          <w:u w:val="none"/>
        </w:rPr>
        <w:t>25</w:t>
      </w:r>
      <w:r>
        <w:rPr>
          <w:rFonts w:hint="default" w:ascii="Times New Roman" w:hAnsi="Times New Roman" w:eastAsia="仿宋_GB2312" w:cs="Times New Roman"/>
          <w:i w:val="0"/>
          <w:strike w:val="0"/>
          <w:color w:val="auto"/>
          <w:sz w:val="32"/>
          <w:u w:val="none"/>
        </w:rPr>
        <w:t>分），满分</w:t>
      </w:r>
      <w:r>
        <w:rPr>
          <w:rFonts w:hint="default" w:ascii="Times New Roman" w:hAnsi="Times New Roman" w:cs="Times New Roman"/>
          <w:i w:val="0"/>
          <w:strike w:val="0"/>
          <w:color w:val="auto"/>
          <w:sz w:val="32"/>
          <w:u w:val="none"/>
        </w:rPr>
        <w:t>100</w:t>
      </w:r>
      <w:r>
        <w:rPr>
          <w:rFonts w:hint="default" w:ascii="Times New Roman" w:hAnsi="Times New Roman" w:eastAsia="仿宋_GB2312" w:cs="Times New Roman"/>
          <w:i w:val="0"/>
          <w:strike w:val="0"/>
          <w:color w:val="auto"/>
          <w:sz w:val="32"/>
          <w:u w:val="none"/>
        </w:rPr>
        <w:t>分。</w:t>
      </w:r>
      <w:r>
        <w:rPr>
          <w:rFonts w:hint="default" w:ascii="Times New Roman" w:hAnsi="Times New Roman" w:cs="Times New Roman"/>
          <w:color w:val="auto"/>
        </w:rPr>
        <w:t>其中家庭医生签约服务、健康档案、计划免疫、老年人健康管理、慢性病健康管理、严重精神障碍患者管理、传染病管理、结核病健康管理、妇</w:t>
      </w:r>
      <w:r>
        <w:rPr>
          <w:rFonts w:hint="default" w:ascii="Times New Roman" w:hAnsi="Times New Roman" w:cs="Times New Roman"/>
          <w:color w:val="auto"/>
          <w:lang w:val="en-US" w:eastAsia="zh-CN"/>
        </w:rPr>
        <w:t>保</w:t>
      </w:r>
      <w:r>
        <w:rPr>
          <w:rFonts w:hint="default" w:ascii="Times New Roman" w:hAnsi="Times New Roman" w:cs="Times New Roman"/>
          <w:color w:val="auto"/>
        </w:rPr>
        <w:t>儿保采用半年考核得分、年终考核得分占比40%、60%方式计算最终考核得分。</w:t>
      </w:r>
    </w:p>
    <w:p w14:paraId="6A2E55B7">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eastAsia="黑体"/>
          <w:color w:val="auto"/>
        </w:rPr>
      </w:pPr>
      <w:r>
        <w:rPr>
          <w:rFonts w:hint="default" w:ascii="Times New Roman" w:eastAsia="黑体"/>
          <w:color w:val="auto"/>
        </w:rPr>
        <w:t>二、基本公共卫生考核情况</w:t>
      </w:r>
    </w:p>
    <w:p w14:paraId="506E434E">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（一）组织管理</w:t>
      </w:r>
    </w:p>
    <w:p w14:paraId="4BC86D63">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1、基本情况</w:t>
      </w:r>
    </w:p>
    <w:p w14:paraId="7F4805DD">
      <w:pPr>
        <w:keepNext w:val="0"/>
        <w:keepLines w:val="0"/>
        <w:pageBreakBefore w:val="0"/>
        <w:widowControl w:val="0"/>
        <w:kinsoku/>
        <w:wordWrap/>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所有中心（卫生院）均已按区级年度</w:t>
      </w:r>
      <w:r>
        <w:rPr>
          <w:rFonts w:hint="default" w:ascii="Times New Roman" w:hAnsi="Times New Roman" w:cs="Times New Roman"/>
          <w:color w:val="auto"/>
          <w:lang w:val="en-US" w:eastAsia="zh-CN"/>
        </w:rPr>
        <w:t>基本</w:t>
      </w:r>
      <w:r>
        <w:rPr>
          <w:rFonts w:hint="default" w:ascii="Times New Roman" w:hAnsi="Times New Roman" w:cs="Times New Roman"/>
          <w:color w:val="auto"/>
        </w:rPr>
        <w:t>公卫任务分配要求</w:t>
      </w:r>
      <w:r>
        <w:rPr>
          <w:rFonts w:hint="default" w:ascii="Times New Roman" w:hAnsi="Times New Roman" w:cs="Times New Roman"/>
          <w:color w:val="auto"/>
          <w:lang w:eastAsia="zh-CN"/>
        </w:rPr>
        <w:t>，</w:t>
      </w:r>
      <w:r>
        <w:rPr>
          <w:rFonts w:hint="default" w:ascii="Times New Roman" w:hAnsi="Times New Roman" w:cs="Times New Roman"/>
          <w:color w:val="auto"/>
        </w:rPr>
        <w:t>制定中心一体化管理的基本公卫项目实施方案，中心（卫生院）和站（村卫生室）任务分工明确，执行部门明确。</w:t>
      </w:r>
    </w:p>
    <w:p w14:paraId="5BF197F0">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2、存在问题</w:t>
      </w:r>
    </w:p>
    <w:p w14:paraId="1AD40834">
      <w:pPr>
        <w:keepNext w:val="0"/>
        <w:keepLines w:val="0"/>
        <w:pageBreakBefore w:val="0"/>
        <w:widowControl w:val="0"/>
        <w:kinsoku/>
        <w:wordWrap/>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（1）横港中心、幸福中心基本公卫实施方案部分指标未更新；</w:t>
      </w:r>
    </w:p>
    <w:p w14:paraId="70AF1EBD">
      <w:pPr>
        <w:keepNext w:val="0"/>
        <w:keepLines w:val="0"/>
        <w:pageBreakBefore w:val="0"/>
        <w:widowControl w:val="0"/>
        <w:kinsoku/>
        <w:wordWrap/>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（2）鹞山中心内部绩效考核未运用到实处，护士、医生考核结果均为满分，未形成差距；</w:t>
      </w:r>
    </w:p>
    <w:p w14:paraId="58035053">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二</w:t>
      </w:r>
      <w:r>
        <w:rPr>
          <w:rFonts w:hint="default" w:ascii="Times New Roman" w:eastAsia="楷体_GB2312"/>
          <w:b/>
          <w:bCs/>
          <w:color w:val="auto"/>
        </w:rPr>
        <w:t>）居民健康档案</w:t>
      </w:r>
    </w:p>
    <w:p w14:paraId="4CA47011">
      <w:pPr>
        <w:keepNext w:val="0"/>
        <w:keepLines w:val="0"/>
        <w:pageBreakBefore w:val="0"/>
        <w:widowControl w:val="0"/>
        <w:kinsoku/>
        <w:wordWrap/>
        <w:topLinePunct w:val="0"/>
        <w:autoSpaceDE/>
        <w:autoSpaceDN/>
        <w:bidi w:val="0"/>
        <w:adjustRightInd/>
        <w:snapToGrid/>
        <w:spacing w:before="0" w:after="0" w:line="600" w:lineRule="exact"/>
        <w:ind w:left="-79" w:right="-79"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、基本情况</w:t>
      </w:r>
    </w:p>
    <w:p w14:paraId="25B2D1E2">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i w:val="0"/>
          <w:strike w:val="0"/>
          <w:color w:val="auto"/>
          <w:sz w:val="32"/>
          <w:u w:val="none"/>
        </w:rPr>
        <w:t>2024</w:t>
      </w:r>
      <w:r>
        <w:rPr>
          <w:rFonts w:hint="default" w:ascii="Times New Roman" w:hAnsi="Times New Roman" w:eastAsia="仿宋_GB2312" w:cs="Times New Roman"/>
          <w:i w:val="0"/>
          <w:strike w:val="0"/>
          <w:color w:val="auto"/>
          <w:sz w:val="32"/>
          <w:u w:val="none"/>
        </w:rPr>
        <w:t>年，全区共建立居民健康档案</w:t>
      </w:r>
      <w:r>
        <w:rPr>
          <w:rFonts w:hint="default" w:ascii="Times New Roman" w:hAnsi="Times New Roman" w:cs="Times New Roman"/>
          <w:i w:val="0"/>
          <w:strike w:val="0"/>
          <w:color w:val="auto"/>
          <w:sz w:val="32"/>
          <w:u w:val="none"/>
        </w:rPr>
        <w:t>392390</w:t>
      </w:r>
      <w:r>
        <w:rPr>
          <w:rFonts w:hint="default" w:ascii="Times New Roman" w:hAnsi="Times New Roman" w:eastAsia="仿宋_GB2312" w:cs="Times New Roman"/>
          <w:i w:val="0"/>
          <w:strike w:val="0"/>
          <w:color w:val="auto"/>
          <w:sz w:val="32"/>
          <w:u w:val="none"/>
        </w:rPr>
        <w:t xml:space="preserve">份，总建档率     </w:t>
      </w:r>
      <w:r>
        <w:rPr>
          <w:rFonts w:hint="default" w:ascii="Times New Roman" w:hAnsi="Times New Roman" w:cs="Times New Roman"/>
          <w:i w:val="0"/>
          <w:strike w:val="0"/>
          <w:color w:val="auto"/>
          <w:sz w:val="32"/>
          <w:u w:val="none"/>
        </w:rPr>
        <w:t>95.09%</w:t>
      </w:r>
      <w:r>
        <w:rPr>
          <w:rFonts w:hint="default" w:ascii="Times New Roman" w:hAnsi="Times New Roman" w:eastAsia="仿宋_GB2312" w:cs="Times New Roman"/>
          <w:i w:val="0"/>
          <w:strike w:val="0"/>
          <w:color w:val="auto"/>
          <w:sz w:val="32"/>
          <w:u w:val="none"/>
        </w:rPr>
        <w:t>；规范建档</w:t>
      </w:r>
      <w:r>
        <w:rPr>
          <w:rFonts w:hint="default" w:ascii="Times New Roman" w:hAnsi="Times New Roman" w:cs="Times New Roman"/>
          <w:i w:val="0"/>
          <w:strike w:val="0"/>
          <w:color w:val="auto"/>
          <w:sz w:val="32"/>
          <w:u w:val="none"/>
        </w:rPr>
        <w:t>379040</w:t>
      </w:r>
      <w:r>
        <w:rPr>
          <w:rFonts w:hint="default" w:ascii="Times New Roman" w:hAnsi="Times New Roman" w:eastAsia="仿宋_GB2312" w:cs="Times New Roman"/>
          <w:i w:val="0"/>
          <w:strike w:val="0"/>
          <w:color w:val="auto"/>
          <w:sz w:val="32"/>
          <w:u w:val="none"/>
        </w:rPr>
        <w:t>份，规范建档率</w:t>
      </w:r>
      <w:r>
        <w:rPr>
          <w:rFonts w:hint="default" w:ascii="Times New Roman" w:hAnsi="Times New Roman" w:cs="Times New Roman"/>
          <w:i w:val="0"/>
          <w:strike w:val="0"/>
          <w:color w:val="auto"/>
          <w:sz w:val="32"/>
          <w:u w:val="none"/>
        </w:rPr>
        <w:t>96.60%</w:t>
      </w:r>
      <w:r>
        <w:rPr>
          <w:rFonts w:hint="default" w:ascii="Times New Roman" w:hAnsi="Times New Roman" w:eastAsia="仿宋_GB2312" w:cs="Times New Roman"/>
          <w:i w:val="0"/>
          <w:strike w:val="0"/>
          <w:color w:val="auto"/>
          <w:sz w:val="32"/>
          <w:u w:val="none"/>
        </w:rPr>
        <w:t xml:space="preserve">；档案使用率     </w:t>
      </w:r>
      <w:r>
        <w:rPr>
          <w:rFonts w:hint="default" w:ascii="Times New Roman" w:hAnsi="Times New Roman" w:cs="Times New Roman"/>
          <w:i w:val="0"/>
          <w:strike w:val="0"/>
          <w:color w:val="auto"/>
          <w:sz w:val="32"/>
          <w:u w:val="none"/>
        </w:rPr>
        <w:t>82.44%</w:t>
      </w:r>
      <w:r>
        <w:rPr>
          <w:rFonts w:hint="default" w:ascii="Times New Roman" w:hAnsi="Times New Roman" w:eastAsia="仿宋_GB2312" w:cs="Times New Roman"/>
          <w:i w:val="0"/>
          <w:strike w:val="0"/>
          <w:color w:val="auto"/>
          <w:sz w:val="32"/>
          <w:u w:val="none"/>
        </w:rPr>
        <w:t>，健康档案更新率</w:t>
      </w:r>
      <w:r>
        <w:rPr>
          <w:rFonts w:hint="default" w:ascii="Times New Roman" w:hAnsi="Times New Roman" w:cs="Times New Roman"/>
          <w:i w:val="0"/>
          <w:strike w:val="0"/>
          <w:color w:val="auto"/>
          <w:sz w:val="32"/>
          <w:u w:val="none"/>
        </w:rPr>
        <w:t>82.40%</w:t>
      </w:r>
      <w:r>
        <w:rPr>
          <w:rFonts w:hint="default" w:ascii="Times New Roman" w:hAnsi="Times New Roman" w:eastAsia="仿宋_GB2312" w:cs="Times New Roman"/>
          <w:i w:val="0"/>
          <w:strike w:val="0"/>
          <w:color w:val="auto"/>
          <w:sz w:val="32"/>
          <w:u w:val="none"/>
        </w:rPr>
        <w:t>。</w:t>
      </w:r>
    </w:p>
    <w:p w14:paraId="725216AE">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本次考核抽查的</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家中心</w:t>
      </w:r>
      <w:r>
        <w:rPr>
          <w:rFonts w:hint="eastAsia" w:ascii="Times New Roman" w:hAnsi="Times New Roman" w:cs="Times New Roman"/>
          <w:i w:val="0"/>
          <w:strike w:val="0"/>
          <w:color w:val="auto"/>
          <w:sz w:val="32"/>
          <w:u w:val="none"/>
          <w:lang w:eastAsia="zh-CN"/>
        </w:rPr>
        <w:t>（</w:t>
      </w:r>
      <w:r>
        <w:rPr>
          <w:rFonts w:hint="eastAsia" w:ascii="Times New Roman" w:hAnsi="Times New Roman" w:cs="Times New Roman"/>
          <w:i w:val="0"/>
          <w:strike w:val="0"/>
          <w:color w:val="auto"/>
          <w:sz w:val="32"/>
          <w:u w:val="none"/>
          <w:lang w:val="en-US" w:eastAsia="zh-CN"/>
        </w:rPr>
        <w:t>卫生院</w:t>
      </w:r>
      <w:r>
        <w:rPr>
          <w:rFonts w:hint="eastAsia" w:ascii="Times New Roman" w:hAnsi="Times New Roman" w:cs="Times New Roman"/>
          <w:i w:val="0"/>
          <w:strike w:val="0"/>
          <w:color w:val="auto"/>
          <w:sz w:val="32"/>
          <w:u w:val="none"/>
          <w:lang w:eastAsia="zh-CN"/>
        </w:rPr>
        <w:t>）</w:t>
      </w:r>
      <w:r>
        <w:rPr>
          <w:rFonts w:hint="default" w:ascii="Times New Roman" w:hAnsi="Times New Roman" w:eastAsia="仿宋_GB2312" w:cs="Times New Roman"/>
          <w:i w:val="0"/>
          <w:strike w:val="0"/>
          <w:color w:val="auto"/>
          <w:sz w:val="32"/>
          <w:u w:val="none"/>
        </w:rPr>
        <w:t>中规范管理率（</w:t>
      </w:r>
      <w:r>
        <w:rPr>
          <w:rFonts w:hint="default" w:ascii="Times New Roman" w:hAnsi="Times New Roman" w:cs="Times New Roman"/>
          <w:i w:val="0"/>
          <w:strike w:val="0"/>
          <w:color w:val="auto"/>
          <w:sz w:val="32"/>
          <w:u w:val="none"/>
        </w:rPr>
        <w:t>≥64%</w:t>
      </w:r>
      <w:r>
        <w:rPr>
          <w:rFonts w:hint="default" w:ascii="Times New Roman" w:hAnsi="Times New Roman" w:eastAsia="仿宋_GB2312" w:cs="Times New Roman"/>
          <w:i w:val="0"/>
          <w:strike w:val="0"/>
          <w:color w:val="auto"/>
          <w:sz w:val="32"/>
          <w:u w:val="none"/>
        </w:rPr>
        <w:t>）、档案使用率（</w:t>
      </w:r>
      <w:r>
        <w:rPr>
          <w:rFonts w:hint="default" w:ascii="Times New Roman" w:hAnsi="Times New Roman" w:cs="Times New Roman"/>
          <w:i w:val="0"/>
          <w:strike w:val="0"/>
          <w:color w:val="auto"/>
          <w:sz w:val="32"/>
          <w:u w:val="none"/>
        </w:rPr>
        <w:t>≥50%</w:t>
      </w:r>
      <w:r>
        <w:rPr>
          <w:rFonts w:hint="default" w:ascii="Times New Roman" w:hAnsi="Times New Roman" w:eastAsia="仿宋_GB2312" w:cs="Times New Roman"/>
          <w:i w:val="0"/>
          <w:strike w:val="0"/>
          <w:color w:val="auto"/>
          <w:sz w:val="32"/>
          <w:u w:val="none"/>
        </w:rPr>
        <w:t>）、档案更新率（</w:t>
      </w:r>
      <w:r>
        <w:rPr>
          <w:rFonts w:hint="default" w:ascii="Times New Roman" w:hAnsi="Times New Roman" w:cs="Times New Roman"/>
          <w:i w:val="0"/>
          <w:strike w:val="0"/>
          <w:color w:val="auto"/>
          <w:sz w:val="32"/>
          <w:u w:val="none"/>
        </w:rPr>
        <w:t>≥35%</w:t>
      </w:r>
      <w:r>
        <w:rPr>
          <w:rFonts w:hint="default" w:ascii="Times New Roman" w:hAnsi="Times New Roman" w:eastAsia="仿宋_GB2312" w:cs="Times New Roman"/>
          <w:i w:val="0"/>
          <w:strike w:val="0"/>
          <w:color w:val="auto"/>
          <w:sz w:val="32"/>
          <w:u w:val="none"/>
        </w:rPr>
        <w:t>）均达标，达标率为</w:t>
      </w:r>
      <w:r>
        <w:rPr>
          <w:rFonts w:hint="default" w:ascii="Times New Roman" w:hAnsi="Times New Roman" w:cs="Times New Roman"/>
          <w:i w:val="0"/>
          <w:strike w:val="0"/>
          <w:color w:val="auto"/>
          <w:sz w:val="32"/>
          <w:u w:val="none"/>
        </w:rPr>
        <w:t>100%</w:t>
      </w:r>
      <w:r>
        <w:rPr>
          <w:rFonts w:hint="default" w:ascii="Times New Roman" w:hAnsi="Times New Roman" w:eastAsia="仿宋_GB2312" w:cs="Times New Roman"/>
          <w:i w:val="0"/>
          <w:strike w:val="0"/>
          <w:color w:val="auto"/>
          <w:sz w:val="32"/>
          <w:u w:val="none"/>
        </w:rPr>
        <w:t>；</w:t>
      </w:r>
      <w:r>
        <w:rPr>
          <w:rFonts w:hint="default" w:ascii="Times New Roman" w:hAnsi="Times New Roman" w:eastAsia="仿宋_GB2312" w:cs="Times New Roman"/>
          <w:i w:val="0"/>
          <w:strike w:val="0"/>
          <w:color w:val="auto"/>
          <w:spacing w:val="0"/>
          <w:sz w:val="32"/>
          <w:u w:val="none"/>
        </w:rPr>
        <w:t>除学苑中心（</w:t>
      </w:r>
      <w:r>
        <w:rPr>
          <w:rFonts w:hint="default" w:ascii="Times New Roman" w:hAnsi="Times New Roman" w:cs="Times New Roman"/>
          <w:i w:val="0"/>
          <w:strike w:val="0"/>
          <w:color w:val="auto"/>
          <w:spacing w:val="0"/>
          <w:sz w:val="32"/>
          <w:u w:val="none"/>
        </w:rPr>
        <w:t>86.99%</w:t>
      </w:r>
      <w:r>
        <w:rPr>
          <w:rFonts w:hint="default" w:ascii="Times New Roman" w:hAnsi="Times New Roman" w:eastAsia="仿宋_GB2312" w:cs="Times New Roman"/>
          <w:i w:val="0"/>
          <w:strike w:val="0"/>
          <w:color w:val="auto"/>
          <w:spacing w:val="0"/>
          <w:sz w:val="32"/>
          <w:u w:val="none"/>
        </w:rPr>
        <w:t>）外，其余</w:t>
      </w:r>
      <w:r>
        <w:rPr>
          <w:rFonts w:hint="default" w:ascii="Times New Roman" w:hAnsi="Times New Roman" w:cs="Times New Roman"/>
          <w:i w:val="0"/>
          <w:strike w:val="0"/>
          <w:color w:val="auto"/>
          <w:spacing w:val="0"/>
          <w:sz w:val="32"/>
          <w:u w:val="none"/>
        </w:rPr>
        <w:t>10</w:t>
      </w:r>
      <w:r>
        <w:rPr>
          <w:rFonts w:hint="default" w:ascii="Times New Roman" w:hAnsi="Times New Roman" w:eastAsia="仿宋_GB2312" w:cs="Times New Roman"/>
          <w:i w:val="0"/>
          <w:strike w:val="0"/>
          <w:color w:val="auto"/>
          <w:spacing w:val="0"/>
          <w:sz w:val="32"/>
          <w:u w:val="none"/>
        </w:rPr>
        <w:t>家机构建档率（</w:t>
      </w:r>
      <w:r>
        <w:rPr>
          <w:rFonts w:hint="default" w:ascii="Times New Roman" w:hAnsi="Times New Roman" w:cs="Times New Roman"/>
          <w:i w:val="0"/>
          <w:strike w:val="0"/>
          <w:color w:val="auto"/>
          <w:spacing w:val="0"/>
          <w:sz w:val="32"/>
          <w:u w:val="none"/>
        </w:rPr>
        <w:t>≥90%</w:t>
      </w:r>
      <w:r>
        <w:rPr>
          <w:rFonts w:hint="default" w:ascii="Times New Roman" w:hAnsi="Times New Roman" w:eastAsia="仿宋_GB2312" w:cs="Times New Roman"/>
          <w:i w:val="0"/>
          <w:strike w:val="0"/>
          <w:color w:val="auto"/>
          <w:spacing w:val="0"/>
          <w:sz w:val="32"/>
          <w:u w:val="none"/>
        </w:rPr>
        <w:t>）均达标</w:t>
      </w:r>
      <w:r>
        <w:rPr>
          <w:rFonts w:hint="default" w:ascii="Times New Roman" w:hAnsi="Times New Roman" w:eastAsia="仿宋_GB2312" w:cs="Times New Roman"/>
          <w:i w:val="0"/>
          <w:strike w:val="0"/>
          <w:color w:val="auto"/>
          <w:sz w:val="32"/>
          <w:u w:val="none"/>
        </w:rPr>
        <w:t>，达标率为</w:t>
      </w:r>
      <w:r>
        <w:rPr>
          <w:rFonts w:hint="default" w:ascii="Times New Roman" w:hAnsi="Times New Roman" w:cs="Times New Roman"/>
          <w:i w:val="0"/>
          <w:strike w:val="0"/>
          <w:color w:val="auto"/>
          <w:sz w:val="32"/>
          <w:u w:val="none"/>
        </w:rPr>
        <w:t>90.91%</w:t>
      </w:r>
      <w:r>
        <w:rPr>
          <w:rFonts w:hint="default" w:ascii="Times New Roman" w:hAnsi="Times New Roman" w:eastAsia="仿宋_GB2312" w:cs="Times New Roman"/>
          <w:i w:val="0"/>
          <w:strike w:val="0"/>
          <w:color w:val="auto"/>
          <w:sz w:val="32"/>
          <w:u w:val="none"/>
        </w:rPr>
        <w:t>。抽查的</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家机构，电话核实真实性</w:t>
      </w:r>
      <w:r>
        <w:rPr>
          <w:rFonts w:hint="default" w:ascii="Times New Roman" w:hAnsi="Times New Roman" w:cs="Times New Roman"/>
          <w:i w:val="0"/>
          <w:strike w:val="0"/>
          <w:color w:val="auto"/>
          <w:sz w:val="32"/>
          <w:u w:val="none"/>
        </w:rPr>
        <w:t>100%</w:t>
      </w:r>
      <w:r>
        <w:rPr>
          <w:rFonts w:hint="default" w:ascii="Times New Roman" w:hAnsi="Times New Roman" w:eastAsia="仿宋_GB2312" w:cs="Times New Roman"/>
          <w:i w:val="0"/>
          <w:strike w:val="0"/>
          <w:color w:val="auto"/>
          <w:sz w:val="32"/>
          <w:u w:val="none"/>
        </w:rPr>
        <w:t>。</w:t>
      </w:r>
    </w:p>
    <w:p w14:paraId="48B1F307">
      <w:pPr>
        <w:keepNext w:val="0"/>
        <w:keepLines w:val="0"/>
        <w:pageBreakBefore w:val="0"/>
        <w:widowControl w:val="0"/>
        <w:kinsoku/>
        <w:wordWrap/>
        <w:topLinePunct w:val="0"/>
        <w:autoSpaceDE/>
        <w:autoSpaceDN/>
        <w:bidi w:val="0"/>
        <w:adjustRightInd/>
        <w:snapToGrid/>
        <w:spacing w:before="0" w:after="0" w:line="600" w:lineRule="exact"/>
        <w:ind w:left="-79" w:right="-79"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、存在问题</w:t>
      </w:r>
    </w:p>
    <w:p w14:paraId="53698FE4">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）学苑中心部分体检记录中健康评价不全，用药情况填写不规范，如用药频次未填写。</w:t>
      </w:r>
    </w:p>
    <w:p w14:paraId="096EA921">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w:t>
      </w:r>
      <w:r>
        <w:rPr>
          <w:rFonts w:hint="eastAsia" w:ascii="Times New Roman" w:cs="Times New Roman"/>
          <w:i w:val="0"/>
          <w:strike w:val="0"/>
          <w:color w:val="auto"/>
          <w:sz w:val="32"/>
          <w:u w:val="none"/>
          <w:lang w:eastAsia="zh-CN"/>
        </w:rPr>
        <w:t>新城片区</w:t>
      </w:r>
      <w:r>
        <w:rPr>
          <w:rFonts w:hint="default" w:ascii="Times New Roman" w:hAnsi="Times New Roman" w:eastAsia="仿宋_GB2312" w:cs="Times New Roman"/>
          <w:i w:val="0"/>
          <w:strike w:val="0"/>
          <w:color w:val="auto"/>
          <w:sz w:val="32"/>
          <w:u w:val="none"/>
        </w:rPr>
        <w:t>、映湖中心部分体检记录存在嗜盐嗜糖，未指导饮食；体重超重，未指导减腰围等问题。</w:t>
      </w:r>
    </w:p>
    <w:p w14:paraId="491AD936">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）西湖镇卫生院、狮子山中心部分体检记录中现存主要健康问题填写不全。</w:t>
      </w:r>
    </w:p>
    <w:p w14:paraId="73D9CA9A">
      <w:pPr>
        <w:keepNext w:val="0"/>
        <w:keepLines w:val="0"/>
        <w:pageBreakBefore w:val="0"/>
        <w:widowControl w:val="0"/>
        <w:kinsoku/>
        <w:wordWrap/>
        <w:topLinePunct w:val="0"/>
        <w:autoSpaceDE/>
        <w:autoSpaceDN/>
        <w:bidi w:val="0"/>
        <w:adjustRightInd/>
        <w:snapToGrid/>
        <w:spacing w:before="0" w:after="0" w:line="600" w:lineRule="exact"/>
        <w:ind w:left="-79" w:right="-79"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3</w:t>
      </w:r>
      <w:r>
        <w:rPr>
          <w:rFonts w:hint="default" w:ascii="Times New Roman" w:hAnsi="Times New Roman" w:eastAsia="仿宋_GB2312" w:cs="Times New Roman"/>
          <w:b/>
          <w:i w:val="0"/>
          <w:strike w:val="0"/>
          <w:color w:val="auto"/>
          <w:sz w:val="32"/>
          <w:u w:val="none"/>
        </w:rPr>
        <w:t>、整改要求</w:t>
      </w:r>
    </w:p>
    <w:p w14:paraId="383F5C27">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）体检记录中异常指标应予以合理的针对性的健康指导；</w:t>
      </w:r>
    </w:p>
    <w:p w14:paraId="5844E41B">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）随访记录中针对居民的相关危险因素，应提出个性化健康教育；</w:t>
      </w:r>
    </w:p>
    <w:p w14:paraId="7B5A8112">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）慢病患者体检档案中现存主要健康问题应按要求规范填写；</w:t>
      </w:r>
    </w:p>
    <w:p w14:paraId="3693BA1E">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4</w:t>
      </w:r>
      <w:r>
        <w:rPr>
          <w:rFonts w:hint="default" w:ascii="Times New Roman" w:hAnsi="Times New Roman" w:eastAsia="仿宋_GB2312" w:cs="Times New Roman"/>
          <w:i w:val="0"/>
          <w:strike w:val="0"/>
          <w:color w:val="auto"/>
          <w:sz w:val="32"/>
          <w:u w:val="none"/>
        </w:rPr>
        <w:t>）根据实际情况，规范填写健康评价及用药情况；</w:t>
      </w:r>
    </w:p>
    <w:p w14:paraId="59094987">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三</w:t>
      </w:r>
      <w:r>
        <w:rPr>
          <w:rFonts w:hint="default" w:ascii="Times New Roman" w:eastAsia="楷体_GB2312"/>
          <w:b/>
          <w:bCs/>
          <w:color w:val="auto"/>
        </w:rPr>
        <w:t>）老年人管理</w:t>
      </w:r>
    </w:p>
    <w:p w14:paraId="0EFF35AA">
      <w:pPr>
        <w:keepNext w:val="0"/>
        <w:keepLines w:val="0"/>
        <w:pageBreakBefore w:val="0"/>
        <w:widowControl w:val="0"/>
        <w:kinsoku/>
        <w:wordWrap/>
        <w:topLinePunct w:val="0"/>
        <w:autoSpaceDE/>
        <w:autoSpaceDN/>
        <w:bidi w:val="0"/>
        <w:adjustRightInd/>
        <w:snapToGrid/>
        <w:spacing w:before="0" w:after="0" w:line="600" w:lineRule="exact"/>
        <w:ind w:left="-79" w:right="-79"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、基本情况</w:t>
      </w:r>
    </w:p>
    <w:p w14:paraId="09371327">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i w:val="0"/>
          <w:strike w:val="0"/>
          <w:color w:val="auto"/>
          <w:sz w:val="32"/>
          <w:u w:val="none"/>
        </w:rPr>
        <w:t>2024</w:t>
      </w:r>
      <w:r>
        <w:rPr>
          <w:rFonts w:hint="default" w:ascii="Times New Roman" w:hAnsi="Times New Roman" w:eastAsia="仿宋_GB2312" w:cs="Times New Roman"/>
          <w:i w:val="0"/>
          <w:strike w:val="0"/>
          <w:color w:val="auto"/>
          <w:sz w:val="32"/>
          <w:u w:val="none"/>
        </w:rPr>
        <w:t>年全区共管理</w:t>
      </w:r>
      <w:r>
        <w:rPr>
          <w:rFonts w:hint="default" w:ascii="Times New Roman" w:hAnsi="Times New Roman" w:cs="Times New Roman"/>
          <w:i w:val="0"/>
          <w:strike w:val="0"/>
          <w:color w:val="auto"/>
          <w:sz w:val="32"/>
          <w:u w:val="none"/>
        </w:rPr>
        <w:t>65</w:t>
      </w:r>
      <w:r>
        <w:rPr>
          <w:rFonts w:hint="default" w:ascii="Times New Roman" w:hAnsi="Times New Roman" w:eastAsia="仿宋_GB2312" w:cs="Times New Roman"/>
          <w:i w:val="0"/>
          <w:strike w:val="0"/>
          <w:color w:val="auto"/>
          <w:sz w:val="32"/>
          <w:u w:val="none"/>
        </w:rPr>
        <w:t>岁以上老年人</w:t>
      </w:r>
      <w:r>
        <w:rPr>
          <w:rFonts w:hint="default" w:ascii="Times New Roman" w:hAnsi="Times New Roman" w:cs="Times New Roman"/>
          <w:i w:val="0"/>
          <w:strike w:val="0"/>
          <w:color w:val="auto"/>
          <w:sz w:val="32"/>
          <w:u w:val="none"/>
        </w:rPr>
        <w:t>61537</w:t>
      </w:r>
      <w:r>
        <w:rPr>
          <w:rFonts w:hint="default" w:ascii="Times New Roman" w:hAnsi="Times New Roman" w:eastAsia="仿宋_GB2312" w:cs="Times New Roman"/>
          <w:i w:val="0"/>
          <w:strike w:val="0"/>
          <w:color w:val="auto"/>
          <w:sz w:val="32"/>
          <w:u w:val="none"/>
        </w:rPr>
        <w:t>人，已进行健康管理的老年人</w:t>
      </w:r>
      <w:r>
        <w:rPr>
          <w:rFonts w:hint="default" w:ascii="Times New Roman" w:hAnsi="Times New Roman" w:cs="Times New Roman"/>
          <w:i w:val="0"/>
          <w:strike w:val="0"/>
          <w:color w:val="auto"/>
          <w:sz w:val="32"/>
          <w:u w:val="none"/>
        </w:rPr>
        <w:t>39418</w:t>
      </w:r>
      <w:r>
        <w:rPr>
          <w:rFonts w:hint="default" w:ascii="Times New Roman" w:hAnsi="Times New Roman" w:eastAsia="仿宋_GB2312" w:cs="Times New Roman"/>
          <w:i w:val="0"/>
          <w:strike w:val="0"/>
          <w:color w:val="auto"/>
          <w:sz w:val="32"/>
          <w:u w:val="none"/>
        </w:rPr>
        <w:t xml:space="preserve">人，老年人健康管理率 </w:t>
      </w:r>
      <w:r>
        <w:rPr>
          <w:rFonts w:hint="default" w:ascii="Times New Roman" w:hAnsi="Times New Roman" w:cs="Times New Roman"/>
          <w:i w:val="0"/>
          <w:strike w:val="0"/>
          <w:color w:val="auto"/>
          <w:sz w:val="32"/>
          <w:u w:val="none"/>
        </w:rPr>
        <w:t>64.06%</w:t>
      </w:r>
      <w:r>
        <w:rPr>
          <w:rFonts w:hint="default" w:ascii="Times New Roman" w:hAnsi="Times New Roman" w:eastAsia="仿宋_GB2312" w:cs="Times New Roman"/>
          <w:i w:val="0"/>
          <w:strike w:val="0"/>
          <w:color w:val="auto"/>
          <w:sz w:val="32"/>
          <w:u w:val="none"/>
        </w:rPr>
        <w:t>。</w:t>
      </w:r>
    </w:p>
    <w:p w14:paraId="4DC43AB6">
      <w:pPr>
        <w:keepNext w:val="0"/>
        <w:keepLines w:val="0"/>
        <w:pageBreakBefore w:val="0"/>
        <w:widowControl w:val="0"/>
        <w:kinsoku/>
        <w:wordWrap/>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eastAsia="仿宋_GB2312" w:cs="Times New Roman"/>
          <w:i w:val="0"/>
          <w:strike w:val="0"/>
          <w:color w:val="auto"/>
          <w:sz w:val="32"/>
          <w:u w:val="none"/>
        </w:rPr>
      </w:pPr>
      <w:r>
        <w:rPr>
          <w:rFonts w:hint="default" w:ascii="Times New Roman" w:hAnsi="Times New Roman" w:eastAsia="仿宋_GB2312" w:cs="Times New Roman"/>
          <w:i w:val="0"/>
          <w:strike w:val="0"/>
          <w:color w:val="auto"/>
          <w:sz w:val="32"/>
          <w:u w:val="none"/>
        </w:rPr>
        <w:t>抽查的</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家中心</w:t>
      </w:r>
      <w:r>
        <w:rPr>
          <w:rFonts w:hint="eastAsia" w:ascii="Times New Roman" w:hAnsi="Times New Roman" w:cs="Times New Roman"/>
          <w:i w:val="0"/>
          <w:strike w:val="0"/>
          <w:color w:val="auto"/>
          <w:sz w:val="32"/>
          <w:u w:val="none"/>
          <w:lang w:eastAsia="zh-CN"/>
        </w:rPr>
        <w:t>（</w:t>
      </w:r>
      <w:r>
        <w:rPr>
          <w:rFonts w:hint="eastAsia" w:ascii="Times New Roman" w:hAnsi="Times New Roman" w:cs="Times New Roman"/>
          <w:i w:val="0"/>
          <w:strike w:val="0"/>
          <w:color w:val="auto"/>
          <w:sz w:val="32"/>
          <w:u w:val="none"/>
          <w:lang w:val="en-US" w:eastAsia="zh-CN"/>
        </w:rPr>
        <w:t>卫生院</w:t>
      </w:r>
      <w:r>
        <w:rPr>
          <w:rFonts w:hint="eastAsia" w:ascii="Times New Roman" w:hAnsi="Times New Roman" w:cs="Times New Roman"/>
          <w:i w:val="0"/>
          <w:strike w:val="0"/>
          <w:color w:val="auto"/>
          <w:sz w:val="32"/>
          <w:u w:val="none"/>
          <w:lang w:eastAsia="zh-CN"/>
        </w:rPr>
        <w:t>）</w:t>
      </w:r>
      <w:r>
        <w:rPr>
          <w:rFonts w:hint="default" w:ascii="Times New Roman" w:hAnsi="Times New Roman" w:eastAsia="仿宋_GB2312" w:cs="Times New Roman"/>
          <w:i w:val="0"/>
          <w:strike w:val="0"/>
          <w:color w:val="auto"/>
          <w:sz w:val="32"/>
          <w:u w:val="none"/>
        </w:rPr>
        <w:t>中，</w:t>
      </w:r>
      <w:r>
        <w:rPr>
          <w:rFonts w:hint="default" w:ascii="Times New Roman" w:hAnsi="Times New Roman" w:cs="Times New Roman"/>
          <w:i w:val="0"/>
          <w:strike w:val="0"/>
          <w:color w:val="auto"/>
          <w:sz w:val="32"/>
          <w:u w:val="none"/>
        </w:rPr>
        <w:t>8</w:t>
      </w:r>
      <w:r>
        <w:rPr>
          <w:rFonts w:hint="default" w:ascii="Times New Roman" w:hAnsi="Times New Roman" w:eastAsia="仿宋_GB2312" w:cs="Times New Roman"/>
          <w:i w:val="0"/>
          <w:strike w:val="0"/>
          <w:color w:val="auto"/>
          <w:sz w:val="32"/>
          <w:u w:val="none"/>
        </w:rPr>
        <w:t>家机构老年人健康管理率（</w:t>
      </w:r>
      <w:r>
        <w:rPr>
          <w:rFonts w:hint="default" w:ascii="Times New Roman" w:hAnsi="Times New Roman" w:cs="Times New Roman"/>
          <w:i w:val="0"/>
          <w:strike w:val="0"/>
          <w:color w:val="auto"/>
          <w:sz w:val="32"/>
          <w:u w:val="none"/>
        </w:rPr>
        <w:t>≥64%</w:t>
      </w:r>
      <w:r>
        <w:rPr>
          <w:rFonts w:hint="default" w:ascii="Times New Roman" w:hAnsi="Times New Roman" w:eastAsia="仿宋_GB2312" w:cs="Times New Roman"/>
          <w:i w:val="0"/>
          <w:strike w:val="0"/>
          <w:color w:val="auto"/>
          <w:sz w:val="32"/>
          <w:u w:val="none"/>
        </w:rPr>
        <w:t>）达标，其中幸福中心（</w:t>
      </w:r>
      <w:r>
        <w:rPr>
          <w:rFonts w:hint="default" w:ascii="Times New Roman" w:hAnsi="Times New Roman" w:cs="Times New Roman"/>
          <w:i w:val="0"/>
          <w:strike w:val="0"/>
          <w:color w:val="auto"/>
          <w:sz w:val="32"/>
          <w:u w:val="none"/>
        </w:rPr>
        <w:t>59.76%</w:t>
      </w:r>
      <w:r>
        <w:rPr>
          <w:rFonts w:hint="default" w:ascii="Times New Roman" w:hAnsi="Times New Roman" w:eastAsia="仿宋_GB2312" w:cs="Times New Roman"/>
          <w:i w:val="0"/>
          <w:strike w:val="0"/>
          <w:color w:val="auto"/>
          <w:sz w:val="32"/>
          <w:u w:val="none"/>
        </w:rPr>
        <w:t>）、学苑中心（</w:t>
      </w:r>
      <w:r>
        <w:rPr>
          <w:rFonts w:hint="default" w:ascii="Times New Roman" w:hAnsi="Times New Roman" w:cs="Times New Roman"/>
          <w:i w:val="0"/>
          <w:strike w:val="0"/>
          <w:color w:val="auto"/>
          <w:sz w:val="32"/>
          <w:u w:val="none"/>
        </w:rPr>
        <w:t>55.69%</w:t>
      </w:r>
      <w:r>
        <w:rPr>
          <w:rFonts w:hint="default" w:ascii="Times New Roman" w:hAnsi="Times New Roman" w:eastAsia="仿宋_GB2312" w:cs="Times New Roman"/>
          <w:i w:val="0"/>
          <w:strike w:val="0"/>
          <w:color w:val="auto"/>
          <w:sz w:val="32"/>
          <w:u w:val="none"/>
        </w:rPr>
        <w:t>）、狮子山中心（</w:t>
      </w:r>
      <w:r>
        <w:rPr>
          <w:rFonts w:hint="default" w:ascii="Times New Roman" w:hAnsi="Times New Roman" w:cs="Times New Roman"/>
          <w:i w:val="0"/>
          <w:strike w:val="0"/>
          <w:color w:val="auto"/>
          <w:sz w:val="32"/>
          <w:u w:val="none"/>
        </w:rPr>
        <w:t>48.91%</w:t>
      </w:r>
      <w:r>
        <w:rPr>
          <w:rFonts w:hint="default" w:ascii="Times New Roman" w:hAnsi="Times New Roman" w:eastAsia="仿宋_GB2312" w:cs="Times New Roman"/>
          <w:i w:val="0"/>
          <w:strike w:val="0"/>
          <w:color w:val="auto"/>
          <w:sz w:val="32"/>
          <w:u w:val="none"/>
        </w:rPr>
        <w:t>）未达到规范要求，达标率为</w:t>
      </w:r>
      <w:r>
        <w:rPr>
          <w:rFonts w:hint="default" w:ascii="Times New Roman" w:hAnsi="Times New Roman" w:cs="Times New Roman"/>
          <w:i w:val="0"/>
          <w:strike w:val="0"/>
          <w:color w:val="auto"/>
          <w:sz w:val="32"/>
          <w:u w:val="none"/>
        </w:rPr>
        <w:t>72.73%</w:t>
      </w:r>
      <w:r>
        <w:rPr>
          <w:rFonts w:hint="default" w:ascii="Times New Roman" w:hAnsi="Times New Roman" w:eastAsia="仿宋_GB2312" w:cs="Times New Roman"/>
          <w:i w:val="0"/>
          <w:strike w:val="0"/>
          <w:color w:val="auto"/>
          <w:sz w:val="32"/>
          <w:u w:val="none"/>
        </w:rPr>
        <w:t>。抽查的</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家机构，电话核实真实性</w:t>
      </w:r>
      <w:r>
        <w:rPr>
          <w:rFonts w:hint="default" w:ascii="Times New Roman" w:hAnsi="Times New Roman" w:cs="Times New Roman"/>
          <w:i w:val="0"/>
          <w:strike w:val="0"/>
          <w:color w:val="auto"/>
          <w:sz w:val="32"/>
          <w:u w:val="none"/>
        </w:rPr>
        <w:t>100%</w:t>
      </w:r>
      <w:r>
        <w:rPr>
          <w:rFonts w:hint="default" w:ascii="Times New Roman" w:hAnsi="Times New Roman" w:eastAsia="仿宋_GB2312" w:cs="Times New Roman"/>
          <w:i w:val="0"/>
          <w:strike w:val="0"/>
          <w:color w:val="auto"/>
          <w:sz w:val="32"/>
          <w:u w:val="none"/>
        </w:rPr>
        <w:t>。</w:t>
      </w:r>
    </w:p>
    <w:p w14:paraId="780B11BD">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、存在的主要问题</w:t>
      </w:r>
    </w:p>
    <w:p w14:paraId="0324D10C">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）西湖镇卫生院、狮子山中心、金口岭中心、映湖中心、现存主要健康问题填写不全。</w:t>
      </w:r>
    </w:p>
    <w:p w14:paraId="324789DD">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）非房颤情况下，心率和脉率填写值与心电图结果不符，且相差较大，如阳光中心、金口岭中心；</w:t>
      </w:r>
    </w:p>
    <w:p w14:paraId="4E624FB5">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w:t>
      </w:r>
      <w:r>
        <w:rPr>
          <w:rFonts w:hint="eastAsia" w:ascii="Times New Roman" w:cs="Times New Roman"/>
          <w:i w:val="0"/>
          <w:strike w:val="0"/>
          <w:color w:val="auto"/>
          <w:sz w:val="32"/>
          <w:u w:val="none"/>
          <w:lang w:eastAsia="zh-CN"/>
        </w:rPr>
        <w:t>新城片区</w:t>
      </w:r>
      <w:r>
        <w:rPr>
          <w:rFonts w:hint="default" w:ascii="Times New Roman" w:hAnsi="Times New Roman" w:eastAsia="仿宋_GB2312" w:cs="Times New Roman"/>
          <w:i w:val="0"/>
          <w:strike w:val="0"/>
          <w:color w:val="auto"/>
          <w:sz w:val="32"/>
          <w:u w:val="none"/>
        </w:rPr>
        <w:t>、学苑中心、鹞山中心健康指导不全，如腰围值超过正常范围未提示减腰围；健康评价不全，异常指标未注明。</w:t>
      </w:r>
    </w:p>
    <w:p w14:paraId="4201A698">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4</w:t>
      </w:r>
      <w:r>
        <w:rPr>
          <w:rFonts w:hint="default" w:ascii="Times New Roman" w:hAnsi="Times New Roman" w:eastAsia="仿宋_GB2312" w:cs="Times New Roman"/>
          <w:i w:val="0"/>
          <w:strike w:val="0"/>
          <w:color w:val="auto"/>
          <w:sz w:val="32"/>
          <w:u w:val="none"/>
        </w:rPr>
        <w:t>）</w:t>
      </w:r>
      <w:r>
        <w:rPr>
          <w:rFonts w:hint="eastAsia" w:ascii="Times New Roman" w:cs="Times New Roman"/>
          <w:i w:val="0"/>
          <w:strike w:val="0"/>
          <w:color w:val="auto"/>
          <w:sz w:val="32"/>
          <w:u w:val="none"/>
          <w:lang w:eastAsia="zh-CN"/>
        </w:rPr>
        <w:t>新城片区</w:t>
      </w:r>
      <w:r>
        <w:rPr>
          <w:rFonts w:hint="default" w:ascii="Times New Roman" w:hAnsi="Times New Roman" w:eastAsia="仿宋_GB2312" w:cs="Times New Roman"/>
          <w:i w:val="0"/>
          <w:strike w:val="0"/>
          <w:color w:val="auto"/>
          <w:sz w:val="32"/>
          <w:u w:val="none"/>
        </w:rPr>
        <w:t>、横港中心手术史填写不规范；</w:t>
      </w:r>
    </w:p>
    <w:p w14:paraId="132E18CB">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color w:val="auto"/>
          <w:highlight w:val="yellow"/>
        </w:rPr>
      </w:pPr>
      <w:r>
        <w:rPr>
          <w:rFonts w:hint="default" w:ascii="Times New Roman" w:hAnsi="Times New Roman" w:eastAsia="仿宋_GB2312" w:cs="Times New Roman"/>
          <w:i w:val="0"/>
          <w:strike w:val="0"/>
          <w:color w:val="auto"/>
          <w:sz w:val="32"/>
          <w:highlight w:val="none"/>
          <w:u w:val="none"/>
        </w:rPr>
        <w:t>（</w:t>
      </w:r>
      <w:r>
        <w:rPr>
          <w:rFonts w:hint="default" w:ascii="Times New Roman" w:hAnsi="Times New Roman" w:cs="Times New Roman"/>
          <w:i w:val="0"/>
          <w:strike w:val="0"/>
          <w:color w:val="auto"/>
          <w:sz w:val="32"/>
          <w:highlight w:val="none"/>
          <w:u w:val="none"/>
        </w:rPr>
        <w:t>5</w:t>
      </w:r>
      <w:r>
        <w:rPr>
          <w:rFonts w:hint="default" w:ascii="Times New Roman" w:hAnsi="Times New Roman" w:eastAsia="仿宋_GB2312" w:cs="Times New Roman"/>
          <w:i w:val="0"/>
          <w:strike w:val="0"/>
          <w:color w:val="auto"/>
          <w:sz w:val="32"/>
          <w:highlight w:val="none"/>
          <w:u w:val="none"/>
        </w:rPr>
        <w:t>）</w:t>
      </w:r>
      <w:r>
        <w:rPr>
          <w:rFonts w:hint="eastAsia" w:ascii="Times New Roman" w:cs="Times New Roman"/>
          <w:i w:val="0"/>
          <w:strike w:val="0"/>
          <w:color w:val="auto"/>
          <w:sz w:val="32"/>
          <w:highlight w:val="none"/>
          <w:u w:val="none"/>
          <w:lang w:eastAsia="zh-CN"/>
        </w:rPr>
        <w:t>新城片区</w:t>
      </w:r>
      <w:r>
        <w:rPr>
          <w:rFonts w:hint="eastAsia" w:ascii="Times New Roman" w:cs="Times New Roman"/>
          <w:i w:val="0"/>
          <w:strike w:val="0"/>
          <w:color w:val="auto"/>
          <w:sz w:val="32"/>
          <w:highlight w:val="none"/>
          <w:u w:val="none"/>
          <w:lang w:val="en-US" w:eastAsia="zh-CN"/>
        </w:rPr>
        <w:t>抽查档案中</w:t>
      </w:r>
      <w:r>
        <w:rPr>
          <w:rFonts w:hint="default" w:ascii="Times New Roman" w:hAnsi="Times New Roman" w:eastAsia="仿宋_GB2312" w:cs="Times New Roman"/>
          <w:i w:val="0"/>
          <w:strike w:val="0"/>
          <w:color w:val="auto"/>
          <w:sz w:val="32"/>
          <w:highlight w:val="none"/>
          <w:u w:val="none"/>
        </w:rPr>
        <w:t>个别居民的同一日随访、体检，血压</w:t>
      </w:r>
      <w:r>
        <w:rPr>
          <w:rFonts w:hint="default" w:ascii="Times New Roman" w:hAnsi="Times New Roman" w:cs="Times New Roman"/>
          <w:i w:val="0"/>
          <w:strike w:val="0"/>
          <w:color w:val="auto"/>
          <w:sz w:val="32"/>
          <w:highlight w:val="none"/>
          <w:u w:val="none"/>
        </w:rPr>
        <w:t>/</w:t>
      </w:r>
      <w:r>
        <w:rPr>
          <w:rFonts w:hint="default" w:ascii="Times New Roman" w:hAnsi="Times New Roman" w:eastAsia="仿宋_GB2312" w:cs="Times New Roman"/>
          <w:i w:val="0"/>
          <w:strike w:val="0"/>
          <w:color w:val="auto"/>
          <w:sz w:val="32"/>
          <w:highlight w:val="none"/>
          <w:u w:val="none"/>
        </w:rPr>
        <w:t>血糖值不一致；</w:t>
      </w:r>
    </w:p>
    <w:p w14:paraId="11B3EA73">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default" w:ascii="Times New Roman" w:hAnsi="Times New Roman" w:cs="Times New Roman"/>
          <w:i w:val="0"/>
          <w:strike w:val="0"/>
          <w:color w:val="auto"/>
          <w:sz w:val="32"/>
          <w:u w:val="none"/>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6）个别慢病患者体检档案中系统疾病及体检分类应标明高血压病/糖尿病。</w:t>
      </w:r>
    </w:p>
    <w:p w14:paraId="271AAA50">
      <w:pPr>
        <w:keepNext w:val="0"/>
        <w:keepLines w:val="0"/>
        <w:pageBreakBefore w:val="0"/>
        <w:widowControl w:val="0"/>
        <w:kinsoku/>
        <w:wordWrap/>
        <w:topLinePunct w:val="0"/>
        <w:autoSpaceDE/>
        <w:autoSpaceDN/>
        <w:bidi w:val="0"/>
        <w:adjustRightInd/>
        <w:snapToGrid/>
        <w:spacing w:before="0" w:after="0" w:line="600" w:lineRule="exact"/>
        <w:ind w:left="-79" w:right="-79" w:firstLine="640" w:firstLineChars="200"/>
        <w:jc w:val="both"/>
        <w:textAlignment w:val="auto"/>
        <w:rPr>
          <w:rFonts w:hint="eastAsia" w:ascii="Times New Roman" w:hAnsi="Times New Roman" w:eastAsia="仿宋_GB2312" w:cs="Times New Roman"/>
          <w:i w:val="0"/>
          <w:strike w:val="0"/>
          <w:color w:val="auto"/>
          <w:sz w:val="32"/>
          <w:u w:val="none"/>
          <w:lang w:eastAsia="zh-CN"/>
        </w:rPr>
      </w:pPr>
      <w:r>
        <w:rPr>
          <w:rFonts w:hint="eastAsia" w:ascii="Times New Roman" w:hAnsi="Times New Roman" w:cs="Times New Roman"/>
          <w:i w:val="0"/>
          <w:strike w:val="0"/>
          <w:color w:val="auto"/>
          <w:sz w:val="32"/>
          <w:u w:val="none"/>
          <w:lang w:eastAsia="zh-CN"/>
        </w:rPr>
        <w:t>（</w:t>
      </w:r>
      <w:r>
        <w:rPr>
          <w:rFonts w:hint="eastAsia" w:ascii="Times New Roman" w:hAnsi="Times New Roman" w:cs="Times New Roman"/>
          <w:i w:val="0"/>
          <w:strike w:val="0"/>
          <w:color w:val="auto"/>
          <w:sz w:val="32"/>
          <w:u w:val="none"/>
          <w:lang w:val="en-US" w:eastAsia="zh-CN"/>
        </w:rPr>
        <w:t>7</w:t>
      </w:r>
      <w:r>
        <w:rPr>
          <w:rFonts w:hint="eastAsia" w:ascii="Times New Roman" w:hAnsi="Times New Roman" w:cs="Times New Roman"/>
          <w:i w:val="0"/>
          <w:strike w:val="0"/>
          <w:color w:val="auto"/>
          <w:sz w:val="32"/>
          <w:u w:val="none"/>
          <w:lang w:eastAsia="zh-CN"/>
        </w:rPr>
        <w:t>）两卡制问题：金口岭中心有2例档案两卡制人脸认证真实性存伪；学苑中心有3例档案两卡制人脸认证真实性存伪。</w:t>
      </w:r>
    </w:p>
    <w:p w14:paraId="73A712C6">
      <w:pPr>
        <w:keepNext w:val="0"/>
        <w:keepLines w:val="0"/>
        <w:pageBreakBefore w:val="0"/>
        <w:widowControl w:val="0"/>
        <w:pBdr>
          <w:bottom w:val="none" w:color="auto" w:sz="0" w:space="0"/>
        </w:pBdr>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cs="Times New Roman"/>
          <w:i w:val="0"/>
          <w:strike w:val="0"/>
          <w:color w:val="auto"/>
          <w:sz w:val="32"/>
          <w:u w:val="none"/>
        </w:rPr>
        <w:t> </w:t>
      </w:r>
      <w:r>
        <w:rPr>
          <w:rFonts w:hint="default" w:ascii="Times New Roman" w:hAnsi="Times New Roman" w:cs="Times New Roman"/>
          <w:b/>
          <w:i w:val="0"/>
          <w:strike w:val="0"/>
          <w:color w:val="auto"/>
          <w:sz w:val="32"/>
          <w:u w:val="none"/>
        </w:rPr>
        <w:t>3</w:t>
      </w:r>
      <w:r>
        <w:rPr>
          <w:rFonts w:hint="default" w:ascii="Times New Roman" w:hAnsi="Times New Roman" w:eastAsia="仿宋_GB2312" w:cs="Times New Roman"/>
          <w:b/>
          <w:i w:val="0"/>
          <w:strike w:val="0"/>
          <w:color w:val="auto"/>
          <w:sz w:val="32"/>
          <w:u w:val="none"/>
        </w:rPr>
        <w:t>、整改要求</w:t>
      </w:r>
    </w:p>
    <w:p w14:paraId="341040B7">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）健康评价应如实填写异常指标（如齿列异常、血糖高等），同时杜绝出现缺项、漏项、逻辑错误；</w:t>
      </w:r>
    </w:p>
    <w:p w14:paraId="1995D5CE">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）规范测量并真实记录血压、血糖、心率、脉率等相关检测值；</w:t>
      </w:r>
    </w:p>
    <w:p w14:paraId="413F2A43">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）针对居民的行为生活方式等，给予个性化健康指导；</w:t>
      </w:r>
    </w:p>
    <w:p w14:paraId="37B367F1">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4</w:t>
      </w:r>
      <w:r>
        <w:rPr>
          <w:rFonts w:hint="default" w:ascii="Times New Roman" w:hAnsi="Times New Roman" w:eastAsia="仿宋_GB2312" w:cs="Times New Roman"/>
          <w:i w:val="0"/>
          <w:strike w:val="0"/>
          <w:color w:val="auto"/>
          <w:sz w:val="32"/>
          <w:u w:val="none"/>
        </w:rPr>
        <w:t>）规范填写手术史：一年前手术史应在档案基本信息页填写，一年内手术史应在体检记录中填写；</w:t>
      </w:r>
    </w:p>
    <w:p w14:paraId="7C2FD21D">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5</w:t>
      </w:r>
      <w:r>
        <w:rPr>
          <w:rFonts w:hint="default" w:ascii="Times New Roman" w:hAnsi="Times New Roman" w:eastAsia="仿宋_GB2312" w:cs="Times New Roman"/>
          <w:i w:val="0"/>
          <w:strike w:val="0"/>
          <w:color w:val="auto"/>
          <w:sz w:val="32"/>
          <w:u w:val="none"/>
        </w:rPr>
        <w:t>）慢病患者体检档案中系统疾病及体检分类应标明高血压病</w:t>
      </w:r>
      <w:r>
        <w:rPr>
          <w:rFonts w:hint="default" w:ascii="Times New Roman" w:hAnsi="Times New Roman" w:cs="Times New Roman"/>
          <w:i w:val="0"/>
          <w:strike w:val="0"/>
          <w:color w:val="auto"/>
          <w:sz w:val="32"/>
          <w:u w:val="none"/>
        </w:rPr>
        <w:t>/</w:t>
      </w:r>
      <w:r>
        <w:rPr>
          <w:rFonts w:hint="default" w:ascii="Times New Roman" w:hAnsi="Times New Roman" w:eastAsia="仿宋_GB2312" w:cs="Times New Roman"/>
          <w:i w:val="0"/>
          <w:strike w:val="0"/>
          <w:color w:val="auto"/>
          <w:sz w:val="32"/>
          <w:u w:val="none"/>
        </w:rPr>
        <w:t>糖尿病。</w:t>
      </w:r>
    </w:p>
    <w:p w14:paraId="475782C7">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四</w:t>
      </w:r>
      <w:r>
        <w:rPr>
          <w:rFonts w:hint="default" w:ascii="Times New Roman" w:eastAsia="楷体_GB2312"/>
          <w:b/>
          <w:bCs/>
          <w:color w:val="auto"/>
        </w:rPr>
        <w:t>）老年人中医药</w:t>
      </w:r>
    </w:p>
    <w:p w14:paraId="3A7823B9">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、基本情况</w:t>
      </w:r>
    </w:p>
    <w:p w14:paraId="5D38BD69">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全区老年人中医药健康管理</w:t>
      </w:r>
      <w:r>
        <w:rPr>
          <w:rFonts w:hint="default" w:ascii="Times New Roman" w:hAnsi="Times New Roman" w:cs="Times New Roman"/>
          <w:i w:val="0"/>
          <w:strike w:val="0"/>
          <w:color w:val="auto"/>
          <w:sz w:val="32"/>
          <w:u w:val="none"/>
        </w:rPr>
        <w:t>50886</w:t>
      </w:r>
      <w:r>
        <w:rPr>
          <w:rFonts w:hint="default" w:ascii="Times New Roman" w:hAnsi="Times New Roman" w:eastAsia="仿宋_GB2312" w:cs="Times New Roman"/>
          <w:i w:val="0"/>
          <w:strike w:val="0"/>
          <w:color w:val="auto"/>
          <w:sz w:val="32"/>
          <w:u w:val="none"/>
        </w:rPr>
        <w:t>人，老年人中医药健康管理率为</w:t>
      </w:r>
      <w:r>
        <w:rPr>
          <w:rFonts w:hint="default" w:ascii="Times New Roman" w:hAnsi="Times New Roman" w:cs="Times New Roman"/>
          <w:i w:val="0"/>
          <w:strike w:val="0"/>
          <w:color w:val="auto"/>
          <w:sz w:val="32"/>
          <w:u w:val="none"/>
        </w:rPr>
        <w:t>82.69%</w:t>
      </w:r>
      <w:r>
        <w:rPr>
          <w:rFonts w:hint="default" w:ascii="Times New Roman" w:hAnsi="Times New Roman" w:eastAsia="仿宋_GB2312" w:cs="Times New Roman"/>
          <w:i w:val="0"/>
          <w:strike w:val="0"/>
          <w:color w:val="auto"/>
          <w:sz w:val="32"/>
          <w:u w:val="none"/>
        </w:rPr>
        <w:t>，在</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家机构中，</w:t>
      </w:r>
      <w:r>
        <w:rPr>
          <w:rFonts w:hint="default" w:ascii="Times New Roman" w:hAnsi="Times New Roman" w:cs="Times New Roman"/>
          <w:i w:val="0"/>
          <w:strike w:val="0"/>
          <w:color w:val="auto"/>
          <w:sz w:val="32"/>
          <w:u w:val="none"/>
        </w:rPr>
        <w:t>9</w:t>
      </w:r>
      <w:r>
        <w:rPr>
          <w:rFonts w:hint="default" w:ascii="Times New Roman" w:hAnsi="Times New Roman" w:eastAsia="仿宋_GB2312" w:cs="Times New Roman"/>
          <w:i w:val="0"/>
          <w:strike w:val="0"/>
          <w:color w:val="auto"/>
          <w:sz w:val="32"/>
          <w:u w:val="none"/>
        </w:rPr>
        <w:t>家机构的老年人中医药健康管理率已达标（</w:t>
      </w:r>
      <w:r>
        <w:rPr>
          <w:rFonts w:hint="default" w:ascii="Times New Roman" w:hAnsi="Times New Roman" w:cs="Times New Roman"/>
          <w:i w:val="0"/>
          <w:strike w:val="0"/>
          <w:color w:val="auto"/>
          <w:sz w:val="32"/>
          <w:u w:val="none"/>
        </w:rPr>
        <w:t>≥74%</w:t>
      </w:r>
      <w:r>
        <w:rPr>
          <w:rFonts w:hint="default" w:ascii="Times New Roman" w:hAnsi="Times New Roman" w:eastAsia="仿宋_GB2312" w:cs="Times New Roman"/>
          <w:i w:val="0"/>
          <w:strike w:val="0"/>
          <w:color w:val="auto"/>
          <w:sz w:val="32"/>
          <w:u w:val="none"/>
        </w:rPr>
        <w:t>），达标率</w:t>
      </w:r>
      <w:r>
        <w:rPr>
          <w:rFonts w:hint="default" w:ascii="Times New Roman" w:hAnsi="Times New Roman" w:cs="Times New Roman"/>
          <w:i w:val="0"/>
          <w:strike w:val="0"/>
          <w:color w:val="auto"/>
          <w:sz w:val="32"/>
          <w:u w:val="none"/>
        </w:rPr>
        <w:t>81.82%</w:t>
      </w:r>
      <w:r>
        <w:rPr>
          <w:rFonts w:hint="default" w:ascii="Times New Roman" w:hAnsi="Times New Roman" w:eastAsia="仿宋_GB2312" w:cs="Times New Roman"/>
          <w:i w:val="0"/>
          <w:strike w:val="0"/>
          <w:color w:val="auto"/>
          <w:sz w:val="32"/>
          <w:u w:val="none"/>
        </w:rPr>
        <w:t>。</w:t>
      </w:r>
    </w:p>
    <w:p w14:paraId="52F0524C">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、存在的主要问题</w:t>
      </w:r>
    </w:p>
    <w:p w14:paraId="44D4BED8">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）学苑中心、幸福中心老年人中医药健康管理率未达</w:t>
      </w:r>
      <w:r>
        <w:rPr>
          <w:rFonts w:hint="default" w:ascii="Times New Roman" w:hAnsi="Times New Roman" w:cs="Times New Roman"/>
          <w:i w:val="0"/>
          <w:strike w:val="0"/>
          <w:color w:val="auto"/>
          <w:sz w:val="32"/>
          <w:u w:val="none"/>
        </w:rPr>
        <w:t>74%</w:t>
      </w:r>
      <w:r>
        <w:rPr>
          <w:rFonts w:hint="default" w:ascii="Times New Roman" w:hAnsi="Times New Roman" w:eastAsia="仿宋_GB2312" w:cs="Times New Roman"/>
          <w:i w:val="0"/>
          <w:strike w:val="0"/>
          <w:color w:val="auto"/>
          <w:sz w:val="32"/>
          <w:u w:val="none"/>
        </w:rPr>
        <w:t>；</w:t>
      </w:r>
    </w:p>
    <w:p w14:paraId="290E06BF">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）映湖中心老年人中医药健康管理存在不规范现象，电话核实问题与问卷记录不符。</w:t>
      </w:r>
    </w:p>
    <w:p w14:paraId="5456446D">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u w:val="none"/>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）宣传力度不足，电话回访时发现部分老年人不清楚是否享受过该服务，部分问卷选项由医生根据掌握的健康情况进行判断，导致老年人对该项服务的知晓程度较低。</w:t>
      </w:r>
    </w:p>
    <w:p w14:paraId="6D2DBF83">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u w:val="none"/>
          <w:lang w:val="en-US" w:eastAsia="zh-CN"/>
        </w:rPr>
      </w:pPr>
      <w:r>
        <w:rPr>
          <w:rFonts w:hint="eastAsia" w:ascii="Times New Roman" w:cs="Times New Roman"/>
          <w:i w:val="0"/>
          <w:strike w:val="0"/>
          <w:color w:val="auto"/>
          <w:sz w:val="32"/>
          <w:u w:val="none"/>
          <w:lang w:eastAsia="zh-CN"/>
        </w:rPr>
        <w:t>（</w:t>
      </w:r>
      <w:r>
        <w:rPr>
          <w:rFonts w:hint="eastAsia" w:ascii="Times New Roman" w:cs="Times New Roman"/>
          <w:i w:val="0"/>
          <w:strike w:val="0"/>
          <w:color w:val="auto"/>
          <w:sz w:val="32"/>
          <w:u w:val="none"/>
          <w:lang w:val="en-US" w:eastAsia="zh-CN"/>
        </w:rPr>
        <w:t>4</w:t>
      </w:r>
      <w:r>
        <w:rPr>
          <w:rFonts w:hint="eastAsia" w:ascii="Times New Roman" w:cs="Times New Roman"/>
          <w:i w:val="0"/>
          <w:strike w:val="0"/>
          <w:color w:val="auto"/>
          <w:sz w:val="32"/>
          <w:u w:val="none"/>
          <w:lang w:eastAsia="zh-CN"/>
        </w:rPr>
        <w:t>）</w:t>
      </w:r>
      <w:r>
        <w:rPr>
          <w:rFonts w:hint="eastAsia" w:ascii="Times New Roman" w:cs="Times New Roman"/>
          <w:i w:val="0"/>
          <w:strike w:val="0"/>
          <w:color w:val="auto"/>
          <w:sz w:val="32"/>
          <w:u w:val="none"/>
          <w:lang w:val="en-US" w:eastAsia="zh-CN"/>
        </w:rPr>
        <w:t>两卡制问题：</w:t>
      </w:r>
      <w:r>
        <w:rPr>
          <w:rFonts w:hint="eastAsia" w:ascii="Times New Roman" w:hAnsi="Times New Roman" w:cs="Times New Roman"/>
          <w:b w:val="0"/>
          <w:bCs w:val="0"/>
          <w:i w:val="0"/>
          <w:iCs w:val="0"/>
          <w:color w:val="auto"/>
          <w:spacing w:val="0"/>
          <w:w w:val="100"/>
          <w:sz w:val="32"/>
          <w:szCs w:val="32"/>
          <w:highlight w:val="none"/>
          <w:vertAlign w:val="baseline"/>
          <w:lang w:val="en-US" w:eastAsia="zh-CN"/>
        </w:rPr>
        <w:t>横港中心有2例档案两卡制人脸认证真实性存伪；西湖镇卫生院有1例档案两卡制人脸认证真实性存伪；学苑中心有3例档案两卡制人脸认证真实性存伪。</w:t>
      </w:r>
    </w:p>
    <w:p w14:paraId="2B2696F1">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3</w:t>
      </w:r>
      <w:r>
        <w:rPr>
          <w:rFonts w:hint="default" w:ascii="Times New Roman" w:hAnsi="Times New Roman" w:eastAsia="仿宋_GB2312" w:cs="Times New Roman"/>
          <w:b/>
          <w:i w:val="0"/>
          <w:strike w:val="0"/>
          <w:color w:val="auto"/>
          <w:sz w:val="32"/>
          <w:u w:val="none"/>
        </w:rPr>
        <w:t>、整改要求</w:t>
      </w:r>
    </w:p>
    <w:p w14:paraId="7EE32AD6">
      <w:pPr>
        <w:keepNext w:val="0"/>
        <w:keepLines w:val="0"/>
        <w:pageBreakBefore w:val="0"/>
        <w:widowControl w:val="0"/>
        <w:kinsoku/>
        <w:wordWrap/>
        <w:topLinePunct w:val="0"/>
        <w:autoSpaceDE/>
        <w:autoSpaceDN/>
        <w:bidi w:val="0"/>
        <w:adjustRightInd/>
        <w:snapToGrid/>
        <w:spacing w:before="0" w:after="0" w:line="600" w:lineRule="exact"/>
        <w:ind w:left="-96" w:right="-96" w:firstLine="616"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6"/>
          <w:sz w:val="32"/>
          <w:u w:val="none"/>
        </w:rPr>
        <w:t>加强对老年人中医药管理的重视程度，加大中医体质辨识与中医保健指导力度，将中医体质辨识问卷和中医保健知识指导相结合进行询问，针对较为复杂的问题，可适当转换为通俗易懂的口语化问题询问。在保健指导中应确保情志调摄、饮食调养、起居调摄、运动保健、穴位保健</w:t>
      </w:r>
      <w:r>
        <w:rPr>
          <w:rFonts w:hint="default" w:ascii="Times New Roman" w:hAnsi="Times New Roman" w:cs="Times New Roman"/>
          <w:i w:val="0"/>
          <w:strike w:val="0"/>
          <w:color w:val="auto"/>
          <w:spacing w:val="-6"/>
          <w:sz w:val="32"/>
          <w:u w:val="none"/>
        </w:rPr>
        <w:t>5</w:t>
      </w:r>
      <w:r>
        <w:rPr>
          <w:rFonts w:hint="default" w:ascii="Times New Roman" w:hAnsi="Times New Roman" w:eastAsia="仿宋_GB2312" w:cs="Times New Roman"/>
          <w:i w:val="0"/>
          <w:strike w:val="0"/>
          <w:color w:val="auto"/>
          <w:spacing w:val="-6"/>
          <w:sz w:val="32"/>
          <w:u w:val="none"/>
        </w:rPr>
        <w:t>个方面内容全面，强化老年人中医保健理念。</w:t>
      </w:r>
    </w:p>
    <w:p w14:paraId="65A7EB59">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五</w:t>
      </w:r>
      <w:r>
        <w:rPr>
          <w:rFonts w:hint="default" w:ascii="Times New Roman" w:eastAsia="楷体_GB2312"/>
          <w:b/>
          <w:bCs/>
          <w:color w:val="auto"/>
        </w:rPr>
        <w:t>）慢病管理</w:t>
      </w:r>
    </w:p>
    <w:p w14:paraId="0DA01EEF">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、基本情况</w:t>
      </w:r>
    </w:p>
    <w:p w14:paraId="4D22CA99">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b/>
          <w:i w:val="0"/>
          <w:strike w:val="0"/>
          <w:color w:val="auto"/>
          <w:sz w:val="32"/>
          <w:u w:val="none"/>
        </w:rPr>
        <w:t>（</w:t>
      </w: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）高血压患者管理</w:t>
      </w:r>
    </w:p>
    <w:p w14:paraId="43CA06BE">
      <w:pPr>
        <w:keepNext w:val="0"/>
        <w:keepLines w:val="0"/>
        <w:pageBreakBefore w:val="0"/>
        <w:widowControl w:val="0"/>
        <w:kinsoku/>
        <w:wordWrap/>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cs="Times New Roman"/>
          <w:i w:val="0"/>
          <w:strike w:val="0"/>
          <w:color w:val="auto"/>
          <w:sz w:val="32"/>
          <w:u w:val="none"/>
        </w:rPr>
        <w:t>2024</w:t>
      </w:r>
      <w:r>
        <w:rPr>
          <w:rFonts w:hint="default" w:ascii="Times New Roman" w:hAnsi="Times New Roman" w:eastAsia="仿宋_GB2312" w:cs="Times New Roman"/>
          <w:i w:val="0"/>
          <w:strike w:val="0"/>
          <w:color w:val="auto"/>
          <w:sz w:val="32"/>
          <w:u w:val="none"/>
        </w:rPr>
        <w:t>年，全区共管理高血压患者</w:t>
      </w:r>
      <w:r>
        <w:rPr>
          <w:rFonts w:hint="default" w:ascii="Times New Roman" w:hAnsi="Times New Roman" w:cs="Times New Roman"/>
          <w:i w:val="0"/>
          <w:strike w:val="0"/>
          <w:color w:val="auto"/>
          <w:sz w:val="32"/>
          <w:u w:val="none"/>
        </w:rPr>
        <w:t>62365</w:t>
      </w:r>
      <w:r>
        <w:rPr>
          <w:rFonts w:hint="default" w:ascii="Times New Roman" w:hAnsi="Times New Roman" w:eastAsia="仿宋_GB2312" w:cs="Times New Roman"/>
          <w:i w:val="0"/>
          <w:strike w:val="0"/>
          <w:color w:val="auto"/>
          <w:sz w:val="32"/>
          <w:u w:val="none"/>
        </w:rPr>
        <w:t>人，管理率</w:t>
      </w:r>
      <w:r>
        <w:rPr>
          <w:rFonts w:hint="default" w:ascii="Times New Roman" w:hAnsi="Times New Roman" w:cs="Times New Roman"/>
          <w:i w:val="0"/>
          <w:strike w:val="0"/>
          <w:color w:val="auto"/>
          <w:sz w:val="32"/>
          <w:u w:val="none"/>
        </w:rPr>
        <w:t>77.39%</w:t>
      </w:r>
      <w:r>
        <w:rPr>
          <w:rFonts w:hint="default" w:ascii="Times New Roman" w:hAnsi="Times New Roman" w:eastAsia="仿宋_GB2312" w:cs="Times New Roman"/>
          <w:i w:val="0"/>
          <w:strike w:val="0"/>
          <w:color w:val="auto"/>
          <w:sz w:val="32"/>
          <w:u w:val="none"/>
        </w:rPr>
        <w:t>；规范管理</w:t>
      </w:r>
      <w:r>
        <w:rPr>
          <w:rFonts w:hint="default" w:ascii="Times New Roman" w:hAnsi="Times New Roman" w:cs="Times New Roman"/>
          <w:i w:val="0"/>
          <w:strike w:val="0"/>
          <w:color w:val="auto"/>
          <w:sz w:val="32"/>
          <w:u w:val="none"/>
        </w:rPr>
        <w:t>43757</w:t>
      </w:r>
      <w:r>
        <w:rPr>
          <w:rFonts w:hint="default" w:ascii="Times New Roman" w:hAnsi="Times New Roman" w:eastAsia="仿宋_GB2312" w:cs="Times New Roman"/>
          <w:i w:val="0"/>
          <w:strike w:val="0"/>
          <w:color w:val="auto"/>
          <w:sz w:val="32"/>
          <w:u w:val="none"/>
        </w:rPr>
        <w:t xml:space="preserve">人，规范管理率 </w:t>
      </w:r>
      <w:r>
        <w:rPr>
          <w:rFonts w:hint="default" w:ascii="Times New Roman" w:hAnsi="Times New Roman" w:cs="Times New Roman"/>
          <w:i w:val="0"/>
          <w:strike w:val="0"/>
          <w:color w:val="auto"/>
          <w:sz w:val="32"/>
          <w:u w:val="none"/>
        </w:rPr>
        <w:t>70.16%</w:t>
      </w:r>
      <w:r>
        <w:rPr>
          <w:rFonts w:hint="default" w:ascii="Times New Roman" w:hAnsi="Times New Roman" w:eastAsia="仿宋_GB2312" w:cs="Times New Roman"/>
          <w:i w:val="0"/>
          <w:strike w:val="0"/>
          <w:color w:val="auto"/>
          <w:sz w:val="32"/>
          <w:u w:val="none"/>
        </w:rPr>
        <w:t>；血压控制率</w:t>
      </w:r>
      <w:r>
        <w:rPr>
          <w:rFonts w:hint="default" w:ascii="Times New Roman" w:hAnsi="Times New Roman" w:cs="Times New Roman"/>
          <w:i w:val="0"/>
          <w:strike w:val="0"/>
          <w:color w:val="auto"/>
          <w:sz w:val="32"/>
          <w:u w:val="none"/>
        </w:rPr>
        <w:t>76.72%</w:t>
      </w:r>
      <w:r>
        <w:rPr>
          <w:rFonts w:hint="default" w:ascii="Times New Roman" w:hAnsi="Times New Roman" w:eastAsia="仿宋_GB2312" w:cs="Times New Roman"/>
          <w:i w:val="0"/>
          <w:strike w:val="0"/>
          <w:color w:val="auto"/>
          <w:sz w:val="32"/>
          <w:u w:val="none"/>
        </w:rPr>
        <w:t>。</w:t>
      </w:r>
    </w:p>
    <w:p w14:paraId="5D595A27">
      <w:pPr>
        <w:keepNext w:val="0"/>
        <w:keepLines w:val="0"/>
        <w:pageBreakBefore w:val="0"/>
        <w:widowControl w:val="0"/>
        <w:kinsoku/>
        <w:wordWrap/>
        <w:topLinePunct w:val="0"/>
        <w:autoSpaceDE/>
        <w:autoSpaceDN/>
        <w:bidi w:val="0"/>
        <w:adjustRightInd/>
        <w:snapToGrid/>
        <w:spacing w:before="0" w:after="0" w:line="600" w:lineRule="exact"/>
        <w:ind w:left="0" w:right="0" w:firstLine="420"/>
        <w:jc w:val="both"/>
        <w:textAlignment w:val="auto"/>
        <w:rPr>
          <w:rFonts w:hint="default" w:ascii="Times New Roman" w:hAnsi="Times New Roman" w:eastAsia="仿宋_GB2312" w:cs="Times New Roman"/>
          <w:i w:val="0"/>
          <w:strike w:val="0"/>
          <w:color w:val="auto"/>
          <w:spacing w:val="0"/>
          <w:sz w:val="32"/>
          <w:u w:val="none"/>
        </w:rPr>
      </w:pPr>
      <w:r>
        <w:rPr>
          <w:rFonts w:hint="default" w:ascii="Times New Roman" w:hAnsi="Times New Roman" w:eastAsia="仿宋_GB2312" w:cs="Times New Roman"/>
          <w:i w:val="0"/>
          <w:strike w:val="0"/>
          <w:color w:val="auto"/>
          <w:sz w:val="32"/>
          <w:u w:val="none"/>
        </w:rPr>
        <w:t>抽查的</w:t>
      </w:r>
      <w:r>
        <w:rPr>
          <w:rFonts w:hint="default" w:ascii="Times New Roman" w:hAnsi="Times New Roman" w:cs="Times New Roman"/>
          <w:i w:val="0"/>
          <w:strike w:val="0"/>
          <w:color w:val="auto"/>
          <w:sz w:val="32"/>
          <w:u w:val="none"/>
        </w:rPr>
        <w:t>11</w:t>
      </w:r>
      <w:r>
        <w:rPr>
          <w:rFonts w:hint="default" w:ascii="Times New Roman" w:hAnsi="Times New Roman" w:eastAsia="仿宋_GB2312" w:cs="Times New Roman"/>
          <w:i w:val="0"/>
          <w:strike w:val="0"/>
          <w:color w:val="auto"/>
          <w:sz w:val="32"/>
          <w:u w:val="none"/>
        </w:rPr>
        <w:t>家中心</w:t>
      </w:r>
      <w:r>
        <w:rPr>
          <w:rFonts w:hint="eastAsia" w:ascii="Times New Roman" w:hAnsi="Times New Roman" w:cs="Times New Roman"/>
          <w:i w:val="0"/>
          <w:strike w:val="0"/>
          <w:color w:val="auto"/>
          <w:sz w:val="32"/>
          <w:u w:val="none"/>
          <w:lang w:eastAsia="zh-CN"/>
        </w:rPr>
        <w:t>（</w:t>
      </w:r>
      <w:r>
        <w:rPr>
          <w:rFonts w:hint="eastAsia" w:ascii="Times New Roman" w:hAnsi="Times New Roman" w:cs="Times New Roman"/>
          <w:i w:val="0"/>
          <w:strike w:val="0"/>
          <w:color w:val="auto"/>
          <w:sz w:val="32"/>
          <w:u w:val="none"/>
          <w:lang w:val="en-US" w:eastAsia="zh-CN"/>
        </w:rPr>
        <w:t>卫生院</w:t>
      </w:r>
      <w:r>
        <w:rPr>
          <w:rFonts w:hint="eastAsia" w:ascii="Times New Roman" w:hAnsi="Times New Roman" w:cs="Times New Roman"/>
          <w:i w:val="0"/>
          <w:strike w:val="0"/>
          <w:color w:val="auto"/>
          <w:sz w:val="32"/>
          <w:u w:val="none"/>
          <w:lang w:eastAsia="zh-CN"/>
        </w:rPr>
        <w:t>）</w:t>
      </w:r>
      <w:r>
        <w:rPr>
          <w:rFonts w:hint="default" w:ascii="Times New Roman" w:hAnsi="Times New Roman" w:eastAsia="仿宋_GB2312" w:cs="Times New Roman"/>
          <w:i w:val="0"/>
          <w:strike w:val="0"/>
          <w:color w:val="auto"/>
          <w:sz w:val="32"/>
          <w:u w:val="none"/>
        </w:rPr>
        <w:t>中，</w:t>
      </w:r>
      <w:r>
        <w:rPr>
          <w:rFonts w:hint="default" w:ascii="Times New Roman" w:hAnsi="Times New Roman" w:cs="Times New Roman"/>
          <w:i w:val="0"/>
          <w:strike w:val="0"/>
          <w:color w:val="auto"/>
          <w:spacing w:val="0"/>
          <w:sz w:val="32"/>
          <w:u w:val="none"/>
        </w:rPr>
        <w:t>8</w:t>
      </w:r>
      <w:r>
        <w:rPr>
          <w:rFonts w:hint="default" w:ascii="Times New Roman" w:hAnsi="Times New Roman" w:eastAsia="仿宋_GB2312" w:cs="Times New Roman"/>
          <w:i w:val="0"/>
          <w:strike w:val="0"/>
          <w:color w:val="auto"/>
          <w:spacing w:val="0"/>
          <w:sz w:val="32"/>
          <w:u w:val="none"/>
        </w:rPr>
        <w:t>家中心高血压管理率（</w:t>
      </w:r>
      <w:r>
        <w:rPr>
          <w:rFonts w:hint="default" w:ascii="Times New Roman" w:hAnsi="Times New Roman" w:cs="Times New Roman"/>
          <w:i w:val="0"/>
          <w:strike w:val="0"/>
          <w:color w:val="auto"/>
          <w:spacing w:val="0"/>
          <w:sz w:val="32"/>
          <w:u w:val="none"/>
        </w:rPr>
        <w:t>≥70%</w:t>
      </w:r>
      <w:r>
        <w:rPr>
          <w:rFonts w:hint="default" w:ascii="Times New Roman" w:hAnsi="Times New Roman" w:eastAsia="仿宋_GB2312" w:cs="Times New Roman"/>
          <w:i w:val="0"/>
          <w:strike w:val="0"/>
          <w:color w:val="auto"/>
          <w:spacing w:val="0"/>
          <w:sz w:val="32"/>
          <w:u w:val="none"/>
        </w:rPr>
        <w:t>）达标，达标率为</w:t>
      </w:r>
      <w:r>
        <w:rPr>
          <w:rFonts w:hint="default" w:ascii="Times New Roman" w:hAnsi="Times New Roman" w:cs="Times New Roman"/>
          <w:i w:val="0"/>
          <w:strike w:val="0"/>
          <w:color w:val="auto"/>
          <w:spacing w:val="0"/>
          <w:sz w:val="32"/>
          <w:u w:val="none"/>
        </w:rPr>
        <w:t>72.73%</w:t>
      </w: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3</w:t>
      </w:r>
      <w:r>
        <w:rPr>
          <w:rFonts w:hint="default" w:ascii="Times New Roman" w:hAnsi="Times New Roman" w:eastAsia="仿宋_GB2312" w:cs="Times New Roman"/>
          <w:i w:val="0"/>
          <w:strike w:val="0"/>
          <w:color w:val="auto"/>
          <w:spacing w:val="0"/>
          <w:sz w:val="32"/>
          <w:u w:val="none"/>
        </w:rPr>
        <w:t>家高血压管理率不达标，分别是幸福中心（</w:t>
      </w:r>
      <w:r>
        <w:rPr>
          <w:rFonts w:hint="default" w:ascii="Times New Roman" w:hAnsi="Times New Roman" w:cs="Times New Roman"/>
          <w:i w:val="0"/>
          <w:strike w:val="0"/>
          <w:color w:val="auto"/>
          <w:spacing w:val="0"/>
          <w:sz w:val="32"/>
          <w:u w:val="none"/>
        </w:rPr>
        <w:t>63.67%</w:t>
      </w:r>
      <w:r>
        <w:rPr>
          <w:rFonts w:hint="default" w:ascii="Times New Roman" w:hAnsi="Times New Roman" w:eastAsia="仿宋_GB2312" w:cs="Times New Roman"/>
          <w:i w:val="0"/>
          <w:strike w:val="0"/>
          <w:color w:val="auto"/>
          <w:spacing w:val="0"/>
          <w:sz w:val="32"/>
          <w:u w:val="none"/>
        </w:rPr>
        <w:t>）、学苑中心（</w:t>
      </w:r>
      <w:r>
        <w:rPr>
          <w:rFonts w:hint="default" w:ascii="Times New Roman" w:hAnsi="Times New Roman" w:cs="Times New Roman"/>
          <w:i w:val="0"/>
          <w:strike w:val="0"/>
          <w:color w:val="auto"/>
          <w:spacing w:val="0"/>
          <w:sz w:val="32"/>
          <w:u w:val="none"/>
        </w:rPr>
        <w:t>60.72%</w:t>
      </w:r>
      <w:r>
        <w:rPr>
          <w:rFonts w:hint="default" w:ascii="Times New Roman" w:hAnsi="Times New Roman" w:eastAsia="仿宋_GB2312" w:cs="Times New Roman"/>
          <w:i w:val="0"/>
          <w:strike w:val="0"/>
          <w:color w:val="auto"/>
          <w:spacing w:val="0"/>
          <w:sz w:val="32"/>
          <w:u w:val="none"/>
        </w:rPr>
        <w:t>）、鹞山中心（</w:t>
      </w:r>
      <w:r>
        <w:rPr>
          <w:rFonts w:hint="default" w:ascii="Times New Roman" w:hAnsi="Times New Roman" w:cs="Times New Roman"/>
          <w:i w:val="0"/>
          <w:strike w:val="0"/>
          <w:color w:val="auto"/>
          <w:spacing w:val="0"/>
          <w:sz w:val="32"/>
          <w:u w:val="none"/>
        </w:rPr>
        <w:t>61.81%</w:t>
      </w: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10</w:t>
      </w:r>
      <w:r>
        <w:rPr>
          <w:rFonts w:hint="default" w:ascii="Times New Roman" w:hAnsi="Times New Roman" w:eastAsia="仿宋_GB2312" w:cs="Times New Roman"/>
          <w:i w:val="0"/>
          <w:strike w:val="0"/>
          <w:color w:val="auto"/>
          <w:spacing w:val="0"/>
          <w:sz w:val="32"/>
          <w:u w:val="none"/>
        </w:rPr>
        <w:t>家机构规范管理率达标（</w:t>
      </w:r>
      <w:r>
        <w:rPr>
          <w:rFonts w:hint="default" w:ascii="Times New Roman" w:hAnsi="Times New Roman" w:cs="Times New Roman"/>
          <w:i w:val="0"/>
          <w:strike w:val="0"/>
          <w:color w:val="auto"/>
          <w:spacing w:val="0"/>
          <w:sz w:val="32"/>
          <w:u w:val="none"/>
        </w:rPr>
        <w:t>≥64%</w:t>
      </w:r>
      <w:r>
        <w:rPr>
          <w:rFonts w:hint="default" w:ascii="Times New Roman" w:hAnsi="Times New Roman" w:eastAsia="仿宋_GB2312" w:cs="Times New Roman"/>
          <w:i w:val="0"/>
          <w:strike w:val="0"/>
          <w:color w:val="auto"/>
          <w:spacing w:val="0"/>
          <w:sz w:val="32"/>
          <w:u w:val="none"/>
        </w:rPr>
        <w:t>），达标率为</w:t>
      </w:r>
      <w:r>
        <w:rPr>
          <w:rFonts w:hint="default" w:ascii="Times New Roman" w:hAnsi="Times New Roman" w:cs="Times New Roman"/>
          <w:i w:val="0"/>
          <w:strike w:val="0"/>
          <w:color w:val="auto"/>
          <w:spacing w:val="0"/>
          <w:sz w:val="32"/>
          <w:u w:val="none"/>
        </w:rPr>
        <w:t>90.91%</w:t>
      </w:r>
      <w:r>
        <w:rPr>
          <w:rFonts w:hint="default" w:ascii="Times New Roman" w:hAnsi="Times New Roman" w:eastAsia="仿宋_GB2312" w:cs="Times New Roman"/>
          <w:i w:val="0"/>
          <w:strike w:val="0"/>
          <w:color w:val="auto"/>
          <w:spacing w:val="0"/>
          <w:sz w:val="32"/>
          <w:u w:val="none"/>
        </w:rPr>
        <w:t>；血压控制达标率</w:t>
      </w:r>
      <w:r>
        <w:rPr>
          <w:rFonts w:hint="default" w:ascii="Times New Roman" w:hAnsi="Times New Roman" w:cs="Times New Roman"/>
          <w:i w:val="0"/>
          <w:strike w:val="0"/>
          <w:color w:val="auto"/>
          <w:spacing w:val="0"/>
          <w:sz w:val="32"/>
          <w:u w:val="none"/>
        </w:rPr>
        <w:t>100%</w:t>
      </w:r>
      <w:r>
        <w:rPr>
          <w:rFonts w:hint="default" w:ascii="Times New Roman" w:hAnsi="Times New Roman" w:eastAsia="仿宋_GB2312" w:cs="Times New Roman"/>
          <w:i w:val="0"/>
          <w:strike w:val="0"/>
          <w:color w:val="auto"/>
          <w:spacing w:val="0"/>
          <w:sz w:val="32"/>
          <w:u w:val="none"/>
        </w:rPr>
        <w:t>。抽查的</w:t>
      </w:r>
      <w:r>
        <w:rPr>
          <w:rFonts w:hint="default" w:ascii="Times New Roman" w:hAnsi="Times New Roman" w:cs="Times New Roman"/>
          <w:i w:val="0"/>
          <w:strike w:val="0"/>
          <w:color w:val="auto"/>
          <w:spacing w:val="0"/>
          <w:sz w:val="32"/>
          <w:u w:val="none"/>
        </w:rPr>
        <w:t>11</w:t>
      </w:r>
      <w:r>
        <w:rPr>
          <w:rFonts w:hint="default" w:ascii="Times New Roman" w:hAnsi="Times New Roman" w:eastAsia="仿宋_GB2312" w:cs="Times New Roman"/>
          <w:i w:val="0"/>
          <w:strike w:val="0"/>
          <w:color w:val="auto"/>
          <w:spacing w:val="0"/>
          <w:sz w:val="32"/>
          <w:u w:val="none"/>
        </w:rPr>
        <w:t>家机构，</w:t>
      </w:r>
      <w:r>
        <w:rPr>
          <w:rFonts w:hint="eastAsia" w:ascii="Times New Roman" w:cs="Times New Roman"/>
          <w:i w:val="0"/>
          <w:strike w:val="0"/>
          <w:color w:val="auto"/>
          <w:spacing w:val="0"/>
          <w:sz w:val="32"/>
          <w:u w:val="none"/>
          <w:lang w:eastAsia="zh-CN"/>
        </w:rPr>
        <w:t>新城片区</w:t>
      </w:r>
      <w:r>
        <w:rPr>
          <w:rFonts w:hint="default" w:ascii="Times New Roman" w:hAnsi="Times New Roman" w:eastAsia="仿宋_GB2312" w:cs="Times New Roman"/>
          <w:i w:val="0"/>
          <w:strike w:val="0"/>
          <w:color w:val="auto"/>
          <w:spacing w:val="0"/>
          <w:sz w:val="32"/>
          <w:u w:val="none"/>
        </w:rPr>
        <w:t>有</w:t>
      </w:r>
      <w:r>
        <w:rPr>
          <w:rFonts w:hint="default" w:ascii="Times New Roman" w:hAnsi="Times New Roman" w:cs="Times New Roman"/>
          <w:i w:val="0"/>
          <w:strike w:val="0"/>
          <w:color w:val="auto"/>
          <w:spacing w:val="0"/>
          <w:sz w:val="32"/>
          <w:u w:val="none"/>
        </w:rPr>
        <w:t>1</w:t>
      </w:r>
      <w:r>
        <w:rPr>
          <w:rFonts w:hint="default" w:ascii="Times New Roman" w:hAnsi="Times New Roman" w:eastAsia="仿宋_GB2312" w:cs="Times New Roman"/>
          <w:i w:val="0"/>
          <w:strike w:val="0"/>
          <w:color w:val="auto"/>
          <w:spacing w:val="0"/>
          <w:sz w:val="32"/>
          <w:u w:val="none"/>
        </w:rPr>
        <w:t>例电话核实真实性问题不符。</w:t>
      </w:r>
    </w:p>
    <w:p w14:paraId="4FE11623">
      <w:pPr>
        <w:keepNext w:val="0"/>
        <w:keepLines w:val="0"/>
        <w:pageBreakBefore w:val="0"/>
        <w:widowControl w:val="0"/>
        <w:kinsoku/>
        <w:wordWrap/>
        <w:topLinePunct w:val="0"/>
        <w:autoSpaceDE/>
        <w:autoSpaceDN/>
        <w:bidi w:val="0"/>
        <w:adjustRightInd/>
        <w:snapToGrid/>
        <w:spacing w:before="0" w:after="0" w:line="600" w:lineRule="exact"/>
        <w:ind w:left="0" w:right="0" w:firstLine="420"/>
        <w:jc w:val="both"/>
        <w:textAlignment w:val="auto"/>
        <w:rPr>
          <w:rFonts w:hint="default" w:ascii="Times New Roman" w:hAnsi="Times New Roman" w:eastAsia="仿宋_GB2312" w:cs="Times New Roman"/>
          <w:i w:val="0"/>
          <w:strike w:val="0"/>
          <w:color w:val="auto"/>
          <w:spacing w:val="0"/>
          <w:sz w:val="32"/>
          <w:u w:val="none"/>
        </w:rPr>
      </w:pPr>
      <w:r>
        <w:rPr>
          <w:rFonts w:hint="eastAsia" w:ascii="Times New Roman" w:cs="Times New Roman"/>
          <w:i w:val="0"/>
          <w:strike w:val="0"/>
          <w:color w:val="auto"/>
          <w:spacing w:val="0"/>
          <w:sz w:val="32"/>
          <w:u w:val="none"/>
          <w:lang w:val="en-US" w:eastAsia="zh-CN"/>
        </w:rPr>
        <w:t>两卡制问题：横港中心有2例</w:t>
      </w:r>
      <w:r>
        <w:rPr>
          <w:rFonts w:hint="eastAsia" w:ascii="Times New Roman" w:hAnsi="Times New Roman" w:cs="Times New Roman"/>
          <w:b w:val="0"/>
          <w:bCs w:val="0"/>
          <w:i w:val="0"/>
          <w:iCs w:val="0"/>
          <w:color w:val="auto"/>
          <w:spacing w:val="0"/>
          <w:w w:val="100"/>
          <w:sz w:val="32"/>
          <w:szCs w:val="32"/>
          <w:highlight w:val="none"/>
          <w:vertAlign w:val="baseline"/>
          <w:lang w:val="en-US" w:eastAsia="zh-CN"/>
        </w:rPr>
        <w:t>档案两卡制人脸认证真实性存伪；金口岭中心有2例档案两卡制人脸认证真实性存伪；西湖镇卫生院有5例档案两卡制人脸认证真实性存伪；幸福中心有1例档案两卡制人脸认证真实性存伪；学苑中心有2例档案两卡制人脸认证真实性存伪。</w:t>
      </w:r>
    </w:p>
    <w:p w14:paraId="2DEE8C2E">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b/>
          <w:i w:val="0"/>
          <w:strike w:val="0"/>
          <w:color w:val="auto"/>
          <w:sz w:val="32"/>
          <w:u w:val="none"/>
        </w:rPr>
        <w:t>（</w:t>
      </w: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）糖尿病患者管理</w:t>
      </w:r>
    </w:p>
    <w:p w14:paraId="4E90EF16">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cs="Times New Roman"/>
          <w:i w:val="0"/>
          <w:strike w:val="0"/>
          <w:color w:val="auto"/>
          <w:sz w:val="32"/>
          <w:u w:val="none"/>
        </w:rPr>
        <w:t>2024</w:t>
      </w:r>
      <w:r>
        <w:rPr>
          <w:rFonts w:hint="default" w:ascii="Times New Roman" w:hAnsi="Times New Roman" w:eastAsia="仿宋_GB2312" w:cs="Times New Roman"/>
          <w:i w:val="0"/>
          <w:strike w:val="0"/>
          <w:color w:val="auto"/>
          <w:sz w:val="32"/>
          <w:u w:val="none"/>
        </w:rPr>
        <w:t>年，全区共管理糖尿病患者</w:t>
      </w:r>
      <w:r>
        <w:rPr>
          <w:rFonts w:hint="default" w:ascii="Times New Roman" w:hAnsi="Times New Roman" w:cs="Times New Roman"/>
          <w:i w:val="0"/>
          <w:strike w:val="0"/>
          <w:color w:val="auto"/>
          <w:sz w:val="32"/>
          <w:u w:val="none"/>
        </w:rPr>
        <w:t>21428</w:t>
      </w:r>
      <w:r>
        <w:rPr>
          <w:rFonts w:hint="default" w:ascii="Times New Roman" w:hAnsi="Times New Roman" w:eastAsia="仿宋_GB2312" w:cs="Times New Roman"/>
          <w:i w:val="0"/>
          <w:strike w:val="0"/>
          <w:color w:val="auto"/>
          <w:sz w:val="32"/>
          <w:u w:val="none"/>
        </w:rPr>
        <w:t>人，糖尿病患者管理率</w:t>
      </w:r>
      <w:r>
        <w:rPr>
          <w:rFonts w:hint="default" w:ascii="Times New Roman" w:hAnsi="Times New Roman" w:cs="Times New Roman"/>
          <w:i w:val="0"/>
          <w:strike w:val="0"/>
          <w:color w:val="auto"/>
          <w:sz w:val="32"/>
          <w:u w:val="none"/>
        </w:rPr>
        <w:t>69.07%</w:t>
      </w:r>
      <w:r>
        <w:rPr>
          <w:rFonts w:hint="default" w:ascii="Times New Roman" w:hAnsi="Times New Roman" w:eastAsia="仿宋_GB2312" w:cs="Times New Roman"/>
          <w:i w:val="0"/>
          <w:strike w:val="0"/>
          <w:color w:val="auto"/>
          <w:sz w:val="32"/>
          <w:u w:val="none"/>
        </w:rPr>
        <w:t>；规范管理</w:t>
      </w:r>
      <w:r>
        <w:rPr>
          <w:rFonts w:hint="default" w:ascii="Times New Roman" w:hAnsi="Times New Roman" w:cs="Times New Roman"/>
          <w:i w:val="0"/>
          <w:strike w:val="0"/>
          <w:color w:val="auto"/>
          <w:sz w:val="32"/>
          <w:u w:val="none"/>
        </w:rPr>
        <w:t>15335</w:t>
      </w:r>
      <w:r>
        <w:rPr>
          <w:rFonts w:hint="default" w:ascii="Times New Roman" w:hAnsi="Times New Roman" w:eastAsia="仿宋_GB2312" w:cs="Times New Roman"/>
          <w:i w:val="0"/>
          <w:strike w:val="0"/>
          <w:color w:val="auto"/>
          <w:sz w:val="32"/>
          <w:u w:val="none"/>
        </w:rPr>
        <w:t>人，规范管理率</w:t>
      </w:r>
      <w:r>
        <w:rPr>
          <w:rFonts w:hint="default" w:ascii="Times New Roman" w:hAnsi="Times New Roman" w:cs="Times New Roman"/>
          <w:i w:val="0"/>
          <w:strike w:val="0"/>
          <w:color w:val="auto"/>
          <w:sz w:val="32"/>
          <w:u w:val="none"/>
        </w:rPr>
        <w:t>71.57%</w:t>
      </w:r>
      <w:r>
        <w:rPr>
          <w:rFonts w:hint="default" w:ascii="Times New Roman" w:hAnsi="Times New Roman" w:eastAsia="仿宋_GB2312" w:cs="Times New Roman"/>
          <w:i w:val="0"/>
          <w:strike w:val="0"/>
          <w:color w:val="auto"/>
          <w:sz w:val="32"/>
          <w:u w:val="none"/>
        </w:rPr>
        <w:t>；血糖控制率</w:t>
      </w:r>
      <w:r>
        <w:rPr>
          <w:rFonts w:hint="default" w:ascii="Times New Roman" w:hAnsi="Times New Roman" w:cs="Times New Roman"/>
          <w:i w:val="0"/>
          <w:strike w:val="0"/>
          <w:color w:val="auto"/>
          <w:sz w:val="32"/>
          <w:u w:val="none"/>
        </w:rPr>
        <w:t>53.79%</w:t>
      </w:r>
      <w:r>
        <w:rPr>
          <w:rFonts w:hint="default" w:ascii="Times New Roman" w:hAnsi="Times New Roman" w:eastAsia="仿宋_GB2312" w:cs="Times New Roman"/>
          <w:i w:val="0"/>
          <w:strike w:val="0"/>
          <w:color w:val="auto"/>
          <w:sz w:val="32"/>
          <w:u w:val="none"/>
        </w:rPr>
        <w:t>。</w:t>
      </w:r>
    </w:p>
    <w:p w14:paraId="40FA481F">
      <w:pPr>
        <w:keepNext w:val="0"/>
        <w:keepLines w:val="0"/>
        <w:pageBreakBefore w:val="0"/>
        <w:widowControl w:val="0"/>
        <w:kinsoku/>
        <w:wordWrap/>
        <w:topLinePunct w:val="0"/>
        <w:autoSpaceDE/>
        <w:autoSpaceDN/>
        <w:bidi w:val="0"/>
        <w:adjustRightInd/>
        <w:snapToGrid/>
        <w:spacing w:before="0" w:after="0" w:line="600" w:lineRule="exact"/>
        <w:ind w:left="0" w:right="0" w:firstLine="420"/>
        <w:jc w:val="both"/>
        <w:textAlignment w:val="auto"/>
        <w:rPr>
          <w:rFonts w:hint="default" w:ascii="Times New Roman" w:hAnsi="Times New Roman" w:eastAsia="仿宋_GB2312" w:cs="Times New Roman"/>
          <w:i w:val="0"/>
          <w:strike w:val="0"/>
          <w:color w:val="auto"/>
          <w:spacing w:val="0"/>
          <w:sz w:val="32"/>
          <w:u w:val="none"/>
        </w:rPr>
      </w:pPr>
      <w:r>
        <w:rPr>
          <w:rFonts w:hint="default" w:ascii="Times New Roman" w:hAnsi="Times New Roman" w:eastAsia="仿宋_GB2312" w:cs="Times New Roman"/>
          <w:i w:val="0"/>
          <w:strike w:val="0"/>
          <w:color w:val="auto"/>
          <w:spacing w:val="0"/>
          <w:sz w:val="32"/>
          <w:u w:val="none"/>
        </w:rPr>
        <w:t>抽查的</w:t>
      </w:r>
      <w:r>
        <w:rPr>
          <w:rFonts w:hint="default" w:ascii="Times New Roman" w:hAnsi="Times New Roman" w:cs="Times New Roman"/>
          <w:i w:val="0"/>
          <w:strike w:val="0"/>
          <w:color w:val="auto"/>
          <w:spacing w:val="0"/>
          <w:sz w:val="32"/>
          <w:u w:val="none"/>
        </w:rPr>
        <w:t>11</w:t>
      </w:r>
      <w:r>
        <w:rPr>
          <w:rFonts w:hint="default" w:ascii="Times New Roman" w:hAnsi="Times New Roman" w:eastAsia="仿宋_GB2312" w:cs="Times New Roman"/>
          <w:i w:val="0"/>
          <w:strike w:val="0"/>
          <w:color w:val="auto"/>
          <w:spacing w:val="0"/>
          <w:sz w:val="32"/>
          <w:u w:val="none"/>
        </w:rPr>
        <w:t>家中心</w:t>
      </w:r>
      <w:r>
        <w:rPr>
          <w:rFonts w:hint="eastAsia" w:ascii="Times New Roman" w:hAnsi="Times New Roman" w:cs="Times New Roman"/>
          <w:i w:val="0"/>
          <w:strike w:val="0"/>
          <w:color w:val="auto"/>
          <w:spacing w:val="0"/>
          <w:sz w:val="32"/>
          <w:u w:val="none"/>
          <w:lang w:eastAsia="zh-CN"/>
        </w:rPr>
        <w:t>（</w:t>
      </w:r>
      <w:r>
        <w:rPr>
          <w:rFonts w:hint="eastAsia" w:ascii="Times New Roman" w:hAnsi="Times New Roman" w:cs="Times New Roman"/>
          <w:i w:val="0"/>
          <w:strike w:val="0"/>
          <w:color w:val="auto"/>
          <w:spacing w:val="0"/>
          <w:sz w:val="32"/>
          <w:u w:val="none"/>
          <w:lang w:val="en-US" w:eastAsia="zh-CN"/>
        </w:rPr>
        <w:t>卫生院</w:t>
      </w:r>
      <w:r>
        <w:rPr>
          <w:rFonts w:hint="eastAsia" w:ascii="Times New Roman" w:hAnsi="Times New Roman" w:cs="Times New Roman"/>
          <w:i w:val="0"/>
          <w:strike w:val="0"/>
          <w:color w:val="auto"/>
          <w:spacing w:val="0"/>
          <w:sz w:val="32"/>
          <w:u w:val="none"/>
          <w:lang w:eastAsia="zh-CN"/>
        </w:rPr>
        <w:t>）</w:t>
      </w:r>
      <w:r>
        <w:rPr>
          <w:rFonts w:hint="default" w:ascii="Times New Roman" w:hAnsi="Times New Roman" w:eastAsia="仿宋_GB2312" w:cs="Times New Roman"/>
          <w:i w:val="0"/>
          <w:strike w:val="0"/>
          <w:color w:val="auto"/>
          <w:spacing w:val="0"/>
          <w:sz w:val="32"/>
          <w:u w:val="none"/>
        </w:rPr>
        <w:t>中，糖尿病管理率（</w:t>
      </w:r>
      <w:r>
        <w:rPr>
          <w:rFonts w:hint="default" w:ascii="Times New Roman" w:hAnsi="Times New Roman" w:cs="Times New Roman"/>
          <w:i w:val="0"/>
          <w:strike w:val="0"/>
          <w:color w:val="auto"/>
          <w:spacing w:val="0"/>
          <w:sz w:val="32"/>
          <w:u w:val="none"/>
        </w:rPr>
        <w:t>≥55%</w:t>
      </w:r>
      <w:r>
        <w:rPr>
          <w:rFonts w:hint="default" w:ascii="Times New Roman" w:hAnsi="Times New Roman" w:eastAsia="仿宋_GB2312" w:cs="Times New Roman"/>
          <w:i w:val="0"/>
          <w:strike w:val="0"/>
          <w:color w:val="auto"/>
          <w:spacing w:val="0"/>
          <w:sz w:val="32"/>
          <w:u w:val="none"/>
        </w:rPr>
        <w:t>）均达标，达标率为</w:t>
      </w:r>
      <w:r>
        <w:rPr>
          <w:rFonts w:hint="default" w:ascii="Times New Roman" w:hAnsi="Times New Roman" w:cs="Times New Roman"/>
          <w:i w:val="0"/>
          <w:strike w:val="0"/>
          <w:color w:val="auto"/>
          <w:spacing w:val="0"/>
          <w:sz w:val="32"/>
          <w:u w:val="none"/>
        </w:rPr>
        <w:t>100%</w:t>
      </w: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10</w:t>
      </w:r>
      <w:r>
        <w:rPr>
          <w:rFonts w:hint="default" w:ascii="Times New Roman" w:hAnsi="Times New Roman" w:eastAsia="仿宋_GB2312" w:cs="Times New Roman"/>
          <w:i w:val="0"/>
          <w:strike w:val="0"/>
          <w:color w:val="auto"/>
          <w:spacing w:val="0"/>
          <w:sz w:val="32"/>
          <w:u w:val="none"/>
        </w:rPr>
        <w:t>家机构规范管理率达标（</w:t>
      </w:r>
      <w:r>
        <w:rPr>
          <w:rFonts w:hint="default" w:ascii="Times New Roman" w:hAnsi="Times New Roman" w:cs="Times New Roman"/>
          <w:i w:val="0"/>
          <w:strike w:val="0"/>
          <w:color w:val="auto"/>
          <w:spacing w:val="0"/>
          <w:sz w:val="32"/>
          <w:u w:val="none"/>
        </w:rPr>
        <w:t>≥64%</w:t>
      </w:r>
      <w:r>
        <w:rPr>
          <w:rFonts w:hint="default" w:ascii="Times New Roman" w:hAnsi="Times New Roman" w:eastAsia="仿宋_GB2312" w:cs="Times New Roman"/>
          <w:i w:val="0"/>
          <w:strike w:val="0"/>
          <w:color w:val="auto"/>
          <w:spacing w:val="0"/>
          <w:sz w:val="32"/>
          <w:u w:val="none"/>
        </w:rPr>
        <w:t>），幸福中心（</w:t>
      </w:r>
      <w:r>
        <w:rPr>
          <w:rFonts w:hint="default" w:ascii="Times New Roman" w:hAnsi="Times New Roman" w:cs="Times New Roman"/>
          <w:i w:val="0"/>
          <w:strike w:val="0"/>
          <w:color w:val="auto"/>
          <w:spacing w:val="0"/>
          <w:sz w:val="32"/>
          <w:u w:val="none"/>
        </w:rPr>
        <w:t>60.28%</w:t>
      </w:r>
      <w:r>
        <w:rPr>
          <w:rFonts w:hint="default" w:ascii="Times New Roman" w:hAnsi="Times New Roman" w:eastAsia="仿宋_GB2312" w:cs="Times New Roman"/>
          <w:i w:val="0"/>
          <w:strike w:val="0"/>
          <w:color w:val="auto"/>
          <w:spacing w:val="0"/>
          <w:sz w:val="32"/>
          <w:u w:val="none"/>
        </w:rPr>
        <w:t>）未达标，达标率为</w:t>
      </w:r>
      <w:r>
        <w:rPr>
          <w:rFonts w:hint="default" w:ascii="Times New Roman" w:hAnsi="Times New Roman" w:cs="Times New Roman"/>
          <w:i w:val="0"/>
          <w:strike w:val="0"/>
          <w:color w:val="auto"/>
          <w:spacing w:val="0"/>
          <w:sz w:val="32"/>
          <w:u w:val="none"/>
        </w:rPr>
        <w:t>90.91%</w:t>
      </w:r>
      <w:r>
        <w:rPr>
          <w:rFonts w:hint="default" w:ascii="Times New Roman" w:hAnsi="Times New Roman" w:eastAsia="仿宋_GB2312" w:cs="Times New Roman"/>
          <w:i w:val="0"/>
          <w:strike w:val="0"/>
          <w:color w:val="auto"/>
          <w:spacing w:val="0"/>
          <w:sz w:val="32"/>
          <w:u w:val="none"/>
        </w:rPr>
        <w:t>；血糖控制达标率</w:t>
      </w:r>
      <w:r>
        <w:rPr>
          <w:rFonts w:hint="default" w:ascii="Times New Roman" w:hAnsi="Times New Roman" w:cs="Times New Roman"/>
          <w:i w:val="0"/>
          <w:strike w:val="0"/>
          <w:color w:val="auto"/>
          <w:spacing w:val="0"/>
          <w:sz w:val="32"/>
          <w:u w:val="none"/>
        </w:rPr>
        <w:t>100%</w:t>
      </w:r>
      <w:r>
        <w:rPr>
          <w:rFonts w:hint="default" w:ascii="Times New Roman" w:hAnsi="Times New Roman" w:eastAsia="仿宋_GB2312" w:cs="Times New Roman"/>
          <w:i w:val="0"/>
          <w:strike w:val="0"/>
          <w:color w:val="auto"/>
          <w:spacing w:val="0"/>
          <w:sz w:val="32"/>
          <w:u w:val="none"/>
        </w:rPr>
        <w:t>。抽查</w:t>
      </w:r>
      <w:r>
        <w:rPr>
          <w:rFonts w:hint="default" w:ascii="Times New Roman" w:hAnsi="Times New Roman" w:cs="Times New Roman"/>
          <w:i w:val="0"/>
          <w:strike w:val="0"/>
          <w:color w:val="auto"/>
          <w:spacing w:val="0"/>
          <w:sz w:val="32"/>
          <w:u w:val="none"/>
        </w:rPr>
        <w:t>11</w:t>
      </w:r>
      <w:r>
        <w:rPr>
          <w:rFonts w:hint="default" w:ascii="Times New Roman" w:hAnsi="Times New Roman" w:eastAsia="仿宋_GB2312" w:cs="Times New Roman"/>
          <w:i w:val="0"/>
          <w:strike w:val="0"/>
          <w:color w:val="auto"/>
          <w:spacing w:val="0"/>
          <w:sz w:val="32"/>
          <w:u w:val="none"/>
        </w:rPr>
        <w:t>家机构中，接通电话真实性</w:t>
      </w:r>
      <w:r>
        <w:rPr>
          <w:rFonts w:hint="default" w:ascii="Times New Roman" w:hAnsi="Times New Roman" w:cs="Times New Roman"/>
          <w:i w:val="0"/>
          <w:strike w:val="0"/>
          <w:color w:val="auto"/>
          <w:spacing w:val="0"/>
          <w:sz w:val="32"/>
          <w:u w:val="none"/>
        </w:rPr>
        <w:t>100%</w:t>
      </w:r>
      <w:r>
        <w:rPr>
          <w:rFonts w:hint="default" w:ascii="Times New Roman" w:hAnsi="Times New Roman" w:eastAsia="仿宋_GB2312" w:cs="Times New Roman"/>
          <w:i w:val="0"/>
          <w:strike w:val="0"/>
          <w:color w:val="auto"/>
          <w:spacing w:val="0"/>
          <w:sz w:val="32"/>
          <w:u w:val="none"/>
        </w:rPr>
        <w:t>。</w:t>
      </w:r>
    </w:p>
    <w:p w14:paraId="66D29C0B">
      <w:pPr>
        <w:keepNext w:val="0"/>
        <w:keepLines w:val="0"/>
        <w:pageBreakBefore w:val="0"/>
        <w:widowControl w:val="0"/>
        <w:kinsoku/>
        <w:wordWrap/>
        <w:topLinePunct w:val="0"/>
        <w:autoSpaceDE/>
        <w:autoSpaceDN/>
        <w:bidi w:val="0"/>
        <w:adjustRightInd/>
        <w:snapToGrid/>
        <w:spacing w:before="0" w:after="0" w:line="600" w:lineRule="exact"/>
        <w:ind w:left="0" w:right="0" w:firstLine="420"/>
        <w:jc w:val="both"/>
        <w:textAlignment w:val="auto"/>
        <w:rPr>
          <w:rFonts w:hint="default" w:ascii="Times New Roman" w:hAnsi="Times New Roman" w:eastAsia="仿宋_GB2312" w:cs="Times New Roman"/>
          <w:i w:val="0"/>
          <w:strike w:val="0"/>
          <w:color w:val="auto"/>
          <w:spacing w:val="0"/>
          <w:sz w:val="32"/>
          <w:u w:val="none"/>
        </w:rPr>
      </w:pPr>
      <w:r>
        <w:rPr>
          <w:rFonts w:hint="eastAsia" w:ascii="Times New Roman" w:cs="Times New Roman"/>
          <w:i w:val="0"/>
          <w:strike w:val="0"/>
          <w:color w:val="auto"/>
          <w:spacing w:val="0"/>
          <w:sz w:val="32"/>
          <w:u w:val="none"/>
          <w:lang w:val="en-US" w:eastAsia="zh-CN"/>
        </w:rPr>
        <w:t>两卡制问题：横港中心有1例</w:t>
      </w:r>
      <w:r>
        <w:rPr>
          <w:rFonts w:hint="eastAsia" w:ascii="Times New Roman" w:hAnsi="Times New Roman" w:cs="Times New Roman"/>
          <w:b w:val="0"/>
          <w:bCs w:val="0"/>
          <w:i w:val="0"/>
          <w:iCs w:val="0"/>
          <w:color w:val="auto"/>
          <w:spacing w:val="0"/>
          <w:w w:val="100"/>
          <w:sz w:val="32"/>
          <w:szCs w:val="32"/>
          <w:highlight w:val="none"/>
          <w:vertAlign w:val="baseline"/>
          <w:lang w:val="en-US" w:eastAsia="zh-CN"/>
        </w:rPr>
        <w:t>档案两卡制人脸认证真实性存伪；金口岭中心有1例档案两卡制人脸认证真实性存伪；学苑中心有3例档案两卡制人脸认证真实性存伪。</w:t>
      </w:r>
    </w:p>
    <w:p w14:paraId="0BA5DC13">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、存在的主要问题</w:t>
      </w:r>
    </w:p>
    <w:p w14:paraId="31838115">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1</w:t>
      </w:r>
      <w:r>
        <w:rPr>
          <w:rFonts w:hint="default" w:ascii="Times New Roman" w:hAnsi="Times New Roman" w:eastAsia="仿宋_GB2312" w:cs="Times New Roman"/>
          <w:i w:val="0"/>
          <w:strike w:val="0"/>
          <w:color w:val="auto"/>
          <w:spacing w:val="0"/>
          <w:sz w:val="32"/>
          <w:u w:val="none"/>
        </w:rPr>
        <w:t>）部分居民随访及体检记录中，无个性化的健康指导意见；健康指导逻辑错误，如不抽烟饮酒，指导戒烟限酒；健康指导不全，如未减体重；</w:t>
      </w:r>
    </w:p>
    <w:p w14:paraId="31B5EBCF">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2</w:t>
      </w:r>
      <w:r>
        <w:rPr>
          <w:rFonts w:hint="default" w:ascii="Times New Roman" w:hAnsi="Times New Roman" w:eastAsia="仿宋_GB2312" w:cs="Times New Roman"/>
          <w:i w:val="0"/>
          <w:strike w:val="0"/>
          <w:color w:val="auto"/>
          <w:spacing w:val="-10"/>
          <w:sz w:val="32"/>
          <w:u w:val="none"/>
        </w:rPr>
        <w:t>）服药问题：不服药，未建议服药，无处方留痕；</w:t>
      </w:r>
      <w:r>
        <w:rPr>
          <w:rFonts w:hint="default" w:ascii="Times New Roman" w:hAnsi="Times New Roman" w:eastAsia="仿宋_GB2312" w:cs="Times New Roman"/>
          <w:i w:val="0"/>
          <w:strike w:val="0"/>
          <w:color w:val="auto"/>
          <w:spacing w:val="0"/>
          <w:sz w:val="32"/>
          <w:u w:val="none"/>
        </w:rPr>
        <w:t>用药剂量、服药时间、次数等填写不规范；居民已长期停药，仍填写服药；</w:t>
      </w:r>
    </w:p>
    <w:p w14:paraId="6216ADAC">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3</w:t>
      </w:r>
      <w:r>
        <w:rPr>
          <w:rFonts w:hint="default" w:ascii="Times New Roman" w:hAnsi="Times New Roman" w:eastAsia="仿宋_GB2312" w:cs="Times New Roman"/>
          <w:i w:val="0"/>
          <w:strike w:val="0"/>
          <w:color w:val="auto"/>
          <w:spacing w:val="0"/>
          <w:sz w:val="32"/>
          <w:u w:val="none"/>
        </w:rPr>
        <w:t>）个别居民的同一日随访、体检，血压</w:t>
      </w:r>
      <w:r>
        <w:rPr>
          <w:rFonts w:hint="default" w:ascii="Times New Roman" w:hAnsi="Times New Roman" w:cs="Times New Roman"/>
          <w:i w:val="0"/>
          <w:strike w:val="0"/>
          <w:color w:val="auto"/>
          <w:spacing w:val="0"/>
          <w:sz w:val="32"/>
          <w:u w:val="none"/>
        </w:rPr>
        <w:t>/</w:t>
      </w:r>
      <w:r>
        <w:rPr>
          <w:rFonts w:hint="default" w:ascii="Times New Roman" w:hAnsi="Times New Roman" w:eastAsia="仿宋_GB2312" w:cs="Times New Roman"/>
          <w:i w:val="0"/>
          <w:strike w:val="0"/>
          <w:color w:val="auto"/>
          <w:spacing w:val="0"/>
          <w:sz w:val="32"/>
          <w:u w:val="none"/>
        </w:rPr>
        <w:t>血糖值不一致；</w:t>
      </w:r>
    </w:p>
    <w:p w14:paraId="22072099">
      <w:pPr>
        <w:keepNext w:val="0"/>
        <w:keepLines w:val="0"/>
        <w:pageBreakBefore w:val="0"/>
        <w:widowControl w:val="0"/>
        <w:kinsoku/>
        <w:wordWrap/>
        <w:overflowPunct/>
        <w:topLinePunct w:val="0"/>
        <w:autoSpaceDE/>
        <w:autoSpaceDN/>
        <w:bidi w:val="0"/>
        <w:adjustRightInd/>
        <w:snapToGrid/>
        <w:spacing w:before="0" w:after="0" w:line="600" w:lineRule="exact"/>
        <w:ind w:right="-79"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4</w:t>
      </w: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eastAsia="仿宋_GB2312" w:cs="Times New Roman"/>
          <w:i w:val="0"/>
          <w:strike w:val="0"/>
          <w:color w:val="auto"/>
          <w:sz w:val="32"/>
          <w:u w:val="none"/>
        </w:rPr>
        <w:t>体检记录中现存主要健康问题填写不全，</w:t>
      </w:r>
      <w:r>
        <w:rPr>
          <w:rFonts w:hint="default" w:ascii="Times New Roman" w:hAnsi="Times New Roman" w:eastAsia="仿宋_GB2312" w:cs="Times New Roman"/>
          <w:i w:val="0"/>
          <w:strike w:val="0"/>
          <w:color w:val="auto"/>
          <w:spacing w:val="0"/>
          <w:sz w:val="32"/>
          <w:u w:val="none"/>
        </w:rPr>
        <w:t>体检分类及现存健康主要问题未填写高血压</w:t>
      </w:r>
      <w:r>
        <w:rPr>
          <w:rFonts w:hint="default" w:ascii="Times New Roman" w:hAnsi="Times New Roman" w:cs="Times New Roman"/>
          <w:i w:val="0"/>
          <w:strike w:val="0"/>
          <w:color w:val="auto"/>
          <w:spacing w:val="0"/>
          <w:sz w:val="32"/>
          <w:u w:val="none"/>
        </w:rPr>
        <w:t>/</w:t>
      </w:r>
      <w:r>
        <w:rPr>
          <w:rFonts w:hint="default" w:ascii="Times New Roman" w:hAnsi="Times New Roman" w:eastAsia="仿宋_GB2312" w:cs="Times New Roman"/>
          <w:i w:val="0"/>
          <w:strike w:val="0"/>
          <w:color w:val="auto"/>
          <w:spacing w:val="0"/>
          <w:sz w:val="32"/>
          <w:u w:val="none"/>
        </w:rPr>
        <w:t>糖尿病；</w:t>
      </w:r>
    </w:p>
    <w:p w14:paraId="6F7328AF">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5</w:t>
      </w:r>
      <w:r>
        <w:rPr>
          <w:rFonts w:hint="default" w:ascii="Times New Roman" w:hAnsi="Times New Roman" w:eastAsia="仿宋_GB2312" w:cs="Times New Roman"/>
          <w:i w:val="0"/>
          <w:strike w:val="0"/>
          <w:color w:val="auto"/>
          <w:spacing w:val="0"/>
          <w:sz w:val="32"/>
          <w:u w:val="none"/>
        </w:rPr>
        <w:t>）非特殊情况，脉率、心率填写数值相差较大；</w:t>
      </w:r>
    </w:p>
    <w:p w14:paraId="6479C94F">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left"/>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6</w:t>
      </w:r>
      <w:r>
        <w:rPr>
          <w:rFonts w:hint="default" w:ascii="Times New Roman" w:hAnsi="Times New Roman" w:eastAsia="仿宋_GB2312" w:cs="Times New Roman"/>
          <w:i w:val="0"/>
          <w:strike w:val="0"/>
          <w:color w:val="auto"/>
          <w:spacing w:val="0"/>
          <w:sz w:val="32"/>
          <w:u w:val="none"/>
        </w:rPr>
        <w:t>）个人档案基本信息首页未填写疾病史、手术史；</w:t>
      </w:r>
      <w:r>
        <w:rPr>
          <w:rFonts w:hint="default" w:ascii="Times New Roman" w:hAnsi="Times New Roman" w:eastAsia="仿宋_GB2312" w:cs="Times New Roman"/>
          <w:i w:val="0"/>
          <w:strike w:val="0"/>
          <w:color w:val="auto"/>
          <w:sz w:val="32"/>
          <w:u w:val="none"/>
        </w:rPr>
        <w:t>手术史填写不规范：有手术史未在体检记录或基本信息中填写；</w:t>
      </w:r>
    </w:p>
    <w:p w14:paraId="6802A08B">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3</w:t>
      </w:r>
      <w:r>
        <w:rPr>
          <w:rFonts w:hint="default" w:ascii="Times New Roman" w:hAnsi="Times New Roman" w:eastAsia="仿宋_GB2312" w:cs="Times New Roman"/>
          <w:b/>
          <w:i w:val="0"/>
          <w:strike w:val="0"/>
          <w:color w:val="auto"/>
          <w:sz w:val="32"/>
          <w:u w:val="none"/>
        </w:rPr>
        <w:t>、整改要求</w:t>
      </w:r>
    </w:p>
    <w:p w14:paraId="30227E8D">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）针对居民的行为生活方式等，给予个性化健康指导；</w:t>
      </w:r>
    </w:p>
    <w:p w14:paraId="59DFB849">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w:t>
      </w:r>
      <w:r>
        <w:rPr>
          <w:rFonts w:hint="default" w:ascii="Times New Roman" w:hAnsi="Times New Roman" w:eastAsia="仿宋_GB2312" w:cs="Times New Roman"/>
          <w:i w:val="0"/>
          <w:strike w:val="0"/>
          <w:color w:val="auto"/>
          <w:spacing w:val="-6"/>
          <w:sz w:val="32"/>
          <w:u w:val="none"/>
        </w:rPr>
        <w:t>如实记录居民服药情况，随访、体检记录中应一一对应；</w:t>
      </w:r>
    </w:p>
    <w:p w14:paraId="1B9D8BAF">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）同一日随访、体检，血压</w:t>
      </w:r>
      <w:r>
        <w:rPr>
          <w:rFonts w:hint="default" w:ascii="Times New Roman" w:hAnsi="Times New Roman" w:cs="Times New Roman"/>
          <w:i w:val="0"/>
          <w:strike w:val="0"/>
          <w:color w:val="auto"/>
          <w:sz w:val="32"/>
          <w:u w:val="none"/>
        </w:rPr>
        <w:t>/</w:t>
      </w:r>
      <w:r>
        <w:rPr>
          <w:rFonts w:hint="default" w:ascii="Times New Roman" w:hAnsi="Times New Roman" w:eastAsia="仿宋_GB2312" w:cs="Times New Roman"/>
          <w:i w:val="0"/>
          <w:strike w:val="0"/>
          <w:color w:val="auto"/>
          <w:sz w:val="32"/>
          <w:u w:val="none"/>
        </w:rPr>
        <w:t>血糖值应一致；</w:t>
      </w:r>
    </w:p>
    <w:p w14:paraId="1464ED89">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4</w:t>
      </w:r>
      <w:r>
        <w:rPr>
          <w:rFonts w:hint="default" w:ascii="Times New Roman" w:hAnsi="Times New Roman" w:eastAsia="仿宋_GB2312" w:cs="Times New Roman"/>
          <w:i w:val="0"/>
          <w:strike w:val="0"/>
          <w:color w:val="auto"/>
          <w:sz w:val="32"/>
          <w:u w:val="none"/>
        </w:rPr>
        <w:t>）根据实际情况规范填写现存主要健康问题；</w:t>
      </w:r>
    </w:p>
    <w:p w14:paraId="379F0D2D">
      <w:pPr>
        <w:keepNext w:val="0"/>
        <w:keepLines w:val="0"/>
        <w:pageBreakBefore w:val="0"/>
        <w:widowControl w:val="0"/>
        <w:kinsoku/>
        <w:wordWrap/>
        <w:overflowPunct/>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5</w:t>
      </w:r>
      <w:r>
        <w:rPr>
          <w:rFonts w:hint="default" w:ascii="Times New Roman" w:hAnsi="Times New Roman" w:eastAsia="仿宋_GB2312" w:cs="Times New Roman"/>
          <w:i w:val="0"/>
          <w:strike w:val="0"/>
          <w:color w:val="auto"/>
          <w:sz w:val="32"/>
          <w:u w:val="none"/>
        </w:rPr>
        <w:t>）</w:t>
      </w:r>
      <w:r>
        <w:rPr>
          <w:rFonts w:hint="default" w:ascii="Times New Roman" w:hAnsi="Times New Roman" w:eastAsia="仿宋_GB2312" w:cs="Times New Roman"/>
          <w:i w:val="0"/>
          <w:strike w:val="0"/>
          <w:color w:val="auto"/>
          <w:spacing w:val="0"/>
          <w:sz w:val="32"/>
          <w:u w:val="none"/>
        </w:rPr>
        <w:t>根据心电图报告结果如实记录异常；心率、脉率须实际测量；</w:t>
      </w:r>
    </w:p>
    <w:p w14:paraId="13B0CBD0">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i w:val="0"/>
          <w:strike w:val="0"/>
          <w:color w:val="auto"/>
          <w:spacing w:val="0"/>
          <w:sz w:val="32"/>
          <w:u w:val="none"/>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6</w:t>
      </w:r>
      <w:r>
        <w:rPr>
          <w:rFonts w:hint="default" w:ascii="Times New Roman" w:hAnsi="Times New Roman" w:eastAsia="仿宋_GB2312" w:cs="Times New Roman"/>
          <w:i w:val="0"/>
          <w:strike w:val="0"/>
          <w:color w:val="auto"/>
          <w:sz w:val="32"/>
          <w:u w:val="none"/>
        </w:rPr>
        <w:t>）</w:t>
      </w:r>
      <w:r>
        <w:rPr>
          <w:rFonts w:hint="default" w:ascii="Times New Roman" w:hAnsi="Times New Roman" w:eastAsia="仿宋_GB2312" w:cs="Times New Roman"/>
          <w:i w:val="0"/>
          <w:strike w:val="0"/>
          <w:color w:val="auto"/>
          <w:spacing w:val="0"/>
          <w:sz w:val="32"/>
          <w:u w:val="none"/>
        </w:rPr>
        <w:t>须规范填写疾病史、手术史；</w:t>
      </w:r>
    </w:p>
    <w:p w14:paraId="5FD69846">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 （</w:t>
      </w:r>
      <w:r>
        <w:rPr>
          <w:rFonts w:hint="eastAsia" w:ascii="Times New Roman" w:eastAsia="楷体_GB2312"/>
          <w:b/>
          <w:bCs/>
          <w:color w:val="auto"/>
          <w:lang w:val="en-US" w:eastAsia="zh-CN"/>
        </w:rPr>
        <w:t>六</w:t>
      </w:r>
      <w:r>
        <w:rPr>
          <w:rFonts w:hint="default" w:ascii="Times New Roman" w:eastAsia="楷体_GB2312"/>
          <w:b/>
          <w:bCs/>
          <w:color w:val="auto"/>
        </w:rPr>
        <w:t>）健康教育</w:t>
      </w:r>
    </w:p>
    <w:p w14:paraId="463844C8">
      <w:pPr>
        <w:keepNext w:val="0"/>
        <w:keepLines w:val="0"/>
        <w:pageBreakBefore w:val="0"/>
        <w:widowControl w:val="0"/>
        <w:kinsoku/>
        <w:wordWrap/>
        <w:topLinePunct w:val="0"/>
        <w:autoSpaceDE/>
        <w:autoSpaceDN/>
        <w:bidi w:val="0"/>
        <w:adjustRightInd/>
        <w:snapToGrid/>
        <w:spacing w:before="0" w:after="0" w:line="600" w:lineRule="exact"/>
        <w:ind w:left="0" w:right="0"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1</w:t>
      </w:r>
      <w:r>
        <w:rPr>
          <w:rFonts w:hint="default" w:ascii="Times New Roman" w:hAnsi="Times New Roman" w:eastAsia="仿宋_GB2312" w:cs="Times New Roman"/>
          <w:b/>
          <w:i w:val="0"/>
          <w:strike w:val="0"/>
          <w:color w:val="auto"/>
          <w:sz w:val="32"/>
          <w:u w:val="none"/>
        </w:rPr>
        <w:t>、基本情况</w:t>
      </w:r>
    </w:p>
    <w:p w14:paraId="06A1C633">
      <w:pPr>
        <w:keepNext w:val="0"/>
        <w:keepLines w:val="0"/>
        <w:pageBreakBefore w:val="0"/>
        <w:widowControl w:val="0"/>
        <w:kinsoku/>
        <w:wordWrap/>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截至</w:t>
      </w:r>
      <w:r>
        <w:rPr>
          <w:rFonts w:hint="default" w:ascii="Times New Roman" w:hAnsi="Times New Roman" w:cs="Times New Roman"/>
          <w:i w:val="0"/>
          <w:strike w:val="0"/>
          <w:color w:val="auto"/>
          <w:sz w:val="32"/>
          <w:u w:val="none"/>
        </w:rPr>
        <w:t>2024</w:t>
      </w:r>
      <w:r>
        <w:rPr>
          <w:rFonts w:hint="default" w:ascii="Times New Roman" w:hAnsi="Times New Roman" w:eastAsia="仿宋_GB2312" w:cs="Times New Roman"/>
          <w:i w:val="0"/>
          <w:strike w:val="0"/>
          <w:color w:val="auto"/>
          <w:sz w:val="32"/>
          <w:u w:val="none"/>
        </w:rPr>
        <w:t>年</w:t>
      </w:r>
      <w:r>
        <w:rPr>
          <w:rFonts w:hint="default" w:ascii="Times New Roman" w:hAnsi="Times New Roman" w:cs="Times New Roman"/>
          <w:i w:val="0"/>
          <w:strike w:val="0"/>
          <w:color w:val="auto"/>
          <w:sz w:val="32"/>
          <w:u w:val="none"/>
        </w:rPr>
        <w:t>12</w:t>
      </w:r>
      <w:r>
        <w:rPr>
          <w:rFonts w:hint="default" w:ascii="Times New Roman" w:hAnsi="Times New Roman" w:eastAsia="仿宋_GB2312" w:cs="Times New Roman"/>
          <w:i w:val="0"/>
          <w:strike w:val="0"/>
          <w:color w:val="auto"/>
          <w:sz w:val="32"/>
          <w:u w:val="none"/>
        </w:rPr>
        <w:t>月底，抽查的</w:t>
      </w:r>
      <w:r>
        <w:rPr>
          <w:rFonts w:hint="default" w:ascii="Times New Roman" w:hAnsi="Times New Roman" w:cs="Times New Roman"/>
          <w:i w:val="0"/>
          <w:strike w:val="0"/>
          <w:color w:val="auto"/>
          <w:sz w:val="32"/>
          <w:u w:val="none"/>
        </w:rPr>
        <w:t>23</w:t>
      </w:r>
      <w:r>
        <w:rPr>
          <w:rFonts w:hint="default" w:ascii="Times New Roman" w:hAnsi="Times New Roman" w:eastAsia="仿宋_GB2312" w:cs="Times New Roman"/>
          <w:i w:val="0"/>
          <w:strike w:val="0"/>
          <w:color w:val="auto"/>
          <w:sz w:val="32"/>
          <w:u w:val="none"/>
        </w:rPr>
        <w:t>家机构均已制定年度健康教育工作计划，上传半年及年终总结，定期更新健康教育宣传栏，按要求开展健康教育讲座和咨询活动，绝大部分机构上传的工作图片均已按照要求标记时间地点等水印。</w:t>
      </w:r>
    </w:p>
    <w:p w14:paraId="024E59DD">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2</w:t>
      </w:r>
      <w:r>
        <w:rPr>
          <w:rFonts w:hint="default" w:ascii="Times New Roman" w:hAnsi="Times New Roman" w:eastAsia="仿宋_GB2312" w:cs="Times New Roman"/>
          <w:b/>
          <w:i w:val="0"/>
          <w:strike w:val="0"/>
          <w:color w:val="auto"/>
          <w:sz w:val="32"/>
          <w:u w:val="none"/>
        </w:rPr>
        <w:t>、存在问题</w:t>
      </w:r>
    </w:p>
    <w:p w14:paraId="66BD2011">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）横港中心、溪潭站活动照片未使用规定的今日水印</w:t>
      </w:r>
      <w:r>
        <w:rPr>
          <w:rFonts w:hint="default" w:ascii="Times New Roman" w:hAnsi="Times New Roman" w:cs="Times New Roman"/>
          <w:i w:val="0"/>
          <w:strike w:val="0"/>
          <w:color w:val="auto"/>
          <w:sz w:val="32"/>
          <w:u w:val="none"/>
        </w:rPr>
        <w:t>APP</w:t>
      </w:r>
      <w:r>
        <w:rPr>
          <w:rFonts w:hint="default" w:ascii="Times New Roman" w:hAnsi="Times New Roman" w:eastAsia="仿宋_GB2312" w:cs="Times New Roman"/>
          <w:i w:val="0"/>
          <w:strike w:val="0"/>
          <w:color w:val="auto"/>
          <w:sz w:val="32"/>
          <w:u w:val="none"/>
        </w:rPr>
        <w:t>；</w:t>
      </w:r>
    </w:p>
    <w:p w14:paraId="72EA0593">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）先锋站活动计划、总结过于简单。</w:t>
      </w:r>
    </w:p>
    <w:p w14:paraId="3586D7DD">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）部分站点活动上报时间不及时，工作进度滞后。</w:t>
      </w:r>
    </w:p>
    <w:p w14:paraId="47F7BBD5">
      <w:pPr>
        <w:keepNext w:val="0"/>
        <w:keepLines w:val="0"/>
        <w:pageBreakBefore w:val="0"/>
        <w:widowControl w:val="0"/>
        <w:kinsoku/>
        <w:wordWrap/>
        <w:topLinePunct w:val="0"/>
        <w:autoSpaceDE/>
        <w:autoSpaceDN/>
        <w:bidi w:val="0"/>
        <w:adjustRightInd/>
        <w:snapToGrid/>
        <w:spacing w:before="0" w:after="0" w:line="600" w:lineRule="exact"/>
        <w:ind w:left="-96" w:right="-96" w:firstLine="643" w:firstLineChars="200"/>
        <w:jc w:val="both"/>
        <w:textAlignment w:val="auto"/>
        <w:rPr>
          <w:rFonts w:hint="default" w:ascii="Times New Roman" w:hAnsi="Times New Roman" w:cs="Times New Roman"/>
          <w:color w:val="auto"/>
        </w:rPr>
      </w:pPr>
      <w:r>
        <w:rPr>
          <w:rFonts w:hint="default" w:ascii="Times New Roman" w:hAnsi="Times New Roman" w:cs="Times New Roman"/>
          <w:b/>
          <w:i w:val="0"/>
          <w:strike w:val="0"/>
          <w:color w:val="auto"/>
          <w:sz w:val="32"/>
          <w:u w:val="none"/>
        </w:rPr>
        <w:t>3</w:t>
      </w:r>
      <w:r>
        <w:rPr>
          <w:rFonts w:hint="default" w:ascii="Times New Roman" w:hAnsi="Times New Roman" w:eastAsia="仿宋_GB2312" w:cs="Times New Roman"/>
          <w:b/>
          <w:i w:val="0"/>
          <w:strike w:val="0"/>
          <w:color w:val="auto"/>
          <w:sz w:val="32"/>
          <w:u w:val="none"/>
        </w:rPr>
        <w:t>、整改要求</w:t>
      </w:r>
    </w:p>
    <w:p w14:paraId="18868F39">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1</w:t>
      </w:r>
      <w:r>
        <w:rPr>
          <w:rFonts w:hint="default" w:ascii="Times New Roman" w:hAnsi="Times New Roman" w:eastAsia="仿宋_GB2312" w:cs="Times New Roman"/>
          <w:i w:val="0"/>
          <w:strike w:val="0"/>
          <w:color w:val="auto"/>
          <w:sz w:val="32"/>
          <w:u w:val="none"/>
        </w:rPr>
        <w:t>）严格把控健康教育工作进度，按照各项指标频次要求开展健康教育讲座及健康教育咨询活动，上传活动完整资料。</w:t>
      </w:r>
    </w:p>
    <w:p w14:paraId="2D79262A">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2</w:t>
      </w:r>
      <w:r>
        <w:rPr>
          <w:rFonts w:hint="default" w:ascii="Times New Roman" w:hAnsi="Times New Roman" w:eastAsia="仿宋_GB2312" w:cs="Times New Roman"/>
          <w:i w:val="0"/>
          <w:strike w:val="0"/>
          <w:color w:val="auto"/>
          <w:sz w:val="32"/>
          <w:u w:val="none"/>
        </w:rPr>
        <w:t>）相关负责人员应全员加入铜官区健康教育工作群，及时关注工作通知。</w:t>
      </w:r>
    </w:p>
    <w:p w14:paraId="1B9C16B6">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3</w:t>
      </w:r>
      <w:r>
        <w:rPr>
          <w:rFonts w:hint="default" w:ascii="Times New Roman" w:hAnsi="Times New Roman" w:eastAsia="仿宋_GB2312" w:cs="Times New Roman"/>
          <w:i w:val="0"/>
          <w:strike w:val="0"/>
          <w:color w:val="auto"/>
          <w:sz w:val="32"/>
          <w:u w:val="none"/>
        </w:rPr>
        <w:t>）及时上传健康教育年终总结，注意总结格式规范。</w:t>
      </w:r>
    </w:p>
    <w:p w14:paraId="11794A1D">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z w:val="32"/>
          <w:u w:val="none"/>
        </w:rPr>
        <w:t>（</w:t>
      </w:r>
      <w:r>
        <w:rPr>
          <w:rFonts w:hint="default" w:ascii="Times New Roman" w:hAnsi="Times New Roman" w:cs="Times New Roman"/>
          <w:i w:val="0"/>
          <w:strike w:val="0"/>
          <w:color w:val="auto"/>
          <w:sz w:val="32"/>
          <w:u w:val="none"/>
        </w:rPr>
        <w:t>4</w:t>
      </w:r>
      <w:r>
        <w:rPr>
          <w:rFonts w:hint="default" w:ascii="Times New Roman" w:hAnsi="Times New Roman" w:eastAsia="仿宋_GB2312" w:cs="Times New Roman"/>
          <w:i w:val="0"/>
          <w:strike w:val="0"/>
          <w:color w:val="auto"/>
          <w:sz w:val="32"/>
          <w:u w:val="none"/>
        </w:rPr>
        <w:t>）及时上传相关活动照片，</w:t>
      </w:r>
      <w:r>
        <w:rPr>
          <w:rFonts w:hint="default" w:ascii="Times New Roman" w:hAnsi="Times New Roman" w:eastAsia="仿宋_GB2312" w:cs="Times New Roman"/>
          <w:i w:val="0"/>
          <w:strike w:val="0"/>
          <w:color w:val="auto"/>
          <w:spacing w:val="0"/>
          <w:sz w:val="32"/>
          <w:u w:val="none"/>
        </w:rPr>
        <w:t>活动现场拍摄全景相片至少</w:t>
      </w:r>
      <w:r>
        <w:rPr>
          <w:rFonts w:hint="default" w:ascii="Times New Roman" w:hAnsi="Times New Roman" w:cs="Times New Roman"/>
          <w:i w:val="0"/>
          <w:strike w:val="0"/>
          <w:color w:val="auto"/>
          <w:spacing w:val="0"/>
          <w:sz w:val="32"/>
          <w:u w:val="none"/>
        </w:rPr>
        <w:t>3</w:t>
      </w:r>
      <w:r>
        <w:rPr>
          <w:rFonts w:hint="default" w:ascii="Times New Roman" w:hAnsi="Times New Roman" w:eastAsia="仿宋_GB2312" w:cs="Times New Roman"/>
          <w:i w:val="0"/>
          <w:strike w:val="0"/>
          <w:color w:val="auto"/>
          <w:spacing w:val="0"/>
          <w:sz w:val="32"/>
          <w:u w:val="none"/>
        </w:rPr>
        <w:t>张，照片内容体现活动主题、参与群众，</w:t>
      </w:r>
      <w:r>
        <w:rPr>
          <w:rFonts w:hint="default" w:ascii="Times New Roman" w:hAnsi="Times New Roman" w:eastAsia="仿宋_GB2312" w:cs="Times New Roman"/>
          <w:i w:val="0"/>
          <w:strike w:val="0"/>
          <w:color w:val="auto"/>
          <w:sz w:val="32"/>
          <w:u w:val="none"/>
        </w:rPr>
        <w:t>并按要求统一使用“今日水印</w:t>
      </w:r>
      <w:r>
        <w:rPr>
          <w:rFonts w:hint="default" w:ascii="Times New Roman" w:hAnsi="Times New Roman" w:cs="Times New Roman"/>
          <w:i w:val="0"/>
          <w:strike w:val="0"/>
          <w:color w:val="auto"/>
          <w:sz w:val="32"/>
          <w:u w:val="none"/>
        </w:rPr>
        <w:t>APP</w:t>
      </w:r>
      <w:r>
        <w:rPr>
          <w:rFonts w:hint="default" w:ascii="Times New Roman" w:hAnsi="Times New Roman" w:eastAsia="仿宋_GB2312" w:cs="Times New Roman"/>
          <w:i w:val="0"/>
          <w:strike w:val="0"/>
          <w:color w:val="auto"/>
          <w:sz w:val="32"/>
          <w:u w:val="none"/>
        </w:rPr>
        <w:t>”，标注时间地点水印。</w:t>
      </w:r>
    </w:p>
    <w:p w14:paraId="49D06DA9">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5</w:t>
      </w:r>
      <w:r>
        <w:rPr>
          <w:rFonts w:hint="default" w:ascii="Times New Roman" w:hAnsi="Times New Roman" w:eastAsia="仿宋_GB2312" w:cs="Times New Roman"/>
          <w:i w:val="0"/>
          <w:strike w:val="0"/>
          <w:color w:val="auto"/>
          <w:spacing w:val="0"/>
          <w:sz w:val="32"/>
          <w:u w:val="none"/>
        </w:rPr>
        <w:t>）注意健康教育新增考核细则，按要求完成年度任务。</w:t>
      </w:r>
    </w:p>
    <w:p w14:paraId="7527537A">
      <w:pPr>
        <w:keepNext w:val="0"/>
        <w:keepLines w:val="0"/>
        <w:pageBreakBefore w:val="0"/>
        <w:widowControl w:val="0"/>
        <w:kinsoku/>
        <w:wordWrap/>
        <w:overflowPunct/>
        <w:topLinePunct w:val="0"/>
        <w:autoSpaceDE/>
        <w:autoSpaceDN/>
        <w:bidi w:val="0"/>
        <w:adjustRightInd/>
        <w:snapToGrid/>
        <w:spacing w:before="0" w:after="0"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eastAsia="仿宋_GB2312" w:cs="Times New Roman"/>
          <w:i w:val="0"/>
          <w:strike w:val="0"/>
          <w:color w:val="auto"/>
          <w:spacing w:val="0"/>
          <w:sz w:val="32"/>
          <w:u w:val="none"/>
        </w:rPr>
        <w:t>（</w:t>
      </w:r>
      <w:r>
        <w:rPr>
          <w:rFonts w:hint="default" w:ascii="Times New Roman" w:hAnsi="Times New Roman" w:cs="Times New Roman"/>
          <w:i w:val="0"/>
          <w:strike w:val="0"/>
          <w:color w:val="auto"/>
          <w:spacing w:val="0"/>
          <w:sz w:val="32"/>
          <w:u w:val="none"/>
        </w:rPr>
        <w:t>6</w:t>
      </w:r>
      <w:r>
        <w:rPr>
          <w:rFonts w:hint="default" w:ascii="Times New Roman" w:hAnsi="Times New Roman" w:eastAsia="仿宋_GB2312" w:cs="Times New Roman"/>
          <w:i w:val="0"/>
          <w:strike w:val="0"/>
          <w:color w:val="auto"/>
          <w:spacing w:val="0"/>
          <w:sz w:val="32"/>
          <w:u w:val="none"/>
        </w:rPr>
        <w:t>）积极探索贴近生活的健康教育主题，用形象直观和喜闻乐见的形式，营造健康教育氛围，努力促成生活习惯由“他律”向“自律”转变。</w:t>
      </w:r>
    </w:p>
    <w:p w14:paraId="75A02F04">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highlight w:val="none"/>
        </w:rPr>
      </w:pPr>
      <w:r>
        <w:rPr>
          <w:rFonts w:hint="default" w:ascii="Times New Roman" w:eastAsia="楷体_GB2312"/>
          <w:b/>
          <w:bCs/>
          <w:color w:val="auto"/>
          <w:highlight w:val="none"/>
        </w:rPr>
        <w:t>（七）严重精神障碍患者管理</w:t>
      </w:r>
    </w:p>
    <w:p w14:paraId="7132BCB8">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highlight w:val="none"/>
        </w:rPr>
      </w:pPr>
      <w:r>
        <w:rPr>
          <w:rFonts w:hint="default" w:ascii="Times New Roman" w:eastAsia="楷体_GB2312"/>
          <w:b/>
          <w:bCs/>
          <w:color w:val="auto"/>
          <w:highlight w:val="none"/>
        </w:rPr>
        <w:t>1</w:t>
      </w:r>
      <w:r>
        <w:rPr>
          <w:rFonts w:hint="default" w:ascii="Times New Roman" w:hAnsi="Times New Roman" w:eastAsia="仿宋_GB2312" w:cs="Times New Roman"/>
          <w:b/>
          <w:i w:val="0"/>
          <w:strike w:val="0"/>
          <w:color w:val="auto"/>
          <w:sz w:val="32"/>
          <w:u w:val="none"/>
        </w:rPr>
        <w:t>、基本情况</w:t>
      </w:r>
    </w:p>
    <w:p w14:paraId="584EA3CF">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全区建档的严重精神障碍患者2244例，在册患者2059例。报告患病率4.56‰，管理率99.71%，规范管理率99.27%，面访率99.61%，体检率74.89％，在册患者服药率97.72%，规律服药率94.37%，精神分裂症患者服药率97.93%，精神分裂症患者规律服药率94.55%。</w:t>
      </w:r>
    </w:p>
    <w:p w14:paraId="656AFB40">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此次共考核30家机构，抽查档案243份，合格档案243份，不合格档案0份，档案合格率100%。</w:t>
      </w:r>
    </w:p>
    <w:p w14:paraId="35F85719">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hAnsi="Times New Roman" w:eastAsia="仿宋_GB2312" w:cs="Times New Roman"/>
          <w:b/>
          <w:i w:val="0"/>
          <w:strike w:val="0"/>
          <w:color w:val="auto"/>
          <w:sz w:val="32"/>
          <w:u w:val="none"/>
        </w:rPr>
      </w:pPr>
      <w:r>
        <w:rPr>
          <w:rFonts w:hint="default" w:ascii="Times New Roman" w:hAnsi="Times New Roman" w:eastAsia="仿宋_GB2312" w:cs="Times New Roman"/>
          <w:b/>
          <w:i w:val="0"/>
          <w:strike w:val="0"/>
          <w:color w:val="auto"/>
          <w:sz w:val="32"/>
          <w:u w:val="none"/>
        </w:rPr>
        <w:t>2、存在的主要问题</w:t>
      </w:r>
    </w:p>
    <w:p w14:paraId="30EFECBB">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（1）少数机构患者随访不及时或超时未随访；</w:t>
      </w:r>
    </w:p>
    <w:p w14:paraId="4C81D1CD">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（2）部分机构因多种原因规范服药率偏低，造成我区规范服药率全市最低94.37%；</w:t>
      </w:r>
    </w:p>
    <w:p w14:paraId="3B00C222">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（3）精神病患者体检率较低，部分机构精神病患者体检率未达到60%；</w:t>
      </w:r>
    </w:p>
    <w:p w14:paraId="13AD5508">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（4）个别机构对工作例会要求不清，未按时间开展工作例会；</w:t>
      </w:r>
    </w:p>
    <w:p w14:paraId="3615647F">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（5）部分机构信息交换表填写不规范，其他单位未及时盖章；</w:t>
      </w:r>
    </w:p>
    <w:p w14:paraId="2CF0AEBE">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（6）个别机构健康宣教台账有待完善；</w:t>
      </w:r>
    </w:p>
    <w:p w14:paraId="5BD4099E">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highlight w:val="none"/>
        </w:rPr>
      </w:pPr>
      <w:r>
        <w:rPr>
          <w:rFonts w:hint="default" w:ascii="Times New Roman" w:hAnsi="Times New Roman" w:eastAsia="仿宋_GB2312" w:cs="Times New Roman"/>
          <w:b w:val="0"/>
          <w:bCs w:val="0"/>
          <w:color w:val="auto"/>
          <w:highlight w:val="none"/>
        </w:rPr>
        <w:t>（7）较多机构人员信息档案内存在身份证号错误，与公卫档案不一致。</w:t>
      </w:r>
    </w:p>
    <w:p w14:paraId="19686EDD">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eastAsia" w:ascii="Times New Roman" w:eastAsia="楷体_GB2312"/>
          <w:b/>
          <w:bCs/>
          <w:color w:val="auto"/>
          <w:lang w:eastAsia="zh-CN"/>
        </w:rPr>
        <w:t>（</w:t>
      </w:r>
      <w:r>
        <w:rPr>
          <w:rFonts w:hint="default" w:ascii="Times New Roman" w:eastAsia="楷体_GB2312"/>
          <w:b/>
          <w:bCs/>
          <w:color w:val="auto"/>
        </w:rPr>
        <w:t>八）孕产妇保健</w:t>
      </w:r>
    </w:p>
    <w:p w14:paraId="49FF76D6">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1、基本情况</w:t>
      </w:r>
    </w:p>
    <w:p w14:paraId="4DB9A225">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rPr>
      </w:pPr>
      <w:r>
        <w:rPr>
          <w:rFonts w:hint="default" w:ascii="Times New Roman" w:hAnsi="Times New Roman" w:eastAsia="仿宋_GB2312" w:cs="Times New Roman"/>
          <w:b w:val="0"/>
          <w:bCs w:val="0"/>
          <w:color w:val="auto"/>
        </w:rPr>
        <w:t>各机构重视妇幼保健工作，孕产保健、儿童保健医务人员工作扎实，能够有序开展妇幼保健相关服务，台账资料齐全、服务对象满意度较高。大部分保健人员工作认真，能及时与社区卫健工作人员核对孕产妇及分娩信息，完成管理目标，并主动为辖区孕产妇及新生儿提供产后访视服务，产后访视服务及时性、真实性、满意度较好。</w:t>
      </w:r>
    </w:p>
    <w:p w14:paraId="24518E80">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rPr>
      </w:pPr>
      <w:r>
        <w:rPr>
          <w:rFonts w:hint="default" w:ascii="Times New Roman" w:hAnsi="Times New Roman" w:eastAsia="仿宋_GB2312" w:cs="Times New Roman"/>
          <w:b w:val="0"/>
          <w:bCs w:val="0"/>
          <w:color w:val="auto"/>
        </w:rPr>
        <w:t>根据2024年1-12月年报质控统计，全区（妇幼）户籍人口活产1001人，产妇数990人，早孕检查率96.10%，孕产妇系统管理率95.20%，产后访视率98.30%；（公卫）常住人口活产数2543人，产妇数2514人，早孕检查率95.83%，孕产妇系统管理率95.08%，产后访视率98.38%，全区无孕产妇死亡。</w:t>
      </w:r>
    </w:p>
    <w:p w14:paraId="5783E512">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2、存在的主要问题</w:t>
      </w:r>
    </w:p>
    <w:p w14:paraId="03CFEE0E">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rPr>
      </w:pPr>
      <w:r>
        <w:rPr>
          <w:rFonts w:hint="default" w:ascii="Times New Roman" w:hAnsi="Times New Roman" w:eastAsia="仿宋_GB2312" w:cs="Times New Roman"/>
          <w:b w:val="0"/>
          <w:bCs w:val="0"/>
          <w:color w:val="auto"/>
        </w:rPr>
        <w:t>（1）孕产妇保健人员中心少数为专职，但学苑中心访视范围大，访视和录入存在不及时；</w:t>
      </w:r>
    </w:p>
    <w:p w14:paraId="219E8B51">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rPr>
      </w:pPr>
      <w:r>
        <w:rPr>
          <w:rFonts w:hint="default" w:ascii="Times New Roman" w:hAnsi="Times New Roman" w:eastAsia="仿宋_GB2312" w:cs="Times New Roman"/>
          <w:b w:val="0"/>
          <w:bCs w:val="0"/>
          <w:color w:val="auto"/>
        </w:rPr>
        <w:t>（2）大部分中心和站没有动态掌握辖区重点人群生育情况。</w:t>
      </w:r>
    </w:p>
    <w:p w14:paraId="39AD5A67">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hAnsi="Times New Roman" w:eastAsia="仿宋_GB2312" w:cs="Times New Roman"/>
          <w:b w:val="0"/>
          <w:bCs w:val="0"/>
          <w:color w:val="auto"/>
        </w:rPr>
      </w:pPr>
      <w:r>
        <w:rPr>
          <w:rFonts w:hint="default" w:ascii="Times New Roman" w:hAnsi="Times New Roman" w:eastAsia="仿宋_GB2312" w:cs="Times New Roman"/>
          <w:b w:val="0"/>
          <w:bCs w:val="0"/>
          <w:color w:val="auto"/>
        </w:rPr>
        <w:t>（3）站点缺乏宣教：如早孕建卡的好处，艾滋病、梅毒和乙肝母婴传播阻断知识，叶酸健康教育等；</w:t>
      </w:r>
    </w:p>
    <w:p w14:paraId="3C69381B">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九</w:t>
      </w:r>
      <w:r>
        <w:rPr>
          <w:rFonts w:hint="default" w:ascii="Times New Roman" w:eastAsia="楷体_GB2312"/>
          <w:b/>
          <w:bCs/>
          <w:color w:val="auto"/>
        </w:rPr>
        <w:t>）儿童保健</w:t>
      </w:r>
    </w:p>
    <w:p w14:paraId="31089F12">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1、基本情况</w:t>
      </w:r>
    </w:p>
    <w:p w14:paraId="4CA2BB4E">
      <w:pPr>
        <w:keepNext w:val="0"/>
        <w:keepLines w:val="0"/>
        <w:pageBreakBefore w:val="0"/>
        <w:widowControl w:val="0"/>
        <w:kinsoku/>
        <w:wordWrap/>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常住儿童：7岁以下儿童18900人；3岁以下儿童6970人。7岁以下健康管理率96.8%，3岁以下系统管理率95.5%；2024年度为全区2638名新出生儿童建卡，其中流动儿童建卡600人，同时办理儿童保健手册。</w:t>
      </w:r>
    </w:p>
    <w:p w14:paraId="2E7D021D">
      <w:pPr>
        <w:keepNext w:val="0"/>
        <w:keepLines w:val="0"/>
        <w:pageBreakBefore w:val="0"/>
        <w:widowControl w:val="0"/>
        <w:kinsoku/>
        <w:wordWrap/>
        <w:topLinePunct w:val="0"/>
        <w:autoSpaceDE/>
        <w:autoSpaceDN/>
        <w:bidi w:val="0"/>
        <w:adjustRightInd/>
        <w:snapToGrid/>
        <w:spacing w:line="600" w:lineRule="exact"/>
        <w:ind w:left="-79" w:right="-79" w:firstLine="616" w:firstLineChars="200"/>
        <w:jc w:val="both"/>
        <w:textAlignment w:val="auto"/>
        <w:rPr>
          <w:rFonts w:hint="default" w:ascii="Times New Roman" w:hAnsi="Times New Roman" w:cs="Times New Roman"/>
          <w:color w:val="auto"/>
          <w:spacing w:val="-6"/>
        </w:rPr>
      </w:pPr>
      <w:r>
        <w:rPr>
          <w:rFonts w:hint="default" w:ascii="Times New Roman" w:hAnsi="Times New Roman" w:cs="Times New Roman"/>
          <w:color w:val="auto"/>
          <w:spacing w:val="-6"/>
        </w:rPr>
        <w:t>各机构均已完成儿童健康管理目标，按时上报各类报表，大部分机构数据准确；群众对儿童保健服务项目的满意度和知晓率高。</w:t>
      </w:r>
    </w:p>
    <w:p w14:paraId="553E9F92">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eastAsia="楷体" w:cs="Times New Roman"/>
          <w:b/>
          <w:color w:val="auto"/>
        </w:rPr>
      </w:pPr>
      <w:r>
        <w:rPr>
          <w:rFonts w:hint="default" w:ascii="Times New Roman" w:hAnsi="Times New Roman" w:eastAsia="楷体" w:cs="Times New Roman"/>
          <w:b/>
          <w:color w:val="auto"/>
        </w:rPr>
        <w:t>2、存在的主要问题</w:t>
      </w:r>
    </w:p>
    <w:p w14:paraId="2A53078A">
      <w:pPr>
        <w:keepNext w:val="0"/>
        <w:keepLines w:val="0"/>
        <w:pageBreakBefore w:val="0"/>
        <w:widowControl w:val="0"/>
        <w:pBdr>
          <w:bottom w:val="none" w:color="auto" w:sz="0" w:space="0"/>
        </w:pBdr>
        <w:kinsoku/>
        <w:wordWrap/>
        <w:overflowPunct/>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（1）体弱儿随访依从性不高，指导意见无针对性，需加强对高危儿童的分级分类随访管理。</w:t>
      </w:r>
    </w:p>
    <w:p w14:paraId="7BAF6DE3">
      <w:pPr>
        <w:keepNext w:val="0"/>
        <w:keepLines w:val="0"/>
        <w:pageBreakBefore w:val="0"/>
        <w:widowControl w:val="0"/>
        <w:kinsoku/>
        <w:wordWrap/>
        <w:overflowPunct/>
        <w:topLinePunct w:val="0"/>
        <w:autoSpaceDE/>
        <w:autoSpaceDN/>
        <w:bidi w:val="0"/>
        <w:adjustRightInd/>
        <w:snapToGrid/>
        <w:spacing w:line="600" w:lineRule="exact"/>
        <w:ind w:left="0" w:right="-79" w:firstLine="640" w:firstLineChars="200"/>
        <w:jc w:val="both"/>
        <w:textAlignment w:val="auto"/>
        <w:rPr>
          <w:rFonts w:hint="default" w:ascii="Times New Roman" w:hAnsi="Times New Roman" w:eastAsia="仿宋" w:cs="Times New Roman"/>
          <w:color w:val="auto"/>
          <w:kern w:val="0"/>
        </w:rPr>
      </w:pPr>
      <w:r>
        <w:rPr>
          <w:rFonts w:hint="default" w:ascii="Times New Roman" w:hAnsi="Times New Roman" w:cs="Times New Roman"/>
          <w:color w:val="auto"/>
        </w:rPr>
        <w:t>（</w:t>
      </w:r>
      <w:r>
        <w:rPr>
          <w:rFonts w:hint="eastAsia" w:ascii="Times New Roman" w:hAnsi="Times New Roman" w:cs="Times New Roman"/>
          <w:color w:val="auto"/>
          <w:lang w:val="en-US" w:eastAsia="zh-CN"/>
        </w:rPr>
        <w:t>2</w:t>
      </w:r>
      <w:r>
        <w:rPr>
          <w:rFonts w:hint="default" w:ascii="Times New Roman" w:hAnsi="Times New Roman" w:cs="Times New Roman"/>
          <w:color w:val="auto"/>
        </w:rPr>
        <w:t>）个别站点对儿童保健相关报表数据概念不清晰，基础报表数据存在错误。</w:t>
      </w:r>
    </w:p>
    <w:p w14:paraId="796F2A3B">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eastAsia="楷体" w:cs="Times New Roman"/>
          <w:b/>
          <w:color w:val="auto"/>
        </w:rPr>
      </w:pPr>
      <w:r>
        <w:rPr>
          <w:rFonts w:hint="default" w:ascii="Times New Roman" w:hAnsi="Times New Roman" w:eastAsia="楷体" w:cs="Times New Roman"/>
          <w:b/>
          <w:color w:val="auto"/>
        </w:rPr>
        <w:t>3、整改要求</w:t>
      </w:r>
    </w:p>
    <w:p w14:paraId="06197A4A">
      <w:pPr>
        <w:keepNext w:val="0"/>
        <w:keepLines w:val="0"/>
        <w:pageBreakBefore w:val="0"/>
        <w:widowControl w:val="0"/>
        <w:kinsoku/>
        <w:wordWrap/>
        <w:overflowPunct/>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1）加强妇幼保健工作规范管理，晶奇系统信息与实际服务一致，保证卡册与系统数据统一规范。严格按照《国家基本公共卫生服务技术规范（第三版）》的要求开展孕产保健和儿童保健服务，产后访视、新生儿访视和儿童体检项目规范记录同时录入卫博系统。访视时发现异常及时转诊或</w:t>
      </w:r>
      <w:r>
        <w:rPr>
          <w:rFonts w:hint="default" w:ascii="Times New Roman" w:hAnsi="Times New Roman" w:eastAsia="仿宋_GB2312" w:cs="Times New Roman"/>
          <w:color w:val="auto"/>
          <w:lang w:val="en-US" w:eastAsia="zh-CN"/>
        </w:rPr>
        <w:t>提出</w:t>
      </w:r>
      <w:r>
        <w:rPr>
          <w:rFonts w:hint="default" w:ascii="Times New Roman" w:hAnsi="Times New Roman" w:eastAsia="仿宋_GB2312" w:cs="Times New Roman"/>
          <w:color w:val="auto"/>
        </w:rPr>
        <w:t>医学建议，有回访结果记录；儿童保健服务应加强体弱儿、高危儿童的分级分类管理、0-6岁儿童孤独症初筛管理，提高双向转诊率，促进母婴身心健康发展，提高服务的满意度。</w:t>
      </w:r>
    </w:p>
    <w:p w14:paraId="0C1D81F7">
      <w:pPr>
        <w:keepNext w:val="0"/>
        <w:keepLines w:val="0"/>
        <w:pageBreakBefore w:val="0"/>
        <w:widowControl w:val="0"/>
        <w:kinsoku/>
        <w:wordWrap/>
        <w:overflowPunct/>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2）加强妇幼信息摸排，因妇幼保健工作要求细致，摸排孕产妇和儿童信息量较大，加大流动人口管理力度，日常工作多收集孕妇的信息并建立电子花名册，建议各机构要合理安排妇幼保健人员的工作时间，高质保量地完成相关工作，保证妇幼工作正常开展。</w:t>
      </w:r>
    </w:p>
    <w:p w14:paraId="4CDC0E69">
      <w:pPr>
        <w:keepNext w:val="0"/>
        <w:keepLines w:val="0"/>
        <w:pageBreakBefore w:val="0"/>
        <w:widowControl w:val="0"/>
        <w:kinsoku/>
        <w:wordWrap/>
        <w:overflowPunct/>
        <w:topLinePunct w:val="0"/>
        <w:autoSpaceDE/>
        <w:autoSpaceDN/>
        <w:bidi w:val="0"/>
        <w:adjustRightInd/>
        <w:snapToGrid/>
        <w:spacing w:line="600" w:lineRule="exact"/>
        <w:ind w:left="-80" w:leftChars="-25" w:right="-96"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3）加强妇幼保健工作宣传，提高民生实事知晓率和满意度。各机构要开展多种形式妇幼保健宣传教育，民生实事出生缺陷防治等民生宣传及健康教育知识讲座，进一步提高新生儿疾病筛查率、听力筛查率；可通过外呼系统不定期宣传妇幼保健信息，宣传民生实事政策；早孕建卡和规范产检，提高孕产妇系统管理率；宣传自然分娩、母乳喂养的好处，宣教叶酸服用时间，艾滋病、梅毒、乙肝三病免费检测的国家政策。</w:t>
      </w:r>
    </w:p>
    <w:p w14:paraId="5D25A277">
      <w:pPr>
        <w:keepNext w:val="0"/>
        <w:keepLines w:val="0"/>
        <w:pageBreakBefore w:val="0"/>
        <w:widowControl w:val="0"/>
        <w:kinsoku/>
        <w:wordWrap/>
        <w:overflowPunct/>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（4）落实中心一体化管理，切实履行中心和站一体化管理职责，利用每季度例会和考核</w:t>
      </w:r>
      <w:r>
        <w:rPr>
          <w:rFonts w:hint="default" w:ascii="Times New Roman" w:hAnsi="Times New Roman" w:eastAsia="仿宋_GB2312" w:cs="Times New Roman"/>
          <w:color w:val="auto"/>
          <w:lang w:eastAsia="zh-CN"/>
        </w:rPr>
        <w:t>，</w:t>
      </w:r>
      <w:r>
        <w:rPr>
          <w:rFonts w:hint="default" w:ascii="Times New Roman" w:hAnsi="Times New Roman" w:eastAsia="仿宋_GB2312" w:cs="Times New Roman"/>
          <w:color w:val="auto"/>
        </w:rPr>
        <w:t>及时发现</w:t>
      </w:r>
      <w:r>
        <w:rPr>
          <w:rFonts w:hint="default" w:ascii="Times New Roman" w:hAnsi="Times New Roman" w:eastAsia="仿宋_GB2312" w:cs="Times New Roman"/>
          <w:color w:val="auto"/>
          <w:lang w:val="en-US" w:eastAsia="zh-CN"/>
        </w:rPr>
        <w:t>并</w:t>
      </w:r>
      <w:r>
        <w:rPr>
          <w:rFonts w:hint="default" w:ascii="Times New Roman" w:hAnsi="Times New Roman" w:eastAsia="仿宋_GB2312" w:cs="Times New Roman"/>
          <w:color w:val="auto"/>
        </w:rPr>
        <w:t>指导一体化管理机构解决工作中存在的问题。</w:t>
      </w:r>
    </w:p>
    <w:p w14:paraId="58295296">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w:t>
      </w:r>
      <w:r>
        <w:rPr>
          <w:rFonts w:hint="eastAsia" w:ascii="Times New Roman" w:eastAsia="楷体_GB2312"/>
          <w:b/>
          <w:bCs/>
          <w:color w:val="auto"/>
          <w:lang w:val="en-US" w:eastAsia="zh-CN"/>
        </w:rPr>
        <w:t>十</w:t>
      </w:r>
      <w:r>
        <w:rPr>
          <w:rFonts w:hint="default" w:ascii="Times New Roman" w:eastAsia="楷体_GB2312"/>
          <w:b/>
          <w:bCs/>
          <w:color w:val="auto"/>
        </w:rPr>
        <w:t>）预防接种</w:t>
      </w:r>
    </w:p>
    <w:p w14:paraId="789E2594">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w:t>
      </w:r>
      <w:r>
        <w:rPr>
          <w:rFonts w:hint="eastAsia" w:ascii="Times New Roman" w:hAnsi="Times New Roman" w:cs="Times New Roman"/>
          <w:b/>
          <w:bCs/>
          <w:color w:val="auto"/>
        </w:rPr>
        <w:t>基本情况：</w:t>
      </w:r>
    </w:p>
    <w:p w14:paraId="453136F9">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default" w:ascii="Times New Roman" w:hAnsi="Times New Roman" w:eastAsia="仿宋_GB2312" w:cs="Times New Roman"/>
          <w:i w:val="0"/>
          <w:strike w:val="0"/>
          <w:color w:val="auto"/>
          <w:sz w:val="32"/>
          <w:szCs w:val="32"/>
          <w:u w:val="none"/>
        </w:rPr>
        <w:t>对全区13家承担计划免疫工作接种点进行督导检查，本次检查结果发现，所有接种点全年均已做到客户端与冰箱实际库存相符，溯源结果正确，信息系统登记正确，建证建卡完成较好，疫苗出库单、运输温度记录表等入库材料均完整填写、资料齐全、制度上墙完整。</w:t>
      </w:r>
    </w:p>
    <w:p w14:paraId="232DA61A">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2、存在的主要问题：</w:t>
      </w:r>
    </w:p>
    <w:p w14:paraId="17A3395D">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1</w:t>
      </w:r>
      <w:r>
        <w:rPr>
          <w:rFonts w:hint="eastAsia" w:ascii="Times New Roman" w:cs="Times New Roman"/>
          <w:color w:val="auto"/>
          <w:lang w:eastAsia="zh-CN"/>
        </w:rPr>
        <w:t>）</w:t>
      </w:r>
      <w:r>
        <w:rPr>
          <w:rFonts w:hint="default" w:ascii="Times New Roman" w:hAnsi="Times New Roman" w:cs="Times New Roman"/>
          <w:color w:val="auto"/>
        </w:rPr>
        <w:t>博爱医院15项关键指标完整率中家庭住址完整率未达到100%；</w:t>
      </w:r>
    </w:p>
    <w:p w14:paraId="7B55F71D">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2</w:t>
      </w:r>
      <w:r>
        <w:rPr>
          <w:rFonts w:hint="eastAsia" w:ascii="Times New Roman" w:cs="Times New Roman"/>
          <w:color w:val="auto"/>
          <w:lang w:eastAsia="zh-CN"/>
        </w:rPr>
        <w:t>）</w:t>
      </w:r>
      <w:r>
        <w:rPr>
          <w:rFonts w:hint="default" w:ascii="Times New Roman" w:hAnsi="Times New Roman" w:cs="Times New Roman"/>
          <w:color w:val="auto"/>
        </w:rPr>
        <w:t>横港中心0-6岁儿童白破疫苗接种率未达到90%。</w:t>
      </w:r>
    </w:p>
    <w:p w14:paraId="59C91C8B">
      <w:pPr>
        <w:keepNext w:val="0"/>
        <w:keepLines w:val="0"/>
        <w:pageBreakBefore w:val="0"/>
        <w:widowControl w:val="0"/>
        <w:kinsoku/>
        <w:wordWrap/>
        <w:topLinePunct w:val="0"/>
        <w:autoSpaceDE/>
        <w:autoSpaceDN/>
        <w:bidi w:val="0"/>
        <w:adjustRightInd/>
        <w:snapToGrid/>
        <w:spacing w:line="600" w:lineRule="exact"/>
        <w:ind w:left="-79" w:right="-79"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3、下一步工作建议：</w:t>
      </w:r>
    </w:p>
    <w:p w14:paraId="06EC2037">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1</w:t>
      </w:r>
      <w:r>
        <w:rPr>
          <w:rFonts w:hint="eastAsia" w:ascii="Times New Roman" w:cs="Times New Roman"/>
          <w:color w:val="auto"/>
          <w:lang w:eastAsia="zh-CN"/>
        </w:rPr>
        <w:t>）</w:t>
      </w:r>
      <w:r>
        <w:rPr>
          <w:rFonts w:hint="default" w:ascii="Times New Roman" w:hAnsi="Times New Roman" w:cs="Times New Roman"/>
          <w:color w:val="auto"/>
        </w:rPr>
        <w:t>各接种点继续做好日常免疫规划工作；</w:t>
      </w:r>
    </w:p>
    <w:p w14:paraId="5BFF8643">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2</w:t>
      </w:r>
      <w:r>
        <w:rPr>
          <w:rFonts w:hint="eastAsia" w:ascii="Times New Roman" w:cs="Times New Roman"/>
          <w:color w:val="auto"/>
          <w:lang w:eastAsia="zh-CN"/>
        </w:rPr>
        <w:t>）</w:t>
      </w:r>
      <w:r>
        <w:rPr>
          <w:rFonts w:hint="default" w:ascii="Times New Roman" w:hAnsi="Times New Roman" w:cs="Times New Roman"/>
          <w:color w:val="auto"/>
        </w:rPr>
        <w:t>各接种点继续完成门诊儿童身份证信息录入；</w:t>
      </w:r>
    </w:p>
    <w:p w14:paraId="254A4865">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3</w:t>
      </w:r>
      <w:r>
        <w:rPr>
          <w:rFonts w:hint="eastAsia" w:ascii="Times New Roman" w:cs="Times New Roman"/>
          <w:color w:val="auto"/>
          <w:lang w:eastAsia="zh-CN"/>
        </w:rPr>
        <w:t>）</w:t>
      </w:r>
      <w:r>
        <w:rPr>
          <w:rFonts w:hint="default" w:ascii="Times New Roman" w:hAnsi="Times New Roman" w:cs="Times New Roman"/>
          <w:color w:val="auto"/>
        </w:rPr>
        <w:t>各接种点认真核对儿童个案中15项关键指标完整率，各项均应达到100%；</w:t>
      </w:r>
    </w:p>
    <w:p w14:paraId="69A064CC">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eastAsia" w:ascii="Times New Roman" w:cs="Times New Roman"/>
          <w:color w:val="auto"/>
          <w:lang w:eastAsia="zh-CN"/>
        </w:rPr>
        <w:t>（</w:t>
      </w:r>
      <w:r>
        <w:rPr>
          <w:rFonts w:hint="eastAsia" w:ascii="Times New Roman" w:cs="Times New Roman"/>
          <w:color w:val="auto"/>
          <w:lang w:val="en-US" w:eastAsia="zh-CN"/>
        </w:rPr>
        <w:t>4</w:t>
      </w:r>
      <w:r>
        <w:rPr>
          <w:rFonts w:hint="eastAsia" w:ascii="Times New Roman" w:cs="Times New Roman"/>
          <w:color w:val="auto"/>
          <w:lang w:eastAsia="zh-CN"/>
        </w:rPr>
        <w:t>）</w:t>
      </w:r>
      <w:r>
        <w:rPr>
          <w:rFonts w:hint="eastAsia" w:ascii="Times New Roman" w:hAnsi="Times New Roman" w:cs="Times New Roman"/>
          <w:color w:val="auto"/>
          <w:lang w:val="en-US" w:eastAsia="zh-CN"/>
        </w:rPr>
        <w:t xml:space="preserve"> </w:t>
      </w:r>
      <w:r>
        <w:rPr>
          <w:rFonts w:hint="default" w:ascii="Times New Roman" w:hAnsi="Times New Roman" w:cs="Times New Roman"/>
          <w:color w:val="auto"/>
        </w:rPr>
        <w:t>各接种点继续做好辖区内儿童的疫苗接种工作，未按时接种疫苗儿童及时通知，予以补种。</w:t>
      </w:r>
    </w:p>
    <w:p w14:paraId="29D31FFB">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（十</w:t>
      </w:r>
      <w:r>
        <w:rPr>
          <w:rFonts w:hint="eastAsia" w:ascii="Times New Roman" w:eastAsia="楷体_GB2312"/>
          <w:b/>
          <w:bCs/>
          <w:color w:val="auto"/>
          <w:lang w:val="en-US" w:eastAsia="zh-CN"/>
        </w:rPr>
        <w:t>一</w:t>
      </w:r>
      <w:r>
        <w:rPr>
          <w:rFonts w:hint="default" w:ascii="Times New Roman" w:eastAsia="楷体_GB2312"/>
          <w:b/>
          <w:bCs/>
          <w:color w:val="auto"/>
        </w:rPr>
        <w:t>）传染病及突发公共卫生事件报告和处理</w:t>
      </w:r>
    </w:p>
    <w:p w14:paraId="2D016581">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1、基本情况</w:t>
      </w:r>
    </w:p>
    <w:p w14:paraId="140DE64A">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default" w:ascii="Times New Roman" w:hAnsi="Times New Roman" w:eastAsia="仿宋_GB2312" w:cs="Times New Roman"/>
          <w:i w:val="0"/>
          <w:strike w:val="0"/>
          <w:color w:val="auto"/>
          <w:sz w:val="32"/>
          <w:szCs w:val="32"/>
          <w:u w:val="none"/>
        </w:rPr>
        <w:t>铜官区疾控中心通过登录大疫情网进行查询，截至12月31日，2024年全年辖区内基层医疗机构累计上报91张报卡，其中2例疑似麻疹病例，经市疾控检验现均已排除并订正；</w:t>
      </w:r>
    </w:p>
    <w:p w14:paraId="556DD52A">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default" w:ascii="Times New Roman" w:hAnsi="Times New Roman" w:eastAsia="仿宋_GB2312" w:cs="Times New Roman"/>
          <w:i w:val="0"/>
          <w:strike w:val="0"/>
          <w:color w:val="auto"/>
          <w:sz w:val="32"/>
          <w:szCs w:val="32"/>
          <w:u w:val="none"/>
        </w:rPr>
        <w:t>年终现场考核时登录卫宁基层HIS系统社区卫生服务中心</w:t>
      </w:r>
      <w:r>
        <w:rPr>
          <w:rFonts w:hint="eastAsia" w:ascii="Times New Roman" w:hAnsi="Times New Roman" w:cs="Times New Roman"/>
          <w:i w:val="0"/>
          <w:strike w:val="0"/>
          <w:color w:val="auto"/>
          <w:sz w:val="32"/>
          <w:szCs w:val="32"/>
          <w:u w:val="none"/>
          <w:lang w:eastAsia="zh-CN"/>
        </w:rPr>
        <w:t>（</w:t>
      </w:r>
      <w:r>
        <w:rPr>
          <w:rFonts w:hint="eastAsia" w:ascii="Times New Roman" w:hAnsi="Times New Roman" w:cs="Times New Roman"/>
          <w:i w:val="0"/>
          <w:strike w:val="0"/>
          <w:color w:val="auto"/>
          <w:sz w:val="32"/>
          <w:szCs w:val="32"/>
          <w:u w:val="none"/>
          <w:lang w:val="en-US" w:eastAsia="zh-CN"/>
        </w:rPr>
        <w:t>卫生院</w:t>
      </w:r>
      <w:r>
        <w:rPr>
          <w:rFonts w:hint="eastAsia" w:ascii="Times New Roman" w:hAns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账号，查询出中心</w:t>
      </w:r>
      <w:r>
        <w:rPr>
          <w:rFonts w:hint="eastAsia" w:ascii="Times New Roman" w:hAnsi="Times New Roman" w:cs="Times New Roman"/>
          <w:i w:val="0"/>
          <w:strike w:val="0"/>
          <w:color w:val="auto"/>
          <w:sz w:val="32"/>
          <w:szCs w:val="32"/>
          <w:u w:val="none"/>
          <w:lang w:eastAsia="zh-CN"/>
        </w:rPr>
        <w:t>（</w:t>
      </w:r>
      <w:r>
        <w:rPr>
          <w:rFonts w:hint="eastAsia" w:ascii="Times New Roman" w:hAnsi="Times New Roman" w:cs="Times New Roman"/>
          <w:i w:val="0"/>
          <w:strike w:val="0"/>
          <w:color w:val="auto"/>
          <w:sz w:val="32"/>
          <w:szCs w:val="32"/>
          <w:u w:val="none"/>
          <w:lang w:val="en-US" w:eastAsia="zh-CN"/>
        </w:rPr>
        <w:t>卫生院</w:t>
      </w:r>
      <w:r>
        <w:rPr>
          <w:rFonts w:hint="eastAsia" w:ascii="Times New Roman" w:hAns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及其管辖站点2024年门诊日志初诊传染病93例，通过与大疫情网络报卡核实，报告91人，未报告2人（乙肝初诊病例），网络报告91张均及时报告。</w:t>
      </w:r>
    </w:p>
    <w:p w14:paraId="314E48F8">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2、存在问题</w:t>
      </w:r>
    </w:p>
    <w:p w14:paraId="30918245">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1</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学苑社区卫生服务中心抽查下属天山站初诊乙肝2例未报卡，现已补报。</w:t>
      </w:r>
    </w:p>
    <w:p w14:paraId="4A63B1B7">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2</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鹞山社区卫生服务中心报告14例传染病，其中1张纸质报卡填写诊断日期与大疫情网网络报告诊断日期不一致；1张纸质报卡性别填写与门诊日志性别比较不准确。</w:t>
      </w:r>
    </w:p>
    <w:p w14:paraId="48FD85A1">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3</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横港社区卫生服务中心报告18例传染病，其中1张纸质报卡填写诊断日期与大疫情网网络报告诊断日期不一致。</w:t>
      </w:r>
    </w:p>
    <w:p w14:paraId="56197C5B">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4</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狮子山社区卫生服务中心抽查下属先锋站传染病报告管理制度未更新，乙类甲管种类填写错误，仍有新型冠状病毒感染。</w:t>
      </w:r>
    </w:p>
    <w:p w14:paraId="4A416BBE">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5</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机厂社区卫生服务站、立新社区卫生服务站各有一张纸质报卡填写伴有涂改痕迹。</w:t>
      </w:r>
    </w:p>
    <w:p w14:paraId="326089AA">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3、整改要求</w:t>
      </w:r>
    </w:p>
    <w:p w14:paraId="72C439E2">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1</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各基层医疗机构应加强工作培训，提高医务人员报卡意识，坚决杜绝迟报漏报现象的发生。</w:t>
      </w:r>
    </w:p>
    <w:p w14:paraId="77D1B0DE">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2</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填写门诊日志时，做到数据真实有效，认真核实姓名、身份证号码等基本信息，确保就诊人员，门诊登记信息和报卡信息一致。</w:t>
      </w:r>
    </w:p>
    <w:p w14:paraId="29851AA6">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3</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医生填写传染病纸质保卡要与网络报卡、门诊日志保持一致，个人信息填写完整、准确，不得伴有涂改痕迹；已报网络报卡须有纸质报卡相对应。</w:t>
      </w:r>
    </w:p>
    <w:p w14:paraId="0164A3B8">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4</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传染病报卡人员审核报卡信息时，对于诊断时间和录入时间要严格把关，委托上级医疗机构进行报卡的单位，应实时与上级机构进行信息交流，同时做好后期跟进。</w:t>
      </w:r>
    </w:p>
    <w:p w14:paraId="387BC0C7">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5</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直报机构代替站点进行传染病网络报告时需备注代报单位。</w:t>
      </w:r>
    </w:p>
    <w:p w14:paraId="23350150">
      <w:pPr>
        <w:keepNext w:val="0"/>
        <w:keepLines w:val="0"/>
        <w:pageBreakBefore w:val="0"/>
        <w:widowControl w:val="0"/>
        <w:kinsoku/>
        <w:wordWrap/>
        <w:topLinePunct w:val="0"/>
        <w:autoSpaceDE/>
        <w:autoSpaceDN/>
        <w:bidi w:val="0"/>
        <w:adjustRightInd/>
        <w:snapToGrid/>
        <w:spacing w:before="0" w:after="0" w:line="600" w:lineRule="exact"/>
        <w:ind w:left="0" w:right="0" w:firstLine="640" w:firstLineChars="200"/>
        <w:jc w:val="both"/>
        <w:textAlignment w:val="auto"/>
        <w:rPr>
          <w:rFonts w:hint="default" w:ascii="Times New Roman" w:hAnsi="Times New Roman" w:eastAsia="仿宋_GB2312" w:cs="Times New Roman"/>
          <w:i w:val="0"/>
          <w:strike w:val="0"/>
          <w:color w:val="auto"/>
          <w:sz w:val="32"/>
          <w:szCs w:val="32"/>
          <w:u w:val="none"/>
        </w:rPr>
      </w:pPr>
      <w:r>
        <w:rPr>
          <w:rFonts w:hint="eastAsia" w:ascii="Times New Roman" w:cs="Times New Roman"/>
          <w:i w:val="0"/>
          <w:strike w:val="0"/>
          <w:color w:val="auto"/>
          <w:sz w:val="32"/>
          <w:szCs w:val="32"/>
          <w:u w:val="none"/>
          <w:lang w:eastAsia="zh-CN"/>
        </w:rPr>
        <w:t>（</w:t>
      </w:r>
      <w:r>
        <w:rPr>
          <w:rFonts w:hint="eastAsia" w:ascii="Times New Roman" w:cs="Times New Roman"/>
          <w:i w:val="0"/>
          <w:strike w:val="0"/>
          <w:color w:val="auto"/>
          <w:sz w:val="32"/>
          <w:szCs w:val="32"/>
          <w:u w:val="none"/>
          <w:lang w:val="en-US" w:eastAsia="zh-CN"/>
        </w:rPr>
        <w:t>6</w:t>
      </w:r>
      <w:r>
        <w:rPr>
          <w:rFonts w:hint="eastAsia" w:ascii="Times New Roman" w:cs="Times New Roman"/>
          <w:i w:val="0"/>
          <w:strike w:val="0"/>
          <w:color w:val="auto"/>
          <w:sz w:val="32"/>
          <w:szCs w:val="32"/>
          <w:u w:val="none"/>
          <w:lang w:eastAsia="zh-CN"/>
        </w:rPr>
        <w:t>）</w:t>
      </w:r>
      <w:r>
        <w:rPr>
          <w:rFonts w:hint="default" w:ascii="Times New Roman" w:hAnsi="Times New Roman" w:eastAsia="仿宋_GB2312" w:cs="Times New Roman"/>
          <w:i w:val="0"/>
          <w:strike w:val="0"/>
          <w:color w:val="auto"/>
          <w:sz w:val="32"/>
          <w:szCs w:val="32"/>
          <w:u w:val="none"/>
        </w:rPr>
        <w:t>加强常见传染病宣传，做好传染病宣教活动。</w:t>
      </w:r>
    </w:p>
    <w:p w14:paraId="6A1A2AB6">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（十</w:t>
      </w:r>
      <w:r>
        <w:rPr>
          <w:rFonts w:hint="eastAsia" w:ascii="Times New Roman" w:eastAsia="楷体_GB2312"/>
          <w:b/>
          <w:bCs/>
          <w:color w:val="auto"/>
          <w:lang w:val="en-US" w:eastAsia="zh-CN"/>
        </w:rPr>
        <w:t>二</w:t>
      </w:r>
      <w:r>
        <w:rPr>
          <w:rFonts w:hint="default" w:ascii="Times New Roman" w:eastAsia="楷体_GB2312"/>
          <w:b/>
          <w:bCs/>
          <w:color w:val="auto"/>
        </w:rPr>
        <w:t>）结核病管理</w:t>
      </w:r>
    </w:p>
    <w:p w14:paraId="1A9F70EA">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1、基本情况</w:t>
      </w:r>
    </w:p>
    <w:p w14:paraId="302BCD4B">
      <w:pPr>
        <w:keepNext w:val="0"/>
        <w:keepLines w:val="0"/>
        <w:pageBreakBefore w:val="0"/>
        <w:widowControl w:val="0"/>
        <w:kinsoku/>
        <w:wordWrap/>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202</w:t>
      </w:r>
      <w:r>
        <w:rPr>
          <w:rFonts w:hint="eastAsia" w:ascii="Times New Roman" w:hAnsi="Times New Roman" w:cs="Times New Roman"/>
          <w:color w:val="auto"/>
          <w:lang w:val="en-US" w:eastAsia="zh-CN"/>
        </w:rPr>
        <w:t>4</w:t>
      </w:r>
      <w:r>
        <w:rPr>
          <w:rFonts w:hint="default" w:ascii="Times New Roman" w:hAnsi="Times New Roman" w:eastAsia="仿宋_GB2312" w:cs="Times New Roman"/>
          <w:color w:val="auto"/>
        </w:rPr>
        <w:t>年全区135例肺结核患者均已落实管理，肺结核患者管理率100%，完成治疗患者86例，服药规则86例，规则服药率100%。</w:t>
      </w:r>
    </w:p>
    <w:p w14:paraId="698AD396">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2、存在问题</w:t>
      </w:r>
    </w:p>
    <w:p w14:paraId="1985E7D8">
      <w:pPr>
        <w:keepNext w:val="0"/>
        <w:keepLines w:val="0"/>
        <w:pageBreakBefore w:val="0"/>
        <w:widowControl w:val="0"/>
        <w:kinsoku/>
        <w:wordWrap/>
        <w:overflowPunct/>
        <w:topLinePunct w:val="0"/>
        <w:autoSpaceDE/>
        <w:autoSpaceDN/>
        <w:bidi w:val="0"/>
        <w:adjustRightInd/>
        <w:snapToGrid/>
        <w:spacing w:line="600" w:lineRule="exact"/>
        <w:ind w:left="-79" w:right="-79" w:firstLine="640" w:firstLineChars="200"/>
        <w:textAlignment w:val="auto"/>
        <w:rPr>
          <w:rFonts w:hint="default" w:ascii="Times New Roman"/>
          <w:color w:val="auto"/>
        </w:rPr>
      </w:pPr>
      <w:r>
        <w:rPr>
          <w:rFonts w:hint="default" w:ascii="Times New Roman"/>
          <w:color w:val="auto"/>
        </w:rPr>
        <w:t>（1）随访频次不达标。西湖镇卫生院1例病人缺1次随访，朝山村卫生室1例病人缺2次随访，联盟站4例病人共缺7次随访；</w:t>
      </w:r>
    </w:p>
    <w:p w14:paraId="245EEF31">
      <w:pPr>
        <w:keepNext w:val="0"/>
        <w:keepLines w:val="0"/>
        <w:pageBreakBefore w:val="0"/>
        <w:widowControl w:val="0"/>
        <w:kinsoku/>
        <w:wordWrap/>
        <w:overflowPunct/>
        <w:topLinePunct w:val="0"/>
        <w:autoSpaceDE/>
        <w:autoSpaceDN/>
        <w:bidi w:val="0"/>
        <w:adjustRightInd/>
        <w:snapToGrid/>
        <w:spacing w:line="600" w:lineRule="exact"/>
        <w:ind w:left="-79" w:right="-79" w:firstLine="640" w:firstLineChars="200"/>
        <w:textAlignment w:val="auto"/>
        <w:rPr>
          <w:rFonts w:hint="default" w:ascii="Times New Roman"/>
          <w:color w:val="auto"/>
        </w:rPr>
      </w:pPr>
      <w:r>
        <w:rPr>
          <w:rFonts w:hint="default" w:ascii="Times New Roman"/>
          <w:color w:val="auto"/>
        </w:rPr>
        <w:t>（2）随访记录填写不规范。西湖镇卫生院、联盟站存在随访记录药品剂型未填。</w:t>
      </w:r>
    </w:p>
    <w:p w14:paraId="4FC3987D">
      <w:pPr>
        <w:keepNext w:val="0"/>
        <w:keepLines w:val="0"/>
        <w:pageBreakBefore w:val="0"/>
        <w:widowControl w:val="0"/>
        <w:kinsoku/>
        <w:wordWrap/>
        <w:overflowPunct/>
        <w:topLinePunct w:val="0"/>
        <w:autoSpaceDE/>
        <w:autoSpaceDN/>
        <w:bidi w:val="0"/>
        <w:adjustRightInd/>
        <w:snapToGrid/>
        <w:spacing w:line="600" w:lineRule="exact"/>
        <w:ind w:left="-79" w:right="-79" w:firstLine="640" w:firstLineChars="200"/>
        <w:textAlignment w:val="auto"/>
        <w:rPr>
          <w:rFonts w:hint="default" w:ascii="Times New Roman"/>
          <w:color w:val="auto"/>
        </w:rPr>
      </w:pPr>
      <w:r>
        <w:rPr>
          <w:rFonts w:hint="default" w:ascii="Times New Roman"/>
          <w:color w:val="auto"/>
        </w:rPr>
        <w:t>（3）结案不规范。金口岭中心、鹞山中心、市建站、联盟站结案访视记录填写不规范。</w:t>
      </w:r>
    </w:p>
    <w:p w14:paraId="24BA8219">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3、整改要求</w:t>
      </w:r>
    </w:p>
    <w:p w14:paraId="60FAFA89">
      <w:pPr>
        <w:keepNext w:val="0"/>
        <w:keepLines w:val="0"/>
        <w:pageBreakBefore w:val="0"/>
        <w:widowControl w:val="0"/>
        <w:kinsoku/>
        <w:wordWrap/>
        <w:topLinePunct w:val="0"/>
        <w:autoSpaceDE/>
        <w:autoSpaceDN/>
        <w:bidi w:val="0"/>
        <w:adjustRightInd/>
        <w:snapToGrid/>
        <w:spacing w:line="600" w:lineRule="exact"/>
        <w:ind w:left="-79" w:right="-79" w:firstLine="640" w:firstLineChars="200"/>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（1）每日登录结核病云平台进行查看，在收到下发病人的 72小时内进行第一次入户随访，并及时录入基本公共卫生管理系统及结核病云平台。</w:t>
      </w:r>
    </w:p>
    <w:p w14:paraId="3948F99F">
      <w:pPr>
        <w:keepNext w:val="0"/>
        <w:keepLines w:val="0"/>
        <w:pageBreakBefore w:val="0"/>
        <w:widowControl w:val="0"/>
        <w:kinsoku/>
        <w:wordWrap/>
        <w:topLinePunct w:val="0"/>
        <w:autoSpaceDE/>
        <w:autoSpaceDN/>
        <w:bidi w:val="0"/>
        <w:adjustRightInd/>
        <w:snapToGrid/>
        <w:spacing w:line="600" w:lineRule="exact"/>
        <w:ind w:left="-79" w:right="-79" w:firstLine="640" w:firstLineChars="200"/>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（2）严格按照《肺结核患者健康管理服务规范》的要求落实后续随访工作，随访频次达标，在患者的强化期内每10天随访1次，继续期内每1个月随访1次。</w:t>
      </w:r>
    </w:p>
    <w:p w14:paraId="0E50D685">
      <w:pPr>
        <w:keepNext w:val="0"/>
        <w:keepLines w:val="0"/>
        <w:pageBreakBefore w:val="0"/>
        <w:widowControl w:val="0"/>
        <w:kinsoku/>
        <w:wordWrap/>
        <w:topLinePunct w:val="0"/>
        <w:autoSpaceDE/>
        <w:autoSpaceDN/>
        <w:bidi w:val="0"/>
        <w:adjustRightInd/>
        <w:snapToGrid/>
        <w:spacing w:line="600" w:lineRule="exact"/>
        <w:ind w:left="-79" w:right="-79" w:firstLine="640" w:firstLineChars="200"/>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（3）规范填写随访记录表，杜绝错项、漏项、缺项。</w:t>
      </w:r>
    </w:p>
    <w:p w14:paraId="67D938DF">
      <w:pPr>
        <w:keepNext w:val="0"/>
        <w:keepLines w:val="0"/>
        <w:pageBreakBefore w:val="0"/>
        <w:widowControl w:val="0"/>
        <w:kinsoku/>
        <w:wordWrap/>
        <w:topLinePunct w:val="0"/>
        <w:autoSpaceDE/>
        <w:autoSpaceDN/>
        <w:bidi w:val="0"/>
        <w:adjustRightInd/>
        <w:snapToGrid/>
        <w:spacing w:line="600" w:lineRule="exact"/>
        <w:ind w:left="-79" w:right="-79" w:firstLine="640" w:firstLineChars="200"/>
        <w:textAlignment w:val="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（4）加强人员培训质量，特别是换岗、新上岗人员培训。</w:t>
      </w:r>
    </w:p>
    <w:p w14:paraId="4EBCAB58">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（十</w:t>
      </w:r>
      <w:r>
        <w:rPr>
          <w:rFonts w:hint="eastAsia" w:ascii="Times New Roman" w:eastAsia="楷体_GB2312"/>
          <w:b/>
          <w:bCs/>
          <w:color w:val="auto"/>
          <w:lang w:val="en-US" w:eastAsia="zh-CN"/>
        </w:rPr>
        <w:t>三</w:t>
      </w:r>
      <w:r>
        <w:rPr>
          <w:rFonts w:hint="default" w:ascii="Times New Roman" w:eastAsia="楷体_GB2312"/>
          <w:b/>
          <w:bCs/>
          <w:color w:val="auto"/>
        </w:rPr>
        <w:t>）</w:t>
      </w:r>
      <w:r>
        <w:rPr>
          <w:rFonts w:hint="eastAsia" w:ascii="Times New Roman" w:eastAsia="楷体_GB2312"/>
          <w:b/>
          <w:bCs/>
          <w:color w:val="auto"/>
        </w:rPr>
        <w:t>卫生监督协管</w:t>
      </w:r>
    </w:p>
    <w:p w14:paraId="7C36FC38">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hAnsi="Times New Roman" w:cs="Times New Roman"/>
          <w:b/>
          <w:bCs/>
          <w:color w:val="auto"/>
        </w:rPr>
      </w:pPr>
      <w:r>
        <w:rPr>
          <w:rFonts w:hint="eastAsia" w:ascii="Times New Roman" w:cs="Times New Roman"/>
          <w:b/>
          <w:bCs/>
          <w:color w:val="auto"/>
          <w:lang w:val="en-US" w:eastAsia="zh-CN"/>
        </w:rPr>
        <w:t>1、</w:t>
      </w:r>
      <w:r>
        <w:rPr>
          <w:rFonts w:hint="default" w:ascii="Times New Roman" w:hAnsi="Times New Roman" w:cs="Times New Roman"/>
          <w:b/>
          <w:bCs/>
          <w:color w:val="auto"/>
        </w:rPr>
        <w:t>基本情况</w:t>
      </w:r>
    </w:p>
    <w:p w14:paraId="3894BD9F">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lang w:val="en-US" w:eastAsia="zh-CN"/>
        </w:rPr>
      </w:pPr>
      <w:r>
        <w:rPr>
          <w:rFonts w:hint="default" w:ascii="Times New Roman" w:hAnsi="Times New Roman" w:eastAsia="仿宋_GB2312" w:cs="Times New Roman"/>
          <w:color w:val="auto"/>
          <w:spacing w:val="-4"/>
          <w:sz w:val="32"/>
          <w:szCs w:val="32"/>
          <w:lang w:val="en-US" w:eastAsia="zh-CN"/>
        </w:rPr>
        <w:t>2024年全年卫生监督协管共巡查公共场所4064户次，医疗机构巡查584户次，学校巡查87所次，职业卫生巡查73家次，辖区内卫生监督协管覆盖率达100%。</w:t>
      </w:r>
    </w:p>
    <w:p w14:paraId="7AB9D341">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cs="Times New Roman"/>
          <w:b/>
          <w:bCs/>
          <w:color w:val="auto"/>
          <w:lang w:val="en-US" w:eastAsia="zh-CN"/>
        </w:rPr>
      </w:pPr>
      <w:r>
        <w:rPr>
          <w:rFonts w:hint="default" w:ascii="Times New Roman" w:cs="Times New Roman"/>
          <w:b/>
          <w:bCs/>
          <w:color w:val="auto"/>
          <w:lang w:val="en-US" w:eastAsia="zh-CN"/>
        </w:rPr>
        <w:t>2、存在问题</w:t>
      </w:r>
    </w:p>
    <w:p w14:paraId="3EADF2EA">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rPr>
      </w:pPr>
      <w:r>
        <w:rPr>
          <w:rFonts w:hint="eastAsia" w:ascii="Times New Roman" w:hAnsi="Times New Roman" w:cs="Times New Roman"/>
          <w:color w:val="auto"/>
          <w:spacing w:val="-4"/>
          <w:sz w:val="32"/>
          <w:szCs w:val="32"/>
          <w:lang w:eastAsia="zh-CN"/>
        </w:rPr>
        <w:t>（</w:t>
      </w:r>
      <w:r>
        <w:rPr>
          <w:rFonts w:hint="eastAsia" w:ascii="Times New Roman" w:hAnsi="Times New Roman" w:cs="Times New Roman"/>
          <w:color w:val="auto"/>
          <w:spacing w:val="-4"/>
          <w:sz w:val="32"/>
          <w:szCs w:val="32"/>
          <w:lang w:val="en-US" w:eastAsia="zh-CN"/>
        </w:rPr>
        <w:t>1</w:t>
      </w:r>
      <w:r>
        <w:rPr>
          <w:rFonts w:hint="eastAsia" w:ascii="Times New Roman" w:hAnsi="Times New Roman" w:cs="Times New Roman"/>
          <w:color w:val="auto"/>
          <w:spacing w:val="-4"/>
          <w:sz w:val="32"/>
          <w:szCs w:val="32"/>
          <w:lang w:eastAsia="zh-CN"/>
        </w:rPr>
        <w:t>）</w:t>
      </w:r>
      <w:r>
        <w:rPr>
          <w:rFonts w:hint="default" w:ascii="Times New Roman" w:hAnsi="Times New Roman" w:eastAsia="仿宋_GB2312" w:cs="Times New Roman"/>
          <w:color w:val="auto"/>
          <w:spacing w:val="-4"/>
          <w:sz w:val="32"/>
          <w:szCs w:val="32"/>
        </w:rPr>
        <w:t>部分协管站巡查时上传基本协管专网的事件报告与整改复核不一致；</w:t>
      </w:r>
    </w:p>
    <w:p w14:paraId="60DAAC70">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rPr>
      </w:pPr>
      <w:r>
        <w:rPr>
          <w:rFonts w:hint="eastAsia" w:ascii="Times New Roman" w:hAnsi="Times New Roman" w:cs="Times New Roman"/>
          <w:color w:val="auto"/>
          <w:spacing w:val="-4"/>
          <w:sz w:val="32"/>
          <w:szCs w:val="32"/>
          <w:lang w:eastAsia="zh-CN"/>
        </w:rPr>
        <w:t>（</w:t>
      </w:r>
      <w:r>
        <w:rPr>
          <w:rFonts w:hint="eastAsia" w:ascii="Times New Roman" w:hAnsi="Times New Roman" w:cs="Times New Roman"/>
          <w:color w:val="auto"/>
          <w:spacing w:val="-4"/>
          <w:sz w:val="32"/>
          <w:szCs w:val="32"/>
          <w:lang w:val="en-US" w:eastAsia="zh-CN"/>
        </w:rPr>
        <w:t>2</w:t>
      </w:r>
      <w:r>
        <w:rPr>
          <w:rFonts w:hint="eastAsia" w:ascii="Times New Roman" w:hAnsi="Times New Roman" w:cs="Times New Roman"/>
          <w:color w:val="auto"/>
          <w:spacing w:val="-4"/>
          <w:sz w:val="32"/>
          <w:szCs w:val="32"/>
          <w:lang w:eastAsia="zh-CN"/>
        </w:rPr>
        <w:t>）</w:t>
      </w:r>
      <w:r>
        <w:rPr>
          <w:rFonts w:hint="default" w:ascii="Times New Roman" w:hAnsi="Times New Roman" w:eastAsia="仿宋_GB2312" w:cs="Times New Roman"/>
          <w:color w:val="auto"/>
          <w:spacing w:val="-4"/>
          <w:sz w:val="32"/>
          <w:szCs w:val="32"/>
        </w:rPr>
        <w:t>部分巡查对象本底录入协管专网信息不全；</w:t>
      </w:r>
    </w:p>
    <w:p w14:paraId="12546B85">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因协管专网网络不稳定，导致部分现场巡查信息重复录入协管专网。</w:t>
      </w:r>
    </w:p>
    <w:p w14:paraId="3DA6B09A">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cs="Times New Roman"/>
          <w:b/>
          <w:bCs/>
          <w:color w:val="auto"/>
          <w:lang w:val="en-US" w:eastAsia="zh-CN"/>
        </w:rPr>
      </w:pPr>
      <w:r>
        <w:rPr>
          <w:rFonts w:hint="eastAsia" w:ascii="Times New Roman" w:cs="Times New Roman"/>
          <w:b/>
          <w:bCs/>
          <w:color w:val="auto"/>
          <w:lang w:val="en-US" w:eastAsia="zh-CN"/>
        </w:rPr>
        <w:t>3、</w:t>
      </w:r>
      <w:r>
        <w:rPr>
          <w:rFonts w:hint="default" w:ascii="Times New Roman" w:cs="Times New Roman"/>
          <w:b/>
          <w:bCs/>
          <w:color w:val="auto"/>
          <w:lang w:val="en-US" w:eastAsia="zh-CN"/>
        </w:rPr>
        <w:t>整改要求</w:t>
      </w:r>
    </w:p>
    <w:p w14:paraId="387062CE">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（1）严格按照《卫生计生监督协管服务规范》、《职业卫生监督协管服务技术规范》要求开展协管巡查工作。</w:t>
      </w:r>
    </w:p>
    <w:p w14:paraId="1B69C50E">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color w:val="auto"/>
          <w:spacing w:val="-4"/>
          <w:sz w:val="32"/>
          <w:szCs w:val="32"/>
        </w:rPr>
      </w:pPr>
      <w:r>
        <w:rPr>
          <w:rFonts w:hint="default" w:ascii="Times New Roman" w:hAnsi="Times New Roman" w:eastAsia="仿宋_GB2312" w:cs="Times New Roman"/>
          <w:color w:val="auto"/>
          <w:spacing w:val="-4"/>
          <w:sz w:val="32"/>
          <w:szCs w:val="32"/>
        </w:rPr>
        <w:t>（2）每周登录协管专网，对各协管站上传的巡查信息进行审核，对存在的问题及时反馈。</w:t>
      </w:r>
    </w:p>
    <w:p w14:paraId="43568446">
      <w:pPr>
        <w:keepNext w:val="0"/>
        <w:keepLines w:val="0"/>
        <w:pageBreakBefore w:val="0"/>
        <w:widowControl w:val="0"/>
        <w:kinsoku/>
        <w:wordWrap/>
        <w:topLinePunct w:val="0"/>
        <w:autoSpaceDE/>
        <w:autoSpaceDN/>
        <w:bidi w:val="0"/>
        <w:adjustRightInd/>
        <w:snapToGrid/>
        <w:spacing w:line="600" w:lineRule="exact"/>
        <w:ind w:left="-96" w:right="-96" w:firstLine="640" w:firstLineChars="200"/>
        <w:textAlignment w:val="auto"/>
        <w:rPr>
          <w:rFonts w:hint="default" w:ascii="Times New Roman" w:eastAsia="黑体"/>
          <w:color w:val="auto"/>
        </w:rPr>
      </w:pPr>
      <w:r>
        <w:rPr>
          <w:rFonts w:hint="default" w:ascii="Times New Roman" w:eastAsia="黑体"/>
          <w:color w:val="auto"/>
        </w:rPr>
        <w:t>三、家庭医生签约考核情况</w:t>
      </w:r>
    </w:p>
    <w:p w14:paraId="6CFC607C">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（一）有关要求</w:t>
      </w:r>
    </w:p>
    <w:p w14:paraId="2B6DC757">
      <w:pPr>
        <w:keepNext w:val="0"/>
        <w:keepLines w:val="0"/>
        <w:pageBreakBefore w:val="0"/>
        <w:widowControl w:val="0"/>
        <w:kinsoku/>
        <w:wordWrap/>
        <w:topLinePunct w:val="0"/>
        <w:autoSpaceDE/>
        <w:autoSpaceDN/>
        <w:bidi w:val="0"/>
        <w:adjustRightInd/>
        <w:snapToGrid/>
        <w:spacing w:line="600" w:lineRule="exact"/>
        <w:ind w:firstLine="624"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spacing w:val="-4"/>
        </w:rPr>
        <w:t>家庭医生总签约率应达到</w:t>
      </w:r>
      <w:r>
        <w:rPr>
          <w:rFonts w:hint="default" w:ascii="Times New Roman" w:hAnsi="Times New Roman" w:eastAsia="Times New Roman" w:cs="Times New Roman"/>
          <w:color w:val="auto"/>
          <w:spacing w:val="-4"/>
        </w:rPr>
        <w:t>60%</w:t>
      </w:r>
      <w:r>
        <w:rPr>
          <w:rFonts w:hint="default" w:ascii="Times New Roman" w:hAnsi="Times New Roman" w:cs="Times New Roman"/>
          <w:color w:val="auto"/>
          <w:spacing w:val="-4"/>
        </w:rPr>
        <w:t>以上，重点人群签约率达到</w:t>
      </w:r>
      <w:r>
        <w:rPr>
          <w:rFonts w:hint="default" w:ascii="Times New Roman" w:hAnsi="Times New Roman" w:eastAsia="Times New Roman" w:cs="Times New Roman"/>
          <w:color w:val="auto"/>
          <w:spacing w:val="-4"/>
        </w:rPr>
        <w:t>85%</w:t>
      </w:r>
      <w:r>
        <w:rPr>
          <w:rFonts w:hint="default" w:ascii="Times New Roman" w:hAnsi="Times New Roman" w:cs="Times New Roman"/>
          <w:color w:val="auto"/>
          <w:spacing w:val="-4"/>
        </w:rPr>
        <w:t>以上，残疾人签约率达到</w:t>
      </w:r>
      <w:r>
        <w:rPr>
          <w:rFonts w:hint="default" w:ascii="Times New Roman" w:hAnsi="Times New Roman" w:eastAsia="Times New Roman" w:cs="Times New Roman"/>
          <w:color w:val="auto"/>
          <w:spacing w:val="-4"/>
        </w:rPr>
        <w:t>85%</w:t>
      </w:r>
      <w:r>
        <w:rPr>
          <w:rFonts w:hint="default" w:ascii="Times New Roman" w:hAnsi="Times New Roman" w:cs="Times New Roman"/>
          <w:color w:val="auto"/>
          <w:spacing w:val="-4"/>
        </w:rPr>
        <w:t>以上，高血压有偿签约率达到</w:t>
      </w:r>
      <w:r>
        <w:rPr>
          <w:rFonts w:hint="default" w:ascii="Times New Roman" w:hAnsi="Times New Roman" w:eastAsia="Times New Roman" w:cs="Times New Roman"/>
          <w:color w:val="auto"/>
          <w:spacing w:val="-4"/>
        </w:rPr>
        <w:t>2%</w:t>
      </w:r>
      <w:r>
        <w:rPr>
          <w:rFonts w:hint="default" w:ascii="Times New Roman" w:hAnsi="Times New Roman" w:cs="Times New Roman"/>
          <w:color w:val="auto"/>
          <w:spacing w:val="-4"/>
        </w:rPr>
        <w:t>以上，糖尿病有偿签约率达到</w:t>
      </w:r>
      <w:r>
        <w:rPr>
          <w:rFonts w:hint="default" w:ascii="Times New Roman" w:hAnsi="Times New Roman" w:eastAsia="Times New Roman" w:cs="Times New Roman"/>
          <w:color w:val="auto"/>
          <w:spacing w:val="-4"/>
        </w:rPr>
        <w:t>1%</w:t>
      </w:r>
      <w:r>
        <w:rPr>
          <w:rFonts w:hint="default" w:ascii="Times New Roman" w:hAnsi="Times New Roman" w:cs="Times New Roman"/>
          <w:color w:val="auto"/>
          <w:spacing w:val="-4"/>
        </w:rPr>
        <w:t>以上，糖尿病一体化管理服务包签约率达到</w:t>
      </w:r>
      <w:r>
        <w:rPr>
          <w:rFonts w:hint="default" w:ascii="Times New Roman" w:hAnsi="Times New Roman" w:eastAsia="Times New Roman" w:cs="Times New Roman"/>
          <w:color w:val="auto"/>
          <w:spacing w:val="-4"/>
        </w:rPr>
        <w:t>25%</w:t>
      </w:r>
      <w:r>
        <w:rPr>
          <w:rFonts w:hint="default" w:ascii="Times New Roman" w:hAnsi="Times New Roman" w:cs="Times New Roman"/>
          <w:color w:val="auto"/>
          <w:spacing w:val="-4"/>
        </w:rPr>
        <w:t>以上，项目执行进度达到</w:t>
      </w:r>
      <w:r>
        <w:rPr>
          <w:rFonts w:hint="default" w:ascii="Times New Roman" w:hAnsi="Times New Roman" w:eastAsia="Times New Roman" w:cs="Times New Roman"/>
          <w:color w:val="auto"/>
          <w:spacing w:val="-4"/>
        </w:rPr>
        <w:t>95%</w:t>
      </w:r>
      <w:r>
        <w:rPr>
          <w:rFonts w:hint="default" w:ascii="Times New Roman" w:hAnsi="Times New Roman" w:cs="Times New Roman"/>
          <w:color w:val="auto"/>
          <w:spacing w:val="-4"/>
        </w:rPr>
        <w:t>以上，服务完成率达到</w:t>
      </w:r>
      <w:r>
        <w:rPr>
          <w:rFonts w:hint="default" w:ascii="Times New Roman" w:hAnsi="Times New Roman" w:eastAsia="Times New Roman" w:cs="Times New Roman"/>
          <w:color w:val="auto"/>
          <w:spacing w:val="-4"/>
        </w:rPr>
        <w:t>90%</w:t>
      </w:r>
      <w:r>
        <w:rPr>
          <w:rFonts w:hint="default" w:ascii="Times New Roman" w:hAnsi="Times New Roman" w:cs="Times New Roman"/>
          <w:color w:val="auto"/>
          <w:spacing w:val="-4"/>
        </w:rPr>
        <w:t>以上。</w:t>
      </w:r>
    </w:p>
    <w:p w14:paraId="6189F157">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（二）任务完成情况</w:t>
      </w:r>
    </w:p>
    <w:p w14:paraId="04F24AD6">
      <w:pPr>
        <w:keepNext w:val="0"/>
        <w:keepLines w:val="0"/>
        <w:pageBreakBefore w:val="0"/>
        <w:widowControl w:val="0"/>
        <w:kinsoku/>
        <w:wordWrap/>
        <w:topLinePunct w:val="0"/>
        <w:autoSpaceDE/>
        <w:autoSpaceDN/>
        <w:bidi w:val="0"/>
        <w:adjustRightInd/>
        <w:snapToGrid/>
        <w:spacing w:line="600" w:lineRule="exact"/>
        <w:ind w:firstLine="624" w:firstLineChars="200"/>
        <w:jc w:val="both"/>
        <w:textAlignment w:val="auto"/>
        <w:rPr>
          <w:rFonts w:hint="default" w:ascii="Times New Roman" w:hAnsi="Times New Roman" w:cs="Times New Roman"/>
          <w:color w:val="auto"/>
          <w:spacing w:val="-4"/>
        </w:rPr>
      </w:pPr>
      <w:r>
        <w:rPr>
          <w:rFonts w:hint="default" w:ascii="Times New Roman" w:hAnsi="Times New Roman" w:eastAsia="Times New Roman" w:cs="Times New Roman"/>
          <w:color w:val="auto"/>
          <w:spacing w:val="-4"/>
        </w:rPr>
        <w:t>2024</w:t>
      </w:r>
      <w:r>
        <w:rPr>
          <w:rFonts w:hint="default" w:ascii="Times New Roman" w:hAnsi="Times New Roman" w:cs="Times New Roman"/>
          <w:color w:val="auto"/>
          <w:spacing w:val="-4"/>
        </w:rPr>
        <w:t>年全区共签约家庭医生有偿服务协议</w:t>
      </w:r>
      <w:r>
        <w:rPr>
          <w:rFonts w:hint="default" w:ascii="Times New Roman" w:hAnsi="Times New Roman" w:eastAsia="Times New Roman" w:cs="Times New Roman"/>
          <w:color w:val="auto"/>
          <w:spacing w:val="-4"/>
        </w:rPr>
        <w:t>41232</w:t>
      </w:r>
      <w:r>
        <w:rPr>
          <w:rFonts w:hint="default" w:ascii="Times New Roman" w:hAnsi="Times New Roman" w:cs="Times New Roman"/>
          <w:color w:val="auto"/>
          <w:spacing w:val="-4"/>
        </w:rPr>
        <w:t>份，总签约300341人，总签约率达</w:t>
      </w:r>
      <w:r>
        <w:rPr>
          <w:rFonts w:hint="default" w:ascii="Times New Roman" w:hAnsi="Times New Roman" w:eastAsia="Times New Roman" w:cs="Times New Roman"/>
          <w:color w:val="auto"/>
          <w:spacing w:val="-4"/>
        </w:rPr>
        <w:t>72.79%</w:t>
      </w:r>
      <w:r>
        <w:rPr>
          <w:rFonts w:hint="default" w:ascii="Times New Roman" w:hAnsi="Times New Roman" w:cs="Times New Roman"/>
          <w:color w:val="auto"/>
          <w:spacing w:val="-4"/>
        </w:rPr>
        <w:t>，重点人群签约率达87.44</w:t>
      </w:r>
      <w:r>
        <w:rPr>
          <w:rFonts w:hint="default" w:ascii="Times New Roman" w:hAnsi="Times New Roman" w:eastAsia="Times New Roman" w:cs="Times New Roman"/>
          <w:color w:val="auto"/>
          <w:spacing w:val="-4"/>
        </w:rPr>
        <w:t>%</w:t>
      </w:r>
      <w:r>
        <w:rPr>
          <w:rFonts w:hint="default" w:ascii="Times New Roman" w:hAnsi="Times New Roman" w:cs="Times New Roman"/>
          <w:color w:val="auto"/>
          <w:spacing w:val="-4"/>
        </w:rPr>
        <w:t>，高血压有偿签约率达</w:t>
      </w:r>
      <w:r>
        <w:rPr>
          <w:rFonts w:hint="default" w:ascii="Times New Roman" w:hAnsi="Times New Roman" w:eastAsia="Times New Roman" w:cs="Times New Roman"/>
          <w:color w:val="auto"/>
          <w:spacing w:val="-4"/>
        </w:rPr>
        <w:t>7.38%</w:t>
      </w:r>
      <w:r>
        <w:rPr>
          <w:rFonts w:hint="default" w:ascii="Times New Roman" w:hAnsi="Times New Roman" w:eastAsia="宋体" w:cs="Times New Roman"/>
          <w:color w:val="auto"/>
          <w:spacing w:val="-4"/>
        </w:rPr>
        <w:t>，</w:t>
      </w:r>
      <w:r>
        <w:rPr>
          <w:rFonts w:hint="default" w:ascii="Times New Roman" w:hAnsi="Times New Roman" w:cs="Times New Roman"/>
          <w:color w:val="auto"/>
          <w:spacing w:val="-4"/>
        </w:rPr>
        <w:t>糖尿病有偿签约率达</w:t>
      </w:r>
      <w:r>
        <w:rPr>
          <w:rFonts w:hint="default" w:ascii="Times New Roman" w:hAnsi="Times New Roman" w:eastAsia="Times New Roman" w:cs="Times New Roman"/>
          <w:color w:val="auto"/>
          <w:spacing w:val="-4"/>
        </w:rPr>
        <w:t>2.56%</w:t>
      </w:r>
      <w:r>
        <w:rPr>
          <w:rFonts w:hint="default" w:ascii="Times New Roman" w:hAnsi="Times New Roman" w:cs="Times New Roman"/>
          <w:color w:val="auto"/>
          <w:spacing w:val="-4"/>
        </w:rPr>
        <w:t>,糖尿病一体化管理服务包签约率达到</w:t>
      </w:r>
      <w:r>
        <w:rPr>
          <w:rFonts w:hint="default" w:ascii="Times New Roman" w:hAnsi="Times New Roman" w:eastAsia="Times New Roman" w:cs="Times New Roman"/>
          <w:color w:val="auto"/>
          <w:spacing w:val="-4"/>
        </w:rPr>
        <w:t>33.43%</w:t>
      </w:r>
      <w:r>
        <w:rPr>
          <w:rFonts w:hint="default" w:ascii="Times New Roman" w:hAnsi="Times New Roman" w:cs="Times New Roman"/>
          <w:color w:val="auto"/>
          <w:spacing w:val="-4"/>
        </w:rPr>
        <w:t>，无偿签约项目执行进度达94.84%，有偿签约项目执行进度达</w:t>
      </w:r>
      <w:r>
        <w:rPr>
          <w:rFonts w:hint="default" w:ascii="Times New Roman" w:hAnsi="Times New Roman" w:eastAsia="Times New Roman" w:cs="Times New Roman"/>
          <w:color w:val="auto"/>
          <w:spacing w:val="-4"/>
        </w:rPr>
        <w:t>92.52%</w:t>
      </w:r>
      <w:r>
        <w:rPr>
          <w:rFonts w:hint="default" w:ascii="Times New Roman" w:hAnsi="Times New Roman" w:cs="Times New Roman"/>
          <w:color w:val="auto"/>
          <w:spacing w:val="-4"/>
        </w:rPr>
        <w:t>；无偿签约服务完成率达</w:t>
      </w:r>
      <w:r>
        <w:rPr>
          <w:rFonts w:hint="default" w:ascii="Times New Roman" w:hAnsi="Times New Roman" w:eastAsia="Times New Roman" w:cs="Times New Roman"/>
          <w:color w:val="auto"/>
          <w:spacing w:val="-4"/>
        </w:rPr>
        <w:t>95.37%，</w:t>
      </w:r>
      <w:r>
        <w:rPr>
          <w:rFonts w:hint="default" w:ascii="Times New Roman" w:hAnsi="Times New Roman" w:cs="Times New Roman"/>
          <w:color w:val="auto"/>
          <w:spacing w:val="-4"/>
        </w:rPr>
        <w:t>有偿签约服务完成率达</w:t>
      </w:r>
      <w:r>
        <w:rPr>
          <w:rFonts w:hint="default" w:ascii="Times New Roman" w:hAnsi="Times New Roman" w:eastAsia="Times New Roman" w:cs="Times New Roman"/>
          <w:color w:val="auto"/>
          <w:spacing w:val="-4"/>
        </w:rPr>
        <w:t>93.17%</w:t>
      </w:r>
      <w:r>
        <w:rPr>
          <w:rFonts w:hint="default" w:ascii="Times New Roman" w:hAnsi="Times New Roman" w:cs="Times New Roman"/>
          <w:color w:val="auto"/>
          <w:spacing w:val="-4"/>
        </w:rPr>
        <w:t>。</w:t>
      </w:r>
    </w:p>
    <w:p w14:paraId="2CE98187">
      <w:pPr>
        <w:keepNext w:val="0"/>
        <w:keepLines w:val="0"/>
        <w:pageBreakBefore w:val="0"/>
        <w:widowControl w:val="0"/>
        <w:kinsoku/>
        <w:wordWrap/>
        <w:topLinePunct w:val="0"/>
        <w:autoSpaceDE/>
        <w:autoSpaceDN/>
        <w:bidi w:val="0"/>
        <w:adjustRightInd/>
        <w:snapToGrid/>
        <w:spacing w:line="600" w:lineRule="exact"/>
        <w:ind w:left="-96" w:right="-96" w:firstLine="643" w:firstLineChars="200"/>
        <w:textAlignment w:val="auto"/>
        <w:rPr>
          <w:rFonts w:hint="default" w:ascii="Times New Roman" w:eastAsia="楷体_GB2312"/>
          <w:b/>
          <w:bCs/>
          <w:color w:val="auto"/>
        </w:rPr>
      </w:pPr>
      <w:r>
        <w:rPr>
          <w:rFonts w:hint="default" w:ascii="Times New Roman" w:eastAsia="楷体_GB2312"/>
          <w:b/>
          <w:bCs/>
          <w:color w:val="auto"/>
        </w:rPr>
        <w:t>（三）主要问题</w:t>
      </w:r>
    </w:p>
    <w:p w14:paraId="33A1C229">
      <w:pPr>
        <w:keepNext w:val="0"/>
        <w:keepLines w:val="0"/>
        <w:pageBreakBefore w:val="0"/>
        <w:widowControl w:val="0"/>
        <w:kinsoku/>
        <w:wordWrap/>
        <w:topLinePunct w:val="0"/>
        <w:autoSpaceDE/>
        <w:autoSpaceDN/>
        <w:bidi w:val="0"/>
        <w:adjustRightInd/>
        <w:snapToGrid/>
        <w:spacing w:line="600" w:lineRule="exact"/>
        <w:ind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1、宣传不到位</w:t>
      </w:r>
    </w:p>
    <w:p w14:paraId="3DA8BAA4">
      <w:pPr>
        <w:keepNext w:val="0"/>
        <w:keepLines w:val="0"/>
        <w:pageBreakBefore w:val="0"/>
        <w:widowControl w:val="0"/>
        <w:kinsoku/>
        <w:wordWrap/>
        <w:topLinePunct w:val="0"/>
        <w:autoSpaceDE/>
        <w:autoSpaceDN/>
        <w:bidi w:val="0"/>
        <w:adjustRightInd/>
        <w:snapToGrid/>
        <w:spacing w:line="600" w:lineRule="exact"/>
        <w:ind w:firstLine="624"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spacing w:val="-4"/>
        </w:rPr>
        <w:t>（</w:t>
      </w:r>
      <w:r>
        <w:rPr>
          <w:rFonts w:hint="default" w:ascii="Times New Roman" w:hAnsi="Times New Roman" w:eastAsia="Times New Roman" w:cs="Times New Roman"/>
          <w:color w:val="auto"/>
          <w:spacing w:val="-4"/>
        </w:rPr>
        <w:t>1</w:t>
      </w:r>
      <w:r>
        <w:rPr>
          <w:rFonts w:hint="default" w:ascii="Times New Roman" w:hAnsi="Times New Roman" w:cs="Times New Roman"/>
          <w:color w:val="auto"/>
          <w:spacing w:val="-4"/>
        </w:rPr>
        <w:t>）签约项目知晓率低，宣传力度不足。绝大多数机构电话回访时居民仅知晓已缴费体检，但不了解“家庭医生签约”。基层医务人员业务水平、沟通能力</w:t>
      </w:r>
      <w:r>
        <w:rPr>
          <w:rFonts w:hint="default" w:ascii="Times New Roman" w:hAnsi="Times New Roman" w:cs="Times New Roman"/>
          <w:color w:val="auto"/>
          <w:spacing w:val="-4"/>
          <w:lang w:val="en-US" w:eastAsia="zh-CN"/>
        </w:rPr>
        <w:t>不足</w:t>
      </w:r>
      <w:r>
        <w:rPr>
          <w:rFonts w:hint="default" w:ascii="Times New Roman" w:hAnsi="Times New Roman" w:cs="Times New Roman"/>
          <w:color w:val="auto"/>
          <w:spacing w:val="-4"/>
        </w:rPr>
        <w:t>，对签约对象宣传解释不到位，宣传形式过于单一。</w:t>
      </w:r>
    </w:p>
    <w:p w14:paraId="489E1E64">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w:t>
      </w:r>
      <w:r>
        <w:rPr>
          <w:rFonts w:hint="default" w:ascii="Times New Roman" w:hAnsi="Times New Roman" w:eastAsia="Times New Roman" w:cs="Times New Roman"/>
          <w:color w:val="auto"/>
          <w:spacing w:val="-4"/>
        </w:rPr>
        <w:t>2</w:t>
      </w:r>
      <w:r>
        <w:rPr>
          <w:rFonts w:hint="default" w:ascii="Times New Roman" w:hAnsi="Times New Roman" w:cs="Times New Roman"/>
          <w:color w:val="auto"/>
          <w:spacing w:val="-4"/>
        </w:rPr>
        <w:t>）健康知识宣传不到位。部分机构电话回访时居民反馈仅在体检或者随访时接受过健康指导，基本没参加过机构提供的健康讲座及健康知识宣传等活动。</w:t>
      </w:r>
    </w:p>
    <w:p w14:paraId="199E44F2">
      <w:pPr>
        <w:keepNext w:val="0"/>
        <w:keepLines w:val="0"/>
        <w:pageBreakBefore w:val="0"/>
        <w:widowControl w:val="0"/>
        <w:pBdr>
          <w:bottom w:val="none" w:color="auto" w:sz="0" w:space="0"/>
        </w:pBdr>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（3）居民电子健康档案开放宣传不到位。大部分机构电话回访时居民对于“电子居民健康档案开放”和“电子居民健康档案查询方式”基本不知道或不了解。</w:t>
      </w:r>
    </w:p>
    <w:p w14:paraId="40297C1C">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cs="Times New Roman"/>
          <w:b/>
          <w:bCs/>
          <w:color w:val="auto"/>
        </w:rPr>
      </w:pPr>
      <w:r>
        <w:rPr>
          <w:rFonts w:hint="default" w:ascii="Times New Roman" w:hAnsi="Times New Roman" w:cs="Times New Roman"/>
          <w:b/>
          <w:bCs/>
          <w:color w:val="auto"/>
        </w:rPr>
        <w:t>2、执行不规范</w:t>
      </w:r>
    </w:p>
    <w:p w14:paraId="0E40F848">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（1）幸福中心、金口岭中心、</w:t>
      </w:r>
      <w:r>
        <w:rPr>
          <w:rFonts w:hint="eastAsia" w:ascii="Times New Roman" w:cs="Times New Roman"/>
          <w:color w:val="auto"/>
          <w:spacing w:val="-4"/>
          <w:lang w:eastAsia="zh-CN"/>
        </w:rPr>
        <w:t>新城片区</w:t>
      </w:r>
      <w:r>
        <w:rPr>
          <w:rFonts w:hint="default" w:ascii="Times New Roman" w:hAnsi="Times New Roman" w:cs="Times New Roman"/>
          <w:color w:val="auto"/>
          <w:spacing w:val="-4"/>
        </w:rPr>
        <w:t>部分档案因签约日期在随访日期之后导致季度随访显示履约异常。</w:t>
      </w:r>
    </w:p>
    <w:p w14:paraId="1DFD8D61">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（2）学苑中心部分档案因B超单检查部位错误勾选导致双肾B超检查部位提示“肝胆胰脾双肾+前列腺”。</w:t>
      </w:r>
    </w:p>
    <w:p w14:paraId="746429EF">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（3）所有中心履约均已实现“一键获取”，部分机构辅助检查项目存在未及时发布报告等原因导致无报告单；</w:t>
      </w:r>
    </w:p>
    <w:p w14:paraId="7B7A786A">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（4）学苑中心、横港中心、狮子山中心因系统模板问题，上传的尿常规报告单无参考值。</w:t>
      </w:r>
    </w:p>
    <w:p w14:paraId="05709F58">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（5）学苑中心、鹞山中心、西湖镇卫生院、</w:t>
      </w:r>
      <w:r>
        <w:rPr>
          <w:rFonts w:hint="eastAsia" w:ascii="Times New Roman" w:cs="Times New Roman"/>
          <w:color w:val="auto"/>
          <w:spacing w:val="-4"/>
          <w:lang w:eastAsia="zh-CN"/>
        </w:rPr>
        <w:t>新城片区</w:t>
      </w:r>
      <w:r>
        <w:rPr>
          <w:rFonts w:hint="default" w:ascii="Times New Roman" w:hAnsi="Times New Roman" w:cs="Times New Roman"/>
          <w:color w:val="auto"/>
          <w:spacing w:val="-4"/>
        </w:rPr>
        <w:t>部分档案上传的B超单据、胸片、眼底报告无审核医生签字。</w:t>
      </w:r>
    </w:p>
    <w:p w14:paraId="7EBBC3CF">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default" w:ascii="Times New Roman" w:hAnsi="Times New Roman" w:eastAsia="仿宋_GB2312" w:cs="Times New Roman"/>
          <w:b/>
          <w:bCs/>
          <w:color w:val="auto"/>
          <w:lang w:val="en-US" w:eastAsia="zh-CN"/>
        </w:rPr>
      </w:pPr>
      <w:r>
        <w:rPr>
          <w:rFonts w:hint="eastAsia" w:ascii="Times New Roman" w:cs="Times New Roman"/>
          <w:b/>
          <w:bCs/>
          <w:color w:val="auto"/>
          <w:lang w:val="en-US" w:eastAsia="zh-CN"/>
        </w:rPr>
        <w:t>3</w:t>
      </w:r>
      <w:r>
        <w:rPr>
          <w:rFonts w:hint="default" w:ascii="Times New Roman" w:hAnsi="Times New Roman" w:cs="Times New Roman"/>
          <w:b/>
          <w:bCs/>
          <w:color w:val="auto"/>
        </w:rPr>
        <w:t>、</w:t>
      </w:r>
      <w:r>
        <w:rPr>
          <w:rFonts w:hint="eastAsia" w:ascii="Times New Roman" w:cs="Times New Roman"/>
          <w:b/>
          <w:bCs/>
          <w:color w:val="auto"/>
          <w:lang w:val="en-US" w:eastAsia="zh-CN"/>
        </w:rPr>
        <w:t>两卡制问题</w:t>
      </w:r>
    </w:p>
    <w:p w14:paraId="24888B6B">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eastAsia="仿宋_GB2312" w:cs="Times New Roman"/>
          <w:color w:val="auto"/>
          <w:spacing w:val="-4"/>
          <w:lang w:val="en-US" w:eastAsia="zh-CN"/>
        </w:rPr>
      </w:pPr>
      <w:r>
        <w:rPr>
          <w:rFonts w:hint="eastAsia" w:ascii="Times New Roman" w:cs="Times New Roman"/>
          <w:b w:val="0"/>
          <w:bCs w:val="0"/>
          <w:color w:val="auto"/>
          <w:lang w:val="en-US" w:eastAsia="zh-CN"/>
        </w:rPr>
        <w:t>抽查档案中</w:t>
      </w:r>
      <w:r>
        <w:rPr>
          <w:rFonts w:hint="eastAsia" w:ascii="Times New Roman" w:hAnsi="Times New Roman" w:cs="Times New Roman"/>
          <w:color w:val="auto"/>
          <w:spacing w:val="-4"/>
          <w:lang w:val="en-US" w:eastAsia="zh-CN"/>
        </w:rPr>
        <w:t>金口岭中心、学苑中心、横港中心</w:t>
      </w:r>
      <w:r>
        <w:rPr>
          <w:rFonts w:hint="eastAsia" w:ascii="Times New Roman" w:cs="Times New Roman"/>
          <w:b w:val="0"/>
          <w:bCs w:val="0"/>
          <w:color w:val="auto"/>
          <w:lang w:val="en-US" w:eastAsia="zh-CN"/>
        </w:rPr>
        <w:t>两卡制人脸认证照片存疑。</w:t>
      </w:r>
    </w:p>
    <w:p w14:paraId="40AF8A73">
      <w:pPr>
        <w:keepNext w:val="0"/>
        <w:keepLines w:val="0"/>
        <w:pageBreakBefore w:val="0"/>
        <w:widowControl w:val="0"/>
        <w:kinsoku/>
        <w:wordWrap/>
        <w:topLinePunct w:val="0"/>
        <w:autoSpaceDE/>
        <w:autoSpaceDN/>
        <w:bidi w:val="0"/>
        <w:adjustRightInd/>
        <w:snapToGrid/>
        <w:spacing w:line="600" w:lineRule="exact"/>
        <w:ind w:left="-96" w:right="-96" w:firstLine="643" w:firstLineChars="200"/>
        <w:jc w:val="both"/>
        <w:textAlignment w:val="auto"/>
        <w:rPr>
          <w:rFonts w:hint="eastAsia" w:ascii="Times New Roman" w:hAnsi="Times New Roman" w:eastAsia="楷体_GB2312" w:cs="Times New Roman"/>
          <w:color w:val="auto"/>
          <w:lang w:val="en-US" w:eastAsia="zh-CN"/>
        </w:rPr>
      </w:pPr>
      <w:r>
        <w:rPr>
          <w:rFonts w:hint="default" w:ascii="Times New Roman" w:hAnsi="Times New Roman" w:eastAsia="楷体_GB2312" w:cs="Times New Roman"/>
          <w:b/>
          <w:color w:val="auto"/>
        </w:rPr>
        <w:t>（四）整改要求</w:t>
      </w:r>
    </w:p>
    <w:p w14:paraId="74EED432">
      <w:pPr>
        <w:keepNext w:val="0"/>
        <w:keepLines w:val="0"/>
        <w:pageBreakBefore w:val="0"/>
        <w:widowControl w:val="0"/>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rPr>
      </w:pPr>
      <w:r>
        <w:rPr>
          <w:rFonts w:hint="default" w:ascii="Times New Roman" w:hAnsi="Times New Roman" w:eastAsia="Times New Roman" w:cs="Times New Roman"/>
          <w:color w:val="auto"/>
          <w:spacing w:val="-4"/>
        </w:rPr>
        <w:t>1</w:t>
      </w:r>
      <w:r>
        <w:rPr>
          <w:rFonts w:hint="default" w:ascii="Times New Roman" w:hAnsi="Times New Roman" w:cs="Times New Roman"/>
          <w:color w:val="auto"/>
          <w:spacing w:val="-4"/>
        </w:rPr>
        <w:t>、举一反三，全面自查整改。各基层医疗机构应全面开展自查，落实履约服务的主体责任，对照《医疗机构管理条例》、《健康体检管理暂行规定》等法律法规要求，对履约体检工作进行全面梳理自查。</w:t>
      </w:r>
    </w:p>
    <w:p w14:paraId="60EDC412">
      <w:pPr>
        <w:keepNext w:val="0"/>
        <w:keepLines w:val="0"/>
        <w:pageBreakBefore w:val="0"/>
        <w:widowControl w:val="0"/>
        <w:pBdr>
          <w:bottom w:val="none" w:color="auto" w:sz="0" w:space="0"/>
        </w:pBdr>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2、落实信息化体检服务。积极应用区级LIS、心电、B超等技术平台，及时与系统工程师对接，规范出具体检报告，健康体检报告应当符合病历书写基本规范。完整反馈居民体检结果，提升居民服务满意度和获得感。</w:t>
      </w:r>
    </w:p>
    <w:p w14:paraId="009E3055">
      <w:pPr>
        <w:keepNext w:val="0"/>
        <w:keepLines w:val="0"/>
        <w:pageBreakBefore w:val="0"/>
        <w:widowControl w:val="0"/>
        <w:pBdr>
          <w:bottom w:val="none" w:color="auto" w:sz="0" w:space="0"/>
        </w:pBdr>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cs="Times New Roman"/>
          <w:color w:val="auto"/>
          <w:spacing w:val="-4"/>
        </w:rPr>
      </w:pPr>
      <w:r>
        <w:rPr>
          <w:rFonts w:hint="default" w:ascii="Times New Roman" w:hAnsi="Times New Roman" w:cs="Times New Roman"/>
          <w:color w:val="auto"/>
          <w:spacing w:val="-4"/>
        </w:rPr>
        <w:t>3、规范签约履约工作。进一步做实做细家庭医生签约服务工作要求，真正做到签约一人、履约一人、做实一人。针对不同居民实际情况及自身要求签订不同种类服务包，加大对特色服务包的宣传引导工作。强调服务真实性，两卡制人脸识别不得通过使用照片、视频等不真实方式获取工分。应确保将服务内容做全、服务质量做实。</w:t>
      </w:r>
    </w:p>
    <w:p w14:paraId="190E5F32">
      <w:pPr>
        <w:keepNext w:val="0"/>
        <w:keepLines w:val="0"/>
        <w:pageBreakBefore w:val="0"/>
        <w:widowControl w:val="0"/>
        <w:pBdr>
          <w:bottom w:val="none" w:color="auto" w:sz="0" w:space="0"/>
        </w:pBdr>
        <w:kinsoku/>
        <w:wordWrap/>
        <w:topLinePunct w:val="0"/>
        <w:autoSpaceDE/>
        <w:autoSpaceDN/>
        <w:bidi w:val="0"/>
        <w:adjustRightInd/>
        <w:snapToGrid/>
        <w:spacing w:line="600" w:lineRule="exact"/>
        <w:ind w:left="-96" w:right="-96" w:firstLine="624" w:firstLineChars="200"/>
        <w:jc w:val="both"/>
        <w:textAlignment w:val="auto"/>
        <w:rPr>
          <w:rFonts w:hint="default" w:ascii="Times New Roman" w:hAnsi="Times New Roman" w:eastAsia="仿宋_GB2312" w:cs="Times New Roman"/>
          <w:i w:val="0"/>
          <w:strike w:val="0"/>
          <w:color w:val="auto"/>
          <w:spacing w:val="0"/>
          <w:sz w:val="32"/>
          <w:u w:val="none"/>
        </w:rPr>
      </w:pPr>
      <w:r>
        <w:rPr>
          <w:rFonts w:hint="default" w:ascii="Times New Roman" w:hAnsi="Times New Roman" w:cs="Times New Roman"/>
          <w:color w:val="auto"/>
          <w:spacing w:val="-4"/>
        </w:rPr>
        <w:t>4、加大宣传力度。各基层医疗机构应利用宣传栏、讲座、入户随访、宣传资料等多种形式向广大群众宣传家庭医生签约服务及居民电子健康档案查询方式，进一步提高群众的获得感和满意度</w:t>
      </w:r>
      <w:r>
        <w:rPr>
          <w:rFonts w:hint="default" w:ascii="Times New Roman" w:hAnsi="Times New Roman" w:eastAsia="仿宋_GB2312" w:cs="Times New Roman"/>
          <w:i w:val="0"/>
          <w:strike w:val="0"/>
          <w:color w:val="auto"/>
          <w:spacing w:val="0"/>
          <w:sz w:val="32"/>
          <w:u w:val="none"/>
        </w:rPr>
        <w:t>。</w:t>
      </w:r>
    </w:p>
    <w:p w14:paraId="48BA6DBE">
      <w:pPr>
        <w:keepNext w:val="0"/>
        <w:keepLines w:val="0"/>
        <w:pageBreakBefore w:val="0"/>
        <w:widowControl w:val="0"/>
        <w:kinsoku/>
        <w:wordWrap/>
        <w:topLinePunct w:val="0"/>
        <w:autoSpaceDE/>
        <w:autoSpaceDN/>
        <w:bidi w:val="0"/>
        <w:adjustRightInd/>
        <w:snapToGrid/>
        <w:spacing w:line="600" w:lineRule="exact"/>
        <w:ind w:left="-96" w:right="-79" w:firstLine="640" w:firstLineChars="200"/>
        <w:jc w:val="both"/>
        <w:textAlignment w:val="auto"/>
        <w:rPr>
          <w:rFonts w:hint="default" w:ascii="Times New Roman" w:hAnsi="Times New Roman" w:eastAsia="仿宋_GB2312" w:cs="Times New Roman"/>
          <w:color w:val="auto"/>
          <w:lang w:val="en-US" w:eastAsia="zh-CN"/>
        </w:rPr>
      </w:pPr>
      <w:r>
        <w:rPr>
          <w:rFonts w:hint="default" w:ascii="Times New Roman" w:hAnsi="Times New Roman" w:cs="Times New Roman"/>
          <w:color w:val="auto"/>
        </w:rPr>
        <w:t>各机构要针对此次考核发现的突出问题，全面开展自查工作，认真梳理项目实施过程中存在的问题，逐一整改。</w:t>
      </w:r>
    </w:p>
    <w:p w14:paraId="44DB3D88">
      <w:pPr>
        <w:keepNext w:val="0"/>
        <w:keepLines w:val="0"/>
        <w:pageBreakBefore w:val="0"/>
        <w:widowControl w:val="0"/>
        <w:kinsoku/>
        <w:wordWrap/>
        <w:topLinePunct w:val="0"/>
        <w:autoSpaceDE/>
        <w:autoSpaceDN/>
        <w:bidi w:val="0"/>
        <w:adjustRightInd/>
        <w:snapToGrid/>
        <w:spacing w:line="600" w:lineRule="exact"/>
        <w:ind w:left="-96" w:right="-79"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rPr>
        <w:t>特此通报</w:t>
      </w:r>
    </w:p>
    <w:p w14:paraId="56B0DBB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Times New Roman"/>
          <w:color w:val="auto"/>
        </w:rPr>
      </w:pPr>
    </w:p>
    <w:p w14:paraId="24E8B49D">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ascii="Times New Roman"/>
          <w:bCs/>
          <w:color w:val="auto"/>
          <w:spacing w:val="-6"/>
          <w:kern w:val="0"/>
        </w:rPr>
      </w:pPr>
      <w:r>
        <w:rPr>
          <w:rFonts w:hint="eastAsia" w:ascii="Times New Roman"/>
          <w:color w:val="auto"/>
        </w:rPr>
        <w:t>附件：</w:t>
      </w:r>
      <w:r>
        <w:rPr>
          <w:rFonts w:ascii="Times New Roman"/>
          <w:color w:val="auto"/>
        </w:rPr>
        <w:t xml:space="preserve">1. </w:t>
      </w:r>
      <w:r>
        <w:rPr>
          <w:rFonts w:ascii="Times New Roman"/>
          <w:bCs/>
          <w:color w:val="auto"/>
          <w:spacing w:val="-6"/>
          <w:kern w:val="0"/>
        </w:rPr>
        <w:t>202</w:t>
      </w:r>
      <w:r>
        <w:rPr>
          <w:rFonts w:hint="eastAsia" w:ascii="Times New Roman"/>
          <w:bCs/>
          <w:color w:val="auto"/>
          <w:spacing w:val="-6"/>
          <w:kern w:val="0"/>
          <w:lang w:val="en-US" w:eastAsia="zh-CN"/>
        </w:rPr>
        <w:t>4</w:t>
      </w:r>
      <w:r>
        <w:rPr>
          <w:rFonts w:hint="eastAsia" w:ascii="Times New Roman"/>
          <w:bCs/>
          <w:color w:val="auto"/>
          <w:spacing w:val="-6"/>
          <w:kern w:val="0"/>
        </w:rPr>
        <w:t>年基本公共卫生及家庭医生签约年终绩效考核</w:t>
      </w:r>
    </w:p>
    <w:p w14:paraId="4CD006C2">
      <w:pPr>
        <w:keepNext w:val="0"/>
        <w:keepLines w:val="0"/>
        <w:pageBreakBefore w:val="0"/>
        <w:widowControl w:val="0"/>
        <w:kinsoku/>
        <w:wordWrap/>
        <w:topLinePunct w:val="0"/>
        <w:autoSpaceDE/>
        <w:autoSpaceDN/>
        <w:bidi w:val="0"/>
        <w:adjustRightInd/>
        <w:snapToGrid/>
        <w:spacing w:line="600" w:lineRule="exact"/>
        <w:ind w:firstLine="1540" w:firstLineChars="500"/>
        <w:textAlignment w:val="auto"/>
        <w:rPr>
          <w:rFonts w:ascii="Times New Roman"/>
          <w:bCs/>
          <w:color w:val="auto"/>
          <w:spacing w:val="-6"/>
          <w:kern w:val="0"/>
        </w:rPr>
      </w:pPr>
      <w:r>
        <w:rPr>
          <w:rFonts w:hint="eastAsia" w:ascii="Times New Roman"/>
          <w:bCs/>
          <w:color w:val="auto"/>
          <w:spacing w:val="-6"/>
          <w:kern w:val="0"/>
        </w:rPr>
        <w:t>得分表</w:t>
      </w:r>
    </w:p>
    <w:p w14:paraId="4D71C379">
      <w:pPr>
        <w:keepNext w:val="0"/>
        <w:keepLines w:val="0"/>
        <w:pageBreakBefore w:val="0"/>
        <w:widowControl w:val="0"/>
        <w:kinsoku/>
        <w:wordWrap/>
        <w:topLinePunct w:val="0"/>
        <w:autoSpaceDE/>
        <w:autoSpaceDN/>
        <w:bidi w:val="0"/>
        <w:adjustRightInd/>
        <w:snapToGrid/>
        <w:spacing w:line="600" w:lineRule="exact"/>
        <w:ind w:firstLine="1540" w:firstLineChars="500"/>
        <w:textAlignment w:val="auto"/>
        <w:rPr>
          <w:rFonts w:ascii="Times New Roman"/>
          <w:bCs/>
          <w:color w:val="auto"/>
          <w:spacing w:val="-6"/>
          <w:kern w:val="0"/>
        </w:rPr>
      </w:pPr>
      <w:r>
        <w:rPr>
          <w:rFonts w:ascii="Times New Roman"/>
          <w:color w:val="auto"/>
          <w:spacing w:val="-6"/>
        </w:rPr>
        <w:t xml:space="preserve">2. </w:t>
      </w:r>
      <w:r>
        <w:rPr>
          <w:rFonts w:ascii="Times New Roman"/>
          <w:bCs/>
          <w:color w:val="auto"/>
          <w:spacing w:val="-6"/>
          <w:kern w:val="0"/>
        </w:rPr>
        <w:t>202</w:t>
      </w:r>
      <w:r>
        <w:rPr>
          <w:rFonts w:hint="eastAsia" w:ascii="Times New Roman"/>
          <w:bCs/>
          <w:color w:val="auto"/>
          <w:spacing w:val="-6"/>
          <w:kern w:val="0"/>
          <w:lang w:val="en-US" w:eastAsia="zh-CN"/>
        </w:rPr>
        <w:t>4</w:t>
      </w:r>
      <w:r>
        <w:rPr>
          <w:rFonts w:hint="eastAsia" w:ascii="Times New Roman"/>
          <w:bCs/>
          <w:color w:val="auto"/>
          <w:spacing w:val="-6"/>
          <w:kern w:val="0"/>
        </w:rPr>
        <w:t>年基本公共卫生及家庭医生签约年终绩效考核</w:t>
      </w:r>
    </w:p>
    <w:p w14:paraId="53A075C6">
      <w:pPr>
        <w:keepNext w:val="0"/>
        <w:keepLines w:val="0"/>
        <w:pageBreakBefore w:val="0"/>
        <w:widowControl w:val="0"/>
        <w:kinsoku/>
        <w:wordWrap/>
        <w:topLinePunct w:val="0"/>
        <w:autoSpaceDE/>
        <w:autoSpaceDN/>
        <w:bidi w:val="0"/>
        <w:adjustRightInd/>
        <w:snapToGrid/>
        <w:spacing w:line="600" w:lineRule="exact"/>
        <w:ind w:firstLine="1540" w:firstLineChars="500"/>
        <w:textAlignment w:val="auto"/>
        <w:rPr>
          <w:rFonts w:hint="eastAsia" w:ascii="Times New Roman"/>
          <w:bCs/>
          <w:color w:val="auto"/>
          <w:spacing w:val="-6"/>
          <w:kern w:val="0"/>
        </w:rPr>
      </w:pPr>
      <w:r>
        <w:rPr>
          <w:rFonts w:hint="eastAsia" w:ascii="Times New Roman"/>
          <w:bCs/>
          <w:color w:val="auto"/>
          <w:spacing w:val="-6"/>
          <w:kern w:val="0"/>
        </w:rPr>
        <w:t>中心排名表</w:t>
      </w:r>
    </w:p>
    <w:p w14:paraId="031F9FCF">
      <w:pPr>
        <w:keepNext w:val="0"/>
        <w:keepLines w:val="0"/>
        <w:pageBreakBefore w:val="0"/>
        <w:widowControl w:val="0"/>
        <w:kinsoku/>
        <w:wordWrap/>
        <w:topLinePunct w:val="0"/>
        <w:autoSpaceDE/>
        <w:autoSpaceDN/>
        <w:bidi w:val="0"/>
        <w:adjustRightInd/>
        <w:snapToGrid/>
        <w:spacing w:line="600" w:lineRule="exact"/>
        <w:ind w:firstLine="1540" w:firstLineChars="500"/>
        <w:textAlignment w:val="auto"/>
        <w:rPr>
          <w:rFonts w:hint="eastAsia" w:ascii="Times New Roman"/>
          <w:bCs/>
          <w:color w:val="auto"/>
          <w:spacing w:val="-6"/>
          <w:kern w:val="0"/>
        </w:rPr>
      </w:pPr>
    </w:p>
    <w:p w14:paraId="15379EC5">
      <w:pPr>
        <w:keepNext w:val="0"/>
        <w:keepLines w:val="0"/>
        <w:pageBreakBefore w:val="0"/>
        <w:widowControl w:val="0"/>
        <w:kinsoku/>
        <w:wordWrap/>
        <w:topLinePunct w:val="0"/>
        <w:autoSpaceDE/>
        <w:autoSpaceDN/>
        <w:bidi w:val="0"/>
        <w:adjustRightInd/>
        <w:snapToGrid/>
        <w:spacing w:line="600" w:lineRule="exact"/>
        <w:ind w:firstLine="1540" w:firstLineChars="500"/>
        <w:textAlignment w:val="auto"/>
        <w:rPr>
          <w:rFonts w:hint="eastAsia" w:ascii="Times New Roman"/>
          <w:bCs/>
          <w:color w:val="auto"/>
          <w:spacing w:val="-6"/>
          <w:kern w:val="0"/>
        </w:rPr>
      </w:pPr>
    </w:p>
    <w:p w14:paraId="2293F8AB">
      <w:pPr>
        <w:keepNext w:val="0"/>
        <w:keepLines w:val="0"/>
        <w:pageBreakBefore w:val="0"/>
        <w:widowControl w:val="0"/>
        <w:kinsoku/>
        <w:wordWrap/>
        <w:topLinePunct w:val="0"/>
        <w:autoSpaceDE/>
        <w:autoSpaceDN/>
        <w:bidi w:val="0"/>
        <w:adjustRightInd/>
        <w:snapToGrid/>
        <w:spacing w:line="600" w:lineRule="exact"/>
        <w:ind w:left="-79" w:right="-79" w:firstLine="640" w:firstLineChars="200"/>
        <w:jc w:val="both"/>
        <w:textAlignment w:val="auto"/>
        <w:rPr>
          <w:rFonts w:hint="default" w:ascii="Times New Roman" w:hAnsi="Times New Roman" w:cs="Times New Roman"/>
          <w:color w:val="auto"/>
        </w:rPr>
      </w:pPr>
    </w:p>
    <w:p w14:paraId="116DBB51">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铜官区卫健委</w:t>
      </w:r>
    </w:p>
    <w:p w14:paraId="1EF2DDA9">
      <w:pPr>
        <w:keepNext w:val="0"/>
        <w:keepLines w:val="0"/>
        <w:pageBreakBefore w:val="0"/>
        <w:widowControl w:val="0"/>
        <w:kinsoku/>
        <w:wordWrap/>
        <w:topLinePunct w:val="0"/>
        <w:autoSpaceDE/>
        <w:autoSpaceDN/>
        <w:bidi w:val="0"/>
        <w:adjustRightInd/>
        <w:snapToGrid/>
        <w:spacing w:line="600" w:lineRule="exact"/>
        <w:ind w:left="-96" w:right="-96" w:firstLine="640" w:firstLineChars="200"/>
        <w:jc w:val="center"/>
        <w:textAlignment w:val="auto"/>
        <w:rPr>
          <w:rFonts w:hint="default" w:ascii="Times New Roman" w:hAnsi="Times New Roman" w:cs="Times New Roman"/>
          <w:color w:val="auto"/>
        </w:rPr>
      </w:pPr>
      <w:r>
        <w:rPr>
          <w:rFonts w:hint="eastAsia" w:ascii="Times New Roman" w:hAnsi="Times New Roman" w:cs="Times New Roman"/>
          <w:color w:val="auto"/>
          <w:lang w:val="en-US" w:eastAsia="zh-CN"/>
        </w:rPr>
        <w:t xml:space="preserve">                                </w:t>
      </w:r>
      <w:r>
        <w:rPr>
          <w:rFonts w:hint="default" w:ascii="Times New Roman" w:hAnsi="Times New Roman" w:cs="Times New Roman"/>
          <w:color w:val="auto"/>
        </w:rPr>
        <w:t>2025年1月</w:t>
      </w:r>
      <w:r>
        <w:rPr>
          <w:rFonts w:hint="eastAsia" w:ascii="Times New Roman" w:cs="Times New Roman"/>
          <w:color w:val="auto"/>
          <w:lang w:val="en-US" w:eastAsia="zh-CN"/>
        </w:rPr>
        <w:t>24</w:t>
      </w:r>
      <w:r>
        <w:rPr>
          <w:rFonts w:hint="default" w:ascii="Times New Roman" w:hAnsi="Times New Roman" w:cs="Times New Roman"/>
          <w:color w:val="auto"/>
        </w:rPr>
        <w:t>日</w:t>
      </w:r>
    </w:p>
    <w:p w14:paraId="0770D25B">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rPr>
      </w:pPr>
    </w:p>
    <w:p w14:paraId="21A211EA">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rPr>
      </w:pPr>
    </w:p>
    <w:p w14:paraId="28F113E3">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rPr>
      </w:pPr>
    </w:p>
    <w:p w14:paraId="37BDBFDB">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rPr>
      </w:pPr>
    </w:p>
    <w:p w14:paraId="0B3D8DA9">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rPr>
      </w:pPr>
    </w:p>
    <w:p w14:paraId="3898F81F">
      <w:pPr>
        <w:keepNext w:val="0"/>
        <w:keepLines w:val="0"/>
        <w:pageBreakBefore w:val="0"/>
        <w:widowControl w:val="0"/>
        <w:kinsoku/>
        <w:wordWrap/>
        <w:topLinePunct w:val="0"/>
        <w:autoSpaceDE/>
        <w:autoSpaceDN/>
        <w:bidi w:val="0"/>
        <w:adjustRightInd/>
        <w:snapToGrid/>
        <w:spacing w:line="600" w:lineRule="exact"/>
        <w:ind w:left="-96" w:right="-96"/>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报：市卫生健康委</w:t>
      </w:r>
    </w:p>
    <w:p w14:paraId="4A478F99">
      <w:pPr>
        <w:keepNext w:val="0"/>
        <w:keepLines w:val="0"/>
        <w:pageBreakBefore w:val="0"/>
        <w:kinsoku/>
        <w:wordWrap/>
        <w:topLinePunct w:val="0"/>
        <w:autoSpaceDE/>
        <w:autoSpaceDN/>
        <w:bidi w:val="0"/>
        <w:adjustRightInd/>
        <w:spacing w:line="580" w:lineRule="exact"/>
        <w:jc w:val="both"/>
        <w:textAlignment w:val="auto"/>
        <w:rPr>
          <w:rFonts w:hint="default" w:ascii="Times New Roman" w:hAnsi="Times New Roman" w:cs="Times New Roman"/>
          <w:color w:val="auto"/>
        </w:rPr>
        <w:sectPr>
          <w:headerReference r:id="rId3" w:type="default"/>
          <w:footerReference r:id="rId4" w:type="default"/>
          <w:footerReference r:id="rId5" w:type="even"/>
          <w:pgSz w:w="11906" w:h="16838"/>
          <w:pgMar w:top="2098" w:right="1474" w:bottom="1984" w:left="1588" w:header="851" w:footer="1247" w:gutter="0"/>
          <w:pgBorders>
            <w:top w:val="none" w:sz="0" w:space="0"/>
            <w:left w:val="none" w:sz="0" w:space="0"/>
            <w:bottom w:val="none" w:sz="0" w:space="0"/>
            <w:right w:val="none" w:sz="0" w:space="0"/>
          </w:pgBorders>
          <w:pgNumType w:fmt="numberInDash"/>
          <w:cols w:space="708" w:num="1"/>
          <w:docGrid w:type="lines" w:linePitch="435" w:charSpace="0"/>
        </w:sectPr>
      </w:pPr>
    </w:p>
    <w:p w14:paraId="622F955C">
      <w:pPr>
        <w:keepNext w:val="0"/>
        <w:keepLines w:val="0"/>
        <w:pageBreakBefore w:val="0"/>
        <w:kinsoku/>
        <w:wordWrap/>
        <w:topLinePunct w:val="0"/>
        <w:autoSpaceDE/>
        <w:autoSpaceDN/>
        <w:bidi w:val="0"/>
        <w:adjustRightInd/>
        <w:spacing w:afterLines="50" w:line="580" w:lineRule="exact"/>
        <w:ind w:left="-96" w:right="-96" w:firstLine="640" w:firstLineChars="200"/>
        <w:jc w:val="both"/>
        <w:textAlignment w:val="auto"/>
        <w:rPr>
          <w:rFonts w:hint="eastAsia" w:ascii="Times New Roman" w:eastAsia="黑体" w:cs="Times New Roman"/>
          <w:bCs/>
          <w:color w:val="auto"/>
          <w:kern w:val="0"/>
          <w:lang w:val="en-US" w:eastAsia="zh-CN"/>
        </w:rPr>
      </w:pPr>
      <w:r>
        <w:rPr>
          <w:rFonts w:hint="eastAsia" w:ascii="Times New Roman" w:eastAsia="黑体" w:cs="Times New Roman"/>
          <w:bCs/>
          <w:color w:val="auto"/>
          <w:kern w:val="0"/>
          <w:lang w:val="en-US" w:eastAsia="zh-CN"/>
        </w:rPr>
        <w:t>附件1</w:t>
      </w:r>
    </w:p>
    <w:p w14:paraId="34F3D012">
      <w:pPr>
        <w:spacing w:afterLines="50" w:line="560" w:lineRule="exact"/>
        <w:ind w:left="-96" w:right="-96" w:firstLine="880" w:firstLineChars="200"/>
        <w:jc w:val="center"/>
        <w:rPr>
          <w:rFonts w:hint="eastAsia" w:ascii="Times New Roman" w:eastAsia="方正小标宋简体"/>
          <w:kern w:val="0"/>
          <w:sz w:val="44"/>
          <w:szCs w:val="44"/>
        </w:rPr>
      </w:pPr>
      <w:r>
        <w:rPr>
          <w:rFonts w:ascii="Times New Roman" w:eastAsia="方正小标宋简体"/>
          <w:kern w:val="0"/>
          <w:sz w:val="44"/>
          <w:szCs w:val="44"/>
        </w:rPr>
        <w:t>202</w:t>
      </w:r>
      <w:r>
        <w:rPr>
          <w:rFonts w:hint="eastAsia" w:ascii="Times New Roman" w:eastAsia="方正小标宋简体"/>
          <w:kern w:val="0"/>
          <w:sz w:val="44"/>
          <w:szCs w:val="44"/>
          <w:lang w:val="en-US" w:eastAsia="zh-CN"/>
        </w:rPr>
        <w:t>4</w:t>
      </w:r>
      <w:r>
        <w:rPr>
          <w:rFonts w:hint="eastAsia" w:ascii="Times New Roman" w:eastAsia="方正小标宋简体"/>
          <w:kern w:val="0"/>
          <w:sz w:val="44"/>
          <w:szCs w:val="44"/>
        </w:rPr>
        <w:t>年基本公共卫生及家庭医生签约年终绩效考核得分表</w:t>
      </w:r>
    </w:p>
    <w:tbl>
      <w:tblPr>
        <w:tblStyle w:val="8"/>
        <w:tblW w:w="150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68"/>
        <w:gridCol w:w="723"/>
        <w:gridCol w:w="669"/>
        <w:gridCol w:w="669"/>
        <w:gridCol w:w="669"/>
        <w:gridCol w:w="669"/>
        <w:gridCol w:w="669"/>
        <w:gridCol w:w="669"/>
        <w:gridCol w:w="669"/>
        <w:gridCol w:w="669"/>
        <w:gridCol w:w="669"/>
        <w:gridCol w:w="669"/>
        <w:gridCol w:w="669"/>
        <w:gridCol w:w="669"/>
        <w:gridCol w:w="669"/>
        <w:gridCol w:w="645"/>
        <w:gridCol w:w="669"/>
        <w:gridCol w:w="669"/>
        <w:gridCol w:w="669"/>
        <w:gridCol w:w="692"/>
      </w:tblGrid>
      <w:tr w14:paraId="7D31F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5" w:hRule="atLeast"/>
        </w:trPr>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5592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单位名称</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6F6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家庭医生签约</w:t>
            </w:r>
          </w:p>
          <w:p w14:paraId="6AA9918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（25分）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B2A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组织</w:t>
            </w:r>
          </w:p>
          <w:p w14:paraId="359A4FD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565D4B1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（1分）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C54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资金</w:t>
            </w:r>
          </w:p>
          <w:p w14:paraId="48A3817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使用</w:t>
            </w:r>
          </w:p>
          <w:p w14:paraId="6848A9F0">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（1分）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D3D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080DC5B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档案</w:t>
            </w:r>
          </w:p>
          <w:p w14:paraId="0B8C9B47">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（6分）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B55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7261D47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教育</w:t>
            </w:r>
          </w:p>
          <w:p w14:paraId="0547E5A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（4分）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905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计免</w:t>
            </w:r>
          </w:p>
          <w:p w14:paraId="2895DA1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（4分）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6C0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老年人</w:t>
            </w:r>
          </w:p>
          <w:p w14:paraId="05C518A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中医药</w:t>
            </w:r>
          </w:p>
          <w:p w14:paraId="4A3C91D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（1分）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CB53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儿童</w:t>
            </w:r>
          </w:p>
          <w:p w14:paraId="418FB75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中医药</w:t>
            </w:r>
          </w:p>
          <w:p w14:paraId="0A6449D0">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（1分）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482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老年人</w:t>
            </w:r>
          </w:p>
          <w:p w14:paraId="1C5300C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5A2AB27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 xml:space="preserve">管理 </w:t>
            </w:r>
          </w:p>
          <w:p w14:paraId="0DEC245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（8分）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BEE1">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高血压</w:t>
            </w:r>
          </w:p>
          <w:p w14:paraId="1D8AAEF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02048896">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（7分）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30C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糖尿病</w:t>
            </w:r>
          </w:p>
          <w:p w14:paraId="145D8072">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2393BDA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（7分）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173B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慢病自我管理小组活动</w:t>
            </w:r>
          </w:p>
          <w:p w14:paraId="0B060BA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（2分）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CBA3">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妇保</w:t>
            </w:r>
          </w:p>
          <w:p w14:paraId="2D2D8B97">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（8分）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9B51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儿保</w:t>
            </w:r>
          </w:p>
          <w:p w14:paraId="41CAFEA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（8分）</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81A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严重精神障碍</w:t>
            </w:r>
          </w:p>
          <w:p w14:paraId="3DE8A0A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（5分)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2BD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传染病  （4分）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5B5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满意度</w:t>
            </w:r>
          </w:p>
          <w:p w14:paraId="2F53D5B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 xml:space="preserve"> （5分）</w:t>
            </w:r>
          </w:p>
        </w:tc>
        <w:tc>
          <w:tcPr>
            <w:tcW w:w="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6FF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结核病</w:t>
            </w:r>
          </w:p>
          <w:p w14:paraId="3BA41B0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42125783">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（3分）</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E09C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rPr>
            </w:pPr>
            <w:r>
              <w:rPr>
                <w:rFonts w:hint="default" w:ascii="Times New Roman" w:hAnsi="Times New Roman" w:eastAsia="黑体" w:cs="Times New Roman"/>
                <w:bCs/>
                <w:spacing w:val="-8"/>
                <w:w w:val="90"/>
                <w:kern w:val="0"/>
                <w:sz w:val="21"/>
                <w:szCs w:val="21"/>
                <w:lang w:val="en-US" w:eastAsia="zh-CN"/>
              </w:rPr>
              <w:t>总分</w:t>
            </w:r>
          </w:p>
        </w:tc>
      </w:tr>
      <w:tr w14:paraId="5434E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8BC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映湖中心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8C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A6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3E1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47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1E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95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B4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E1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33B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21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BE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97F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BF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0FD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0B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1D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325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6A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67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96.45 </w:t>
            </w:r>
          </w:p>
        </w:tc>
      </w:tr>
      <w:tr w14:paraId="045D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F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幸福中心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DB9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DF9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6EF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D4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322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2F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FC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50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33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49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EB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05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9C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64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21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09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87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44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0A6729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91.86 </w:t>
            </w:r>
          </w:p>
        </w:tc>
      </w:tr>
      <w:tr w14:paraId="7AC18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46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学苑中心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3E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E7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7D8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DB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4E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EE4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F1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98A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42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48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10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68A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480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7.36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2AE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B0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0B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0C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F1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2.88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4F947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80.80 </w:t>
            </w:r>
          </w:p>
        </w:tc>
      </w:tr>
      <w:tr w14:paraId="29A76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2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阳光中心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F2C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78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B42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158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83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DB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FA8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5B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F6C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7B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0C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F1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795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D6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D8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0D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B6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B90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B02FA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96.07 </w:t>
            </w:r>
          </w:p>
        </w:tc>
      </w:tr>
      <w:tr w14:paraId="14459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8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金口岭中心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8A0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87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87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EB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1A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1C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58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0C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6E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ED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07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2C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C7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FBA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73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6D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8D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00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54DC7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86.27 </w:t>
            </w:r>
          </w:p>
        </w:tc>
      </w:tr>
      <w:tr w14:paraId="598E3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D0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鹞山中心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D67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24.17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CD8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0E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13B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3D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B8C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DE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FC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2F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7B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2C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DF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E84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7.78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13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FB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65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4F8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50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C3EDB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94.32 </w:t>
            </w:r>
          </w:p>
        </w:tc>
      </w:tr>
      <w:tr w14:paraId="75F7D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50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97B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05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B0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56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CDC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345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B17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11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D1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03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A87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85A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16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6FE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9DB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2D1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7E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E1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29CC9E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95.09 </w:t>
            </w:r>
          </w:p>
        </w:tc>
      </w:tr>
      <w:tr w14:paraId="55318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7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横港中心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75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07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62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06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C7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BA4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54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AA0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F5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2B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44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57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EFD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C0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597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AB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069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AA3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67DE16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86.48 </w:t>
            </w:r>
          </w:p>
        </w:tc>
      </w:tr>
      <w:tr w14:paraId="5587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F6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狮子山中心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2BF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5FF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4DC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08E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7D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E5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B3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C5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E0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68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0A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73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60D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49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E2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35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BB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82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B7771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93.17 </w:t>
            </w:r>
          </w:p>
        </w:tc>
      </w:tr>
      <w:tr w14:paraId="3DD0C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5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西湖镇卫生院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210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2D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4A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67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47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45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CB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31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E9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0C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E55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93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23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06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3D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E6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35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B2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2.79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F5587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89.24 </w:t>
            </w:r>
          </w:p>
        </w:tc>
      </w:tr>
      <w:tr w14:paraId="53EA2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69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西湖镇卫生院新城片区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D9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42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316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4C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91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ED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80B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A7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80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B47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8C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55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988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B9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56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96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B06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A5A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2.94 </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1293CC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93.34 </w:t>
            </w:r>
          </w:p>
        </w:tc>
      </w:tr>
    </w:tbl>
    <w:p w14:paraId="4D3DC66C">
      <w:pPr>
        <w:spacing w:afterLines="50" w:line="560" w:lineRule="exact"/>
        <w:ind w:left="-96" w:right="-96" w:firstLine="880" w:firstLineChars="200"/>
        <w:jc w:val="center"/>
        <w:rPr>
          <w:rFonts w:hint="eastAsia" w:ascii="Times New Roman" w:eastAsia="方正小标宋简体"/>
          <w:kern w:val="0"/>
          <w:sz w:val="44"/>
          <w:szCs w:val="44"/>
        </w:rPr>
      </w:pPr>
    </w:p>
    <w:p w14:paraId="422019D7">
      <w:pPr>
        <w:spacing w:afterLines="50" w:line="560" w:lineRule="exact"/>
        <w:ind w:left="-96" w:right="-96" w:firstLine="880" w:firstLineChars="200"/>
        <w:jc w:val="center"/>
        <w:rPr>
          <w:rFonts w:hint="eastAsia" w:ascii="Times New Roman" w:eastAsia="方正小标宋简体"/>
          <w:kern w:val="0"/>
          <w:sz w:val="44"/>
          <w:szCs w:val="44"/>
        </w:rPr>
      </w:pPr>
    </w:p>
    <w:p w14:paraId="150F002D">
      <w:pPr>
        <w:keepNext w:val="0"/>
        <w:keepLines w:val="0"/>
        <w:pageBreakBefore w:val="0"/>
        <w:kinsoku/>
        <w:wordWrap/>
        <w:topLinePunct w:val="0"/>
        <w:autoSpaceDE/>
        <w:autoSpaceDN/>
        <w:bidi w:val="0"/>
        <w:adjustRightInd/>
        <w:spacing w:afterLines="50" w:line="580" w:lineRule="exact"/>
        <w:ind w:left="-96" w:right="-96" w:firstLine="640" w:firstLineChars="200"/>
        <w:jc w:val="both"/>
        <w:textAlignment w:val="auto"/>
        <w:rPr>
          <w:rFonts w:hint="eastAsia" w:ascii="Times New Roman" w:eastAsia="黑体" w:cs="Times New Roman"/>
          <w:bCs/>
          <w:color w:val="auto"/>
          <w:kern w:val="0"/>
          <w:lang w:val="en-US" w:eastAsia="zh-CN"/>
        </w:rPr>
      </w:pPr>
      <w:r>
        <w:rPr>
          <w:rFonts w:hint="eastAsia" w:ascii="Times New Roman" w:eastAsia="黑体" w:cs="Times New Roman"/>
          <w:bCs/>
          <w:color w:val="auto"/>
          <w:kern w:val="0"/>
          <w:lang w:val="en-US" w:eastAsia="zh-CN"/>
        </w:rPr>
        <w:t>附件2</w:t>
      </w:r>
    </w:p>
    <w:p w14:paraId="602A7409">
      <w:pPr>
        <w:spacing w:afterLines="50" w:line="560" w:lineRule="exact"/>
        <w:ind w:left="-96" w:right="-96" w:firstLine="880" w:firstLineChars="200"/>
        <w:jc w:val="center"/>
        <w:rPr>
          <w:rFonts w:hint="eastAsia" w:ascii="Times New Roman" w:eastAsia="方正小标宋简体"/>
          <w:kern w:val="0"/>
          <w:sz w:val="44"/>
          <w:szCs w:val="44"/>
        </w:rPr>
      </w:pPr>
      <w:r>
        <w:rPr>
          <w:rFonts w:hint="eastAsia" w:ascii="Times New Roman" w:eastAsia="方正小标宋简体"/>
          <w:kern w:val="0"/>
          <w:sz w:val="44"/>
          <w:szCs w:val="44"/>
        </w:rPr>
        <w:t>202</w:t>
      </w:r>
      <w:r>
        <w:rPr>
          <w:rFonts w:hint="eastAsia" w:ascii="Times New Roman" w:eastAsia="方正小标宋简体"/>
          <w:kern w:val="0"/>
          <w:sz w:val="44"/>
          <w:szCs w:val="44"/>
          <w:lang w:val="en-US" w:eastAsia="zh-CN"/>
        </w:rPr>
        <w:t>4</w:t>
      </w:r>
      <w:r>
        <w:rPr>
          <w:rFonts w:hint="eastAsia" w:ascii="Times New Roman" w:eastAsia="方正小标宋简体"/>
          <w:kern w:val="0"/>
          <w:sz w:val="44"/>
          <w:szCs w:val="44"/>
        </w:rPr>
        <w:t>年基本公共卫生及家庭医生签约年终绩效考核中心排名表</w:t>
      </w:r>
    </w:p>
    <w:tbl>
      <w:tblPr>
        <w:tblStyle w:val="8"/>
        <w:tblW w:w="148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16"/>
        <w:gridCol w:w="729"/>
        <w:gridCol w:w="655"/>
        <w:gridCol w:w="655"/>
        <w:gridCol w:w="655"/>
        <w:gridCol w:w="655"/>
        <w:gridCol w:w="656"/>
        <w:gridCol w:w="656"/>
        <w:gridCol w:w="656"/>
        <w:gridCol w:w="656"/>
        <w:gridCol w:w="656"/>
        <w:gridCol w:w="656"/>
        <w:gridCol w:w="656"/>
        <w:gridCol w:w="656"/>
        <w:gridCol w:w="657"/>
        <w:gridCol w:w="657"/>
        <w:gridCol w:w="662"/>
        <w:gridCol w:w="662"/>
        <w:gridCol w:w="662"/>
        <w:gridCol w:w="694"/>
      </w:tblGrid>
      <w:tr w14:paraId="5608A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5" w:hRule="atLeast"/>
        </w:trPr>
        <w:tc>
          <w:tcPr>
            <w:tcW w:w="2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833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单位名称</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227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家庭医生签约</w:t>
            </w:r>
          </w:p>
          <w:p w14:paraId="1BC0B477">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（25分）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3AC2">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组织</w:t>
            </w:r>
          </w:p>
          <w:p w14:paraId="0018E96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2BD067A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（1分）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8502">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资金</w:t>
            </w:r>
          </w:p>
          <w:p w14:paraId="739B5BE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使用</w:t>
            </w:r>
          </w:p>
          <w:p w14:paraId="45284FF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（1分）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50D1">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3D67A0D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档案</w:t>
            </w:r>
          </w:p>
          <w:p w14:paraId="1CF23CC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（6分）</w:t>
            </w:r>
          </w:p>
        </w:tc>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8BA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458EF6D1">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教育</w:t>
            </w:r>
          </w:p>
          <w:p w14:paraId="11F3744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（4分）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EB0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计免</w:t>
            </w:r>
          </w:p>
          <w:p w14:paraId="484DA64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（4分）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39CD">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老年人</w:t>
            </w:r>
          </w:p>
          <w:p w14:paraId="650F18A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中医药</w:t>
            </w:r>
          </w:p>
          <w:p w14:paraId="5A5D92C6">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（1分）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967F">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儿童</w:t>
            </w:r>
          </w:p>
          <w:p w14:paraId="44788F4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中医药</w:t>
            </w:r>
          </w:p>
          <w:p w14:paraId="57634F9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（1分）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84B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老年人</w:t>
            </w:r>
          </w:p>
          <w:p w14:paraId="3103F18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健康</w:t>
            </w:r>
          </w:p>
          <w:p w14:paraId="2335474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 xml:space="preserve">管理 </w:t>
            </w:r>
          </w:p>
          <w:p w14:paraId="080E308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（8分）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2BC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高血压</w:t>
            </w:r>
          </w:p>
          <w:p w14:paraId="252D203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44E1D79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（7分）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06FE">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糖尿病</w:t>
            </w:r>
          </w:p>
          <w:p w14:paraId="0E6898D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5DD38BB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（7分）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ACA5">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慢病自我管理小组活动</w:t>
            </w:r>
          </w:p>
          <w:p w14:paraId="4118612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（2分）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090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妇保</w:t>
            </w:r>
          </w:p>
          <w:p w14:paraId="15F234B3">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（8分）</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94BB">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儿保</w:t>
            </w:r>
          </w:p>
          <w:p w14:paraId="359F15D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（8分）</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C460">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严重精神障碍</w:t>
            </w:r>
          </w:p>
          <w:p w14:paraId="466E3129">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（5分)</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F820">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传染病  （4分）</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5D6C">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满意度 （5分）</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FE94">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结核病</w:t>
            </w:r>
          </w:p>
          <w:p w14:paraId="48371E18">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管理</w:t>
            </w:r>
          </w:p>
          <w:p w14:paraId="32DD4BF6">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（3分）</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EE37A">
            <w:pPr>
              <w:widowControl/>
              <w:spacing w:line="220" w:lineRule="exact"/>
              <w:ind w:left="-160" w:leftChars="-50" w:right="-160" w:rightChars="-50"/>
              <w:jc w:val="center"/>
              <w:textAlignment w:val="center"/>
              <w:rPr>
                <w:rFonts w:hint="default" w:ascii="Times New Roman" w:hAnsi="Times New Roman" w:eastAsia="黑体" w:cs="Times New Roman"/>
                <w:bCs/>
                <w:spacing w:val="-8"/>
                <w:w w:val="90"/>
                <w:kern w:val="0"/>
                <w:sz w:val="21"/>
                <w:szCs w:val="21"/>
                <w:lang w:val="en-US" w:eastAsia="zh-CN"/>
              </w:rPr>
            </w:pPr>
            <w:r>
              <w:rPr>
                <w:rFonts w:hint="default" w:ascii="Times New Roman" w:hAnsi="Times New Roman" w:eastAsia="黑体" w:cs="Times New Roman"/>
                <w:bCs/>
                <w:spacing w:val="-8"/>
                <w:w w:val="90"/>
                <w:kern w:val="0"/>
                <w:sz w:val="21"/>
                <w:szCs w:val="21"/>
                <w:lang w:val="en-US" w:eastAsia="zh-CN"/>
              </w:rPr>
              <w:t>总分</w:t>
            </w:r>
          </w:p>
        </w:tc>
      </w:tr>
      <w:tr w14:paraId="522A4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9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映湖中心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87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25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DA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7A2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8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56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DC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10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C4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87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715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0F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3D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6D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57F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291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EE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93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2.90 </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D6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96.45 </w:t>
            </w:r>
          </w:p>
        </w:tc>
      </w:tr>
      <w:tr w14:paraId="0D9E2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F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阳光中心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54E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15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9BB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186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FCE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46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45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D4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8B2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B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82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EB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DF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91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C7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A29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4A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D3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71189D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96.07 </w:t>
            </w:r>
          </w:p>
        </w:tc>
      </w:tr>
      <w:tr w14:paraId="6BA9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2B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F6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27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60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763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EC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6B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33B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AF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B4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3DA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0B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63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14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74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AA9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FCB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7A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4D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400F8A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95.09 </w:t>
            </w:r>
          </w:p>
        </w:tc>
      </w:tr>
      <w:tr w14:paraId="212E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63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鹞山中心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00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24.17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91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FF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1C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7B3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CA3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54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22F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DF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2E0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905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E0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1E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7.78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CA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17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88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467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95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79BBC7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94.32 </w:t>
            </w:r>
          </w:p>
        </w:tc>
      </w:tr>
      <w:tr w14:paraId="64398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1C3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西湖镇卫生院新城片区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EE7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BD5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D8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1E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14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0D7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7F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43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2F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5BC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718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3A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3F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F4B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9A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60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29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F5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2.94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17DB0F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93.34 </w:t>
            </w:r>
          </w:p>
        </w:tc>
      </w:tr>
      <w:tr w14:paraId="6C66D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D6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狮子山中心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77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24.57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EEE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E0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53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137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2A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10B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ABA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44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E6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DD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35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60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CA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A6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8B5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4F4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69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5481E6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93.17 </w:t>
            </w:r>
          </w:p>
        </w:tc>
      </w:tr>
      <w:tr w14:paraId="77F96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2DE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幸福中心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443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A1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A65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949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77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1CF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FD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CD4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C8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D8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77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48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17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1C8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27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36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8D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E9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59299F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91.86 </w:t>
            </w:r>
          </w:p>
        </w:tc>
      </w:tr>
      <w:tr w14:paraId="04FBD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35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西湖镇卫生院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56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07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AF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10B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044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9E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60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AEE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96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0F5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68A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6.59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14E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57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82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646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73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F13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27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2.79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642DC7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89.24 </w:t>
            </w:r>
          </w:p>
        </w:tc>
      </w:tr>
      <w:tr w14:paraId="4221D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AF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横港中心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AD8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A7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6E8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B72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73F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901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19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81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9B4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C1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D6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43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68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A9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537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AD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34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BF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417483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86.48 </w:t>
            </w:r>
          </w:p>
        </w:tc>
      </w:tr>
      <w:tr w14:paraId="4319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44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金口岭中心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71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D1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6D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8D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52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6C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3.96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176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90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0C1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73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CA3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D6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20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0EC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9C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AC8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53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0F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3.00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54034F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86.27 </w:t>
            </w:r>
          </w:p>
        </w:tc>
      </w:tr>
      <w:tr w14:paraId="36E29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08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学苑中心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2A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7A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D4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5A2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2F5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81F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75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83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1F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44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4.89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DC9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37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F9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7.36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3D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4B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BC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B1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4A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2.88 </w:t>
            </w:r>
          </w:p>
        </w:tc>
        <w:tc>
          <w:tcPr>
            <w:tcW w:w="694" w:type="dxa"/>
            <w:tcBorders>
              <w:top w:val="nil"/>
              <w:left w:val="single" w:color="000000" w:sz="4" w:space="0"/>
              <w:bottom w:val="single" w:color="000000" w:sz="4" w:space="0"/>
              <w:right w:val="single" w:color="000000" w:sz="4" w:space="0"/>
            </w:tcBorders>
            <w:shd w:val="clear" w:color="auto" w:fill="auto"/>
            <w:noWrap/>
            <w:vAlign w:val="center"/>
          </w:tcPr>
          <w:p w14:paraId="19FA9F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80.80 </w:t>
            </w:r>
          </w:p>
        </w:tc>
      </w:tr>
    </w:tbl>
    <w:p w14:paraId="6DD692BC">
      <w:pPr>
        <w:keepNext w:val="0"/>
        <w:keepLines w:val="0"/>
        <w:pageBreakBefore w:val="0"/>
        <w:kinsoku/>
        <w:wordWrap/>
        <w:topLinePunct w:val="0"/>
        <w:autoSpaceDE/>
        <w:autoSpaceDN/>
        <w:bidi w:val="0"/>
        <w:adjustRightInd/>
        <w:spacing w:afterLines="50" w:line="580" w:lineRule="exact"/>
        <w:ind w:left="-96" w:right="-96" w:firstLine="640" w:firstLineChars="200"/>
        <w:jc w:val="both"/>
        <w:textAlignment w:val="auto"/>
        <w:rPr>
          <w:rFonts w:hint="default" w:ascii="Times New Roman" w:hAnsi="Times New Roman" w:eastAsia="黑体" w:cs="Times New Roman"/>
          <w:bCs/>
          <w:color w:val="auto"/>
          <w:kern w:val="0"/>
        </w:rPr>
      </w:pPr>
    </w:p>
    <w:bookmarkEnd w:id="0"/>
    <w:sectPr>
      <w:footerReference r:id="rId7" w:type="default"/>
      <w:headerReference r:id="rId6" w:type="even"/>
      <w:pgSz w:w="16840" w:h="11907" w:orient="landscape"/>
      <w:pgMar w:top="1588" w:right="1418" w:bottom="1588" w:left="1418" w:header="851" w:footer="992" w:gutter="0"/>
      <w:pgBorders>
        <w:top w:val="none" w:sz="0" w:space="0"/>
        <w:left w:val="none" w:sz="0" w:space="0"/>
        <w:bottom w:val="none" w:sz="0" w:space="0"/>
        <w:right w:val="none" w:sz="0" w:space="0"/>
      </w:pgBorders>
      <w:pgNumType w:fmt="numberInDash"/>
      <w:cols w:space="708"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F881">
    <w:pPr>
      <w:pStyle w:val="5"/>
      <w:framePr w:wrap="around" w:vAnchor="text" w:hAnchor="margin" w:xAlign="outside" w:y="1"/>
      <w:jc w:val="center"/>
      <w:rPr>
        <w:rFonts w:ascii="宋体" w:eastAsia="宋体"/>
        <w:sz w:val="28"/>
        <w:szCs w:val="28"/>
      </w:rPr>
    </w:pPr>
    <w:r>
      <w:rPr>
        <w:rStyle w:val="10"/>
        <w:rFonts w:ascii="宋体" w:hAnsi="宋体"/>
        <w:sz w:val="28"/>
        <w:szCs w:val="28"/>
      </w:rPr>
      <w:fldChar w:fldCharType="begin"/>
    </w:r>
    <w:r>
      <w:rPr>
        <w:rStyle w:val="10"/>
        <w:rFonts w:ascii="宋体" w:hAnsi="宋体"/>
        <w:sz w:val="28"/>
        <w:szCs w:val="28"/>
      </w:rPr>
      <w:instrText xml:space="preserve">PAGE  </w:instrText>
    </w:r>
    <w:r>
      <w:rPr>
        <w:rStyle w:val="10"/>
        <w:rFonts w:ascii="宋体" w:hAnsi="宋体"/>
        <w:sz w:val="28"/>
        <w:szCs w:val="28"/>
      </w:rPr>
      <w:fldChar w:fldCharType="separate"/>
    </w:r>
    <w:r>
      <w:rPr>
        <w:rStyle w:val="10"/>
        <w:rFonts w:ascii="宋体" w:hAnsi="宋体"/>
        <w:sz w:val="28"/>
        <w:szCs w:val="28"/>
      </w:rPr>
      <w:t>- 19 -</w:t>
    </w:r>
    <w:r>
      <w:rPr>
        <w:rStyle w:val="10"/>
        <w:rFonts w:ascii="宋体" w:hAnsi="宋体"/>
        <w:sz w:val="28"/>
        <w:szCs w:val="28"/>
      </w:rPr>
      <w:fldChar w:fldCharType="end"/>
    </w:r>
  </w:p>
  <w:p w14:paraId="781342D9">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8680A">
    <w:pPr>
      <w:pStyle w:val="5"/>
      <w:framePr w:wrap="around" w:vAnchor="text" w:hAnchor="margin" w:xAlign="center" w:y="1"/>
    </w:pPr>
    <w:r>
      <w:rPr>
        <w:rStyle w:val="10"/>
      </w:rPr>
      <w:fldChar w:fldCharType="begin"/>
    </w:r>
    <w:r>
      <w:rPr>
        <w:rStyle w:val="10"/>
      </w:rPr>
      <w:instrText xml:space="preserve">PAGE  </w:instrText>
    </w:r>
    <w:r>
      <w:rPr>
        <w:rStyle w:val="10"/>
      </w:rPr>
      <w:fldChar w:fldCharType="end"/>
    </w:r>
  </w:p>
  <w:p w14:paraId="76605464">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6E4D7">
    <w:pPr>
      <w:pStyle w:val="5"/>
      <w:framePr w:wrap="around" w:vAnchor="text" w:hAnchor="margin" w:xAlign="center" w:y="1"/>
      <w:jc w:val="center"/>
      <w:rPr>
        <w:rFonts w:ascii="宋体" w:eastAsia="宋体"/>
        <w:sz w:val="28"/>
        <w:szCs w:val="28"/>
      </w:rPr>
    </w:pPr>
    <w:r>
      <w:rPr>
        <w:rStyle w:val="10"/>
        <w:rFonts w:ascii="宋体" w:hAnsi="宋体"/>
        <w:sz w:val="28"/>
        <w:szCs w:val="28"/>
      </w:rPr>
      <w:fldChar w:fldCharType="begin"/>
    </w:r>
    <w:r>
      <w:rPr>
        <w:rStyle w:val="10"/>
        <w:rFonts w:ascii="宋体" w:hAnsi="宋体"/>
        <w:sz w:val="28"/>
        <w:szCs w:val="28"/>
      </w:rPr>
      <w:instrText xml:space="preserve">PAGE  </w:instrText>
    </w:r>
    <w:r>
      <w:rPr>
        <w:rStyle w:val="10"/>
        <w:rFonts w:ascii="宋体" w:hAnsi="宋体"/>
        <w:sz w:val="28"/>
        <w:szCs w:val="28"/>
      </w:rPr>
      <w:fldChar w:fldCharType="separate"/>
    </w:r>
    <w:r>
      <w:rPr>
        <w:rStyle w:val="10"/>
        <w:rFonts w:ascii="宋体" w:hAnsi="宋体"/>
        <w:sz w:val="28"/>
        <w:szCs w:val="28"/>
      </w:rPr>
      <w:t>- 25 -</w:t>
    </w:r>
    <w:r>
      <w:rPr>
        <w:rStyle w:val="10"/>
        <w:rFonts w:ascii="宋体" w:hAnsi="宋体"/>
        <w:sz w:val="28"/>
        <w:szCs w:val="28"/>
      </w:rPr>
      <w:fldChar w:fldCharType="end"/>
    </w:r>
  </w:p>
  <w:p w14:paraId="1B62AEDB">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34B5C">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1C6C">
    <w:pPr>
      <w:ind w:left="-96" w:right="-9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226"/>
  <w:displayHorizontalDrawingGridEvery w:val="1"/>
  <w:displayVerticalDrawingGridEvery w:val="1"/>
  <w:doNotShadeFormData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DgyNTMxMDcxZjIxMDM1NjRkM2NiMmEzZTRlODUifQ=="/>
    <w:docVar w:name="KSO_WPS_MARK_KEY" w:val="de65f098-cc42-4d16-913f-3cab9f8c150d"/>
  </w:docVars>
  <w:rsids>
    <w:rsidRoot w:val="00172A27"/>
    <w:rsid w:val="00044E74"/>
    <w:rsid w:val="00090611"/>
    <w:rsid w:val="000F2598"/>
    <w:rsid w:val="00114D22"/>
    <w:rsid w:val="00156B59"/>
    <w:rsid w:val="00172A27"/>
    <w:rsid w:val="00290CE2"/>
    <w:rsid w:val="00297EEA"/>
    <w:rsid w:val="002E65B1"/>
    <w:rsid w:val="00356EC1"/>
    <w:rsid w:val="003A6908"/>
    <w:rsid w:val="003B12F7"/>
    <w:rsid w:val="003C5E43"/>
    <w:rsid w:val="00463579"/>
    <w:rsid w:val="004C1BCB"/>
    <w:rsid w:val="005328CF"/>
    <w:rsid w:val="005F0664"/>
    <w:rsid w:val="00633B7F"/>
    <w:rsid w:val="00696996"/>
    <w:rsid w:val="006A0991"/>
    <w:rsid w:val="007701CC"/>
    <w:rsid w:val="0078494A"/>
    <w:rsid w:val="00873B5B"/>
    <w:rsid w:val="008B32D6"/>
    <w:rsid w:val="009054D5"/>
    <w:rsid w:val="00B815DC"/>
    <w:rsid w:val="00BF6EAB"/>
    <w:rsid w:val="00C13F9D"/>
    <w:rsid w:val="00C63181"/>
    <w:rsid w:val="00CF2249"/>
    <w:rsid w:val="00D460DA"/>
    <w:rsid w:val="00DA2B09"/>
    <w:rsid w:val="00E002B7"/>
    <w:rsid w:val="00E026A7"/>
    <w:rsid w:val="00E865BA"/>
    <w:rsid w:val="00EB4F93"/>
    <w:rsid w:val="00EE509F"/>
    <w:rsid w:val="00F335E4"/>
    <w:rsid w:val="00F716D5"/>
    <w:rsid w:val="01451E92"/>
    <w:rsid w:val="01F1777B"/>
    <w:rsid w:val="023149C2"/>
    <w:rsid w:val="024F664B"/>
    <w:rsid w:val="02E01C47"/>
    <w:rsid w:val="03430C16"/>
    <w:rsid w:val="036A3DC1"/>
    <w:rsid w:val="03DE7EE3"/>
    <w:rsid w:val="041F7A14"/>
    <w:rsid w:val="04336835"/>
    <w:rsid w:val="04B57CD9"/>
    <w:rsid w:val="04CE00F8"/>
    <w:rsid w:val="04EC016D"/>
    <w:rsid w:val="05C56F9C"/>
    <w:rsid w:val="0681777B"/>
    <w:rsid w:val="07395725"/>
    <w:rsid w:val="07740BAF"/>
    <w:rsid w:val="07C9601D"/>
    <w:rsid w:val="07F62BB0"/>
    <w:rsid w:val="091406CE"/>
    <w:rsid w:val="0926237D"/>
    <w:rsid w:val="092B365C"/>
    <w:rsid w:val="0948650B"/>
    <w:rsid w:val="0A56459C"/>
    <w:rsid w:val="0A845FDE"/>
    <w:rsid w:val="0A9A6B7F"/>
    <w:rsid w:val="0B24585A"/>
    <w:rsid w:val="0B2A0569"/>
    <w:rsid w:val="0B800F0B"/>
    <w:rsid w:val="0BC419DA"/>
    <w:rsid w:val="0C102994"/>
    <w:rsid w:val="0C566AD6"/>
    <w:rsid w:val="0CC1520A"/>
    <w:rsid w:val="0ECA37AB"/>
    <w:rsid w:val="0FBE25DD"/>
    <w:rsid w:val="101B2AA7"/>
    <w:rsid w:val="108D2CE2"/>
    <w:rsid w:val="11056D1C"/>
    <w:rsid w:val="11206312"/>
    <w:rsid w:val="115E6E13"/>
    <w:rsid w:val="11875983"/>
    <w:rsid w:val="11CC15E8"/>
    <w:rsid w:val="11F50B3F"/>
    <w:rsid w:val="12B502CE"/>
    <w:rsid w:val="13545D39"/>
    <w:rsid w:val="13E56991"/>
    <w:rsid w:val="145E657A"/>
    <w:rsid w:val="14CE67FA"/>
    <w:rsid w:val="14DC77B4"/>
    <w:rsid w:val="15216762"/>
    <w:rsid w:val="162502C9"/>
    <w:rsid w:val="16917DF9"/>
    <w:rsid w:val="16D50F3F"/>
    <w:rsid w:val="17242EA0"/>
    <w:rsid w:val="17271A54"/>
    <w:rsid w:val="173C2D6C"/>
    <w:rsid w:val="17671F5A"/>
    <w:rsid w:val="18117D55"/>
    <w:rsid w:val="1813617E"/>
    <w:rsid w:val="18215C57"/>
    <w:rsid w:val="18745314"/>
    <w:rsid w:val="18FF6F54"/>
    <w:rsid w:val="19F36E19"/>
    <w:rsid w:val="1A501008"/>
    <w:rsid w:val="1A6B4094"/>
    <w:rsid w:val="1B2666DB"/>
    <w:rsid w:val="1B3C158C"/>
    <w:rsid w:val="1B570174"/>
    <w:rsid w:val="1C2838BF"/>
    <w:rsid w:val="1CA41E3E"/>
    <w:rsid w:val="1CC373C8"/>
    <w:rsid w:val="1D5D7949"/>
    <w:rsid w:val="1D943902"/>
    <w:rsid w:val="1E4B74DF"/>
    <w:rsid w:val="1E873CC8"/>
    <w:rsid w:val="1E894AE9"/>
    <w:rsid w:val="1EBC3110"/>
    <w:rsid w:val="1EBF050A"/>
    <w:rsid w:val="1EC21DA9"/>
    <w:rsid w:val="1FC97167"/>
    <w:rsid w:val="200F7270"/>
    <w:rsid w:val="20672C08"/>
    <w:rsid w:val="2084273E"/>
    <w:rsid w:val="212211B6"/>
    <w:rsid w:val="21A734D8"/>
    <w:rsid w:val="21BC3427"/>
    <w:rsid w:val="22794E74"/>
    <w:rsid w:val="230A3E57"/>
    <w:rsid w:val="23441BBE"/>
    <w:rsid w:val="23C14D25"/>
    <w:rsid w:val="23C93BD9"/>
    <w:rsid w:val="24277CF2"/>
    <w:rsid w:val="2490594F"/>
    <w:rsid w:val="24973628"/>
    <w:rsid w:val="24F14CA9"/>
    <w:rsid w:val="252E7363"/>
    <w:rsid w:val="26212FF1"/>
    <w:rsid w:val="267A554F"/>
    <w:rsid w:val="26B62282"/>
    <w:rsid w:val="26C47FA9"/>
    <w:rsid w:val="26FE3B9A"/>
    <w:rsid w:val="27897907"/>
    <w:rsid w:val="27A60298"/>
    <w:rsid w:val="27C36985"/>
    <w:rsid w:val="29980ADF"/>
    <w:rsid w:val="299D21AD"/>
    <w:rsid w:val="2A135965"/>
    <w:rsid w:val="2A2449C3"/>
    <w:rsid w:val="2A701253"/>
    <w:rsid w:val="2ABF13E4"/>
    <w:rsid w:val="2B0F5D2D"/>
    <w:rsid w:val="2B161A0E"/>
    <w:rsid w:val="2B2C32E2"/>
    <w:rsid w:val="2BA32FD2"/>
    <w:rsid w:val="2BB46F1D"/>
    <w:rsid w:val="2CB12416"/>
    <w:rsid w:val="2CC6515A"/>
    <w:rsid w:val="2CF62081"/>
    <w:rsid w:val="2CFE17F0"/>
    <w:rsid w:val="2D575DC2"/>
    <w:rsid w:val="2DC84F02"/>
    <w:rsid w:val="2E063311"/>
    <w:rsid w:val="2E4937F9"/>
    <w:rsid w:val="2EA66FF1"/>
    <w:rsid w:val="2F055094"/>
    <w:rsid w:val="2F172487"/>
    <w:rsid w:val="2FDA2810"/>
    <w:rsid w:val="30415D30"/>
    <w:rsid w:val="30A532D8"/>
    <w:rsid w:val="30B654E5"/>
    <w:rsid w:val="30D36097"/>
    <w:rsid w:val="30DE1BA3"/>
    <w:rsid w:val="310E23E1"/>
    <w:rsid w:val="31146F4A"/>
    <w:rsid w:val="32134085"/>
    <w:rsid w:val="324B1648"/>
    <w:rsid w:val="32F36890"/>
    <w:rsid w:val="32F47102"/>
    <w:rsid w:val="3302598D"/>
    <w:rsid w:val="338723E8"/>
    <w:rsid w:val="33AB7853"/>
    <w:rsid w:val="33CD3272"/>
    <w:rsid w:val="33D32171"/>
    <w:rsid w:val="34476B80"/>
    <w:rsid w:val="35CF32D1"/>
    <w:rsid w:val="360D412F"/>
    <w:rsid w:val="36354C7A"/>
    <w:rsid w:val="36A22794"/>
    <w:rsid w:val="36C546D4"/>
    <w:rsid w:val="374B4BD9"/>
    <w:rsid w:val="376C68FE"/>
    <w:rsid w:val="38686F05"/>
    <w:rsid w:val="38DB3179"/>
    <w:rsid w:val="39180AEB"/>
    <w:rsid w:val="393D49F6"/>
    <w:rsid w:val="395625C9"/>
    <w:rsid w:val="3A1A0893"/>
    <w:rsid w:val="3A5C28F5"/>
    <w:rsid w:val="3A6C5593"/>
    <w:rsid w:val="3B133C60"/>
    <w:rsid w:val="3B31446F"/>
    <w:rsid w:val="3BD40D24"/>
    <w:rsid w:val="3BE37471"/>
    <w:rsid w:val="3C16166D"/>
    <w:rsid w:val="3CED321C"/>
    <w:rsid w:val="3D0E76D3"/>
    <w:rsid w:val="3D9B618F"/>
    <w:rsid w:val="3E2D2CDB"/>
    <w:rsid w:val="3F1F465F"/>
    <w:rsid w:val="3F285800"/>
    <w:rsid w:val="3F7153F9"/>
    <w:rsid w:val="3F9966FE"/>
    <w:rsid w:val="3FA72BC9"/>
    <w:rsid w:val="3FBF6BF3"/>
    <w:rsid w:val="411210A2"/>
    <w:rsid w:val="41837C0C"/>
    <w:rsid w:val="428D5CD5"/>
    <w:rsid w:val="434626F9"/>
    <w:rsid w:val="439E6DA6"/>
    <w:rsid w:val="43CF00AE"/>
    <w:rsid w:val="44801C3A"/>
    <w:rsid w:val="44903204"/>
    <w:rsid w:val="44D84137"/>
    <w:rsid w:val="45045093"/>
    <w:rsid w:val="45D71D2E"/>
    <w:rsid w:val="45DB5DE7"/>
    <w:rsid w:val="469814BD"/>
    <w:rsid w:val="46EE4FD8"/>
    <w:rsid w:val="47A7201C"/>
    <w:rsid w:val="47BA653C"/>
    <w:rsid w:val="48074B4D"/>
    <w:rsid w:val="483128C8"/>
    <w:rsid w:val="483534AB"/>
    <w:rsid w:val="48D72771"/>
    <w:rsid w:val="48EC5F0A"/>
    <w:rsid w:val="49246A8D"/>
    <w:rsid w:val="49492299"/>
    <w:rsid w:val="49CE06F4"/>
    <w:rsid w:val="4B0763D1"/>
    <w:rsid w:val="4B226946"/>
    <w:rsid w:val="4B241572"/>
    <w:rsid w:val="4C307A20"/>
    <w:rsid w:val="4C373527"/>
    <w:rsid w:val="4DA90463"/>
    <w:rsid w:val="4DAA51F5"/>
    <w:rsid w:val="4E3A6340"/>
    <w:rsid w:val="4E45160F"/>
    <w:rsid w:val="4EA736C8"/>
    <w:rsid w:val="4F1438DB"/>
    <w:rsid w:val="4F30049C"/>
    <w:rsid w:val="4F443F90"/>
    <w:rsid w:val="50F32112"/>
    <w:rsid w:val="50F978D6"/>
    <w:rsid w:val="51586419"/>
    <w:rsid w:val="519A284F"/>
    <w:rsid w:val="51DD5513"/>
    <w:rsid w:val="522B7EBA"/>
    <w:rsid w:val="524914EE"/>
    <w:rsid w:val="525F4E6A"/>
    <w:rsid w:val="53083527"/>
    <w:rsid w:val="536A2433"/>
    <w:rsid w:val="54071A30"/>
    <w:rsid w:val="5479292E"/>
    <w:rsid w:val="54877134"/>
    <w:rsid w:val="54C16083"/>
    <w:rsid w:val="55955A58"/>
    <w:rsid w:val="55A56240"/>
    <w:rsid w:val="57256D9D"/>
    <w:rsid w:val="57F12ED6"/>
    <w:rsid w:val="580707DB"/>
    <w:rsid w:val="583A08CE"/>
    <w:rsid w:val="583D570A"/>
    <w:rsid w:val="583F0740"/>
    <w:rsid w:val="58845D45"/>
    <w:rsid w:val="58977827"/>
    <w:rsid w:val="59544B9F"/>
    <w:rsid w:val="597436C4"/>
    <w:rsid w:val="597A4A53"/>
    <w:rsid w:val="59967ADE"/>
    <w:rsid w:val="59A246D5"/>
    <w:rsid w:val="59E848D7"/>
    <w:rsid w:val="5A0F4678"/>
    <w:rsid w:val="5A156B33"/>
    <w:rsid w:val="5A6D74CF"/>
    <w:rsid w:val="5AC87FFD"/>
    <w:rsid w:val="5AF71D16"/>
    <w:rsid w:val="5B042EA4"/>
    <w:rsid w:val="5B081868"/>
    <w:rsid w:val="5B347DF2"/>
    <w:rsid w:val="5B3F5F54"/>
    <w:rsid w:val="5B7B3093"/>
    <w:rsid w:val="5BDA4A0C"/>
    <w:rsid w:val="5C7F2AAC"/>
    <w:rsid w:val="5C9E3E8A"/>
    <w:rsid w:val="5CE60D7D"/>
    <w:rsid w:val="5D99194B"/>
    <w:rsid w:val="5E1B69A7"/>
    <w:rsid w:val="5E2D2BF5"/>
    <w:rsid w:val="5EF97984"/>
    <w:rsid w:val="5F0B4ACB"/>
    <w:rsid w:val="5F716902"/>
    <w:rsid w:val="5F7F3BE8"/>
    <w:rsid w:val="5F812FDF"/>
    <w:rsid w:val="5FEF0AC8"/>
    <w:rsid w:val="6049488F"/>
    <w:rsid w:val="6054553F"/>
    <w:rsid w:val="607021AA"/>
    <w:rsid w:val="61281DD7"/>
    <w:rsid w:val="613B34CE"/>
    <w:rsid w:val="627F3366"/>
    <w:rsid w:val="62886432"/>
    <w:rsid w:val="62B334AF"/>
    <w:rsid w:val="63065CD5"/>
    <w:rsid w:val="63E00486"/>
    <w:rsid w:val="642F125B"/>
    <w:rsid w:val="64C305D3"/>
    <w:rsid w:val="64E51E64"/>
    <w:rsid w:val="6509385A"/>
    <w:rsid w:val="651567CD"/>
    <w:rsid w:val="6517244B"/>
    <w:rsid w:val="65891EFF"/>
    <w:rsid w:val="6759039D"/>
    <w:rsid w:val="67EE4F89"/>
    <w:rsid w:val="67FF7197"/>
    <w:rsid w:val="68060525"/>
    <w:rsid w:val="684352D5"/>
    <w:rsid w:val="68F00108"/>
    <w:rsid w:val="6953779A"/>
    <w:rsid w:val="69B704C9"/>
    <w:rsid w:val="6A3D700A"/>
    <w:rsid w:val="6ACA583A"/>
    <w:rsid w:val="6B2F38EF"/>
    <w:rsid w:val="6B806985"/>
    <w:rsid w:val="6B8C6F93"/>
    <w:rsid w:val="6B99520C"/>
    <w:rsid w:val="6C3C2767"/>
    <w:rsid w:val="6C9D0D2C"/>
    <w:rsid w:val="6CC3503F"/>
    <w:rsid w:val="6D207D52"/>
    <w:rsid w:val="6F041D81"/>
    <w:rsid w:val="6F8D6E36"/>
    <w:rsid w:val="6FCF38F2"/>
    <w:rsid w:val="7040034C"/>
    <w:rsid w:val="71297032"/>
    <w:rsid w:val="71333B3B"/>
    <w:rsid w:val="716360A0"/>
    <w:rsid w:val="718A5D23"/>
    <w:rsid w:val="71B74A9E"/>
    <w:rsid w:val="72395053"/>
    <w:rsid w:val="72A51B1F"/>
    <w:rsid w:val="742B5EEB"/>
    <w:rsid w:val="74CE5F27"/>
    <w:rsid w:val="74DF4B7F"/>
    <w:rsid w:val="75463053"/>
    <w:rsid w:val="7553467E"/>
    <w:rsid w:val="757A60AE"/>
    <w:rsid w:val="75F740EE"/>
    <w:rsid w:val="762D0A3F"/>
    <w:rsid w:val="76A35191"/>
    <w:rsid w:val="76D161A2"/>
    <w:rsid w:val="77005040"/>
    <w:rsid w:val="77A45665"/>
    <w:rsid w:val="77D26935"/>
    <w:rsid w:val="77D34312"/>
    <w:rsid w:val="78DB11A4"/>
    <w:rsid w:val="78FC1205"/>
    <w:rsid w:val="79601EDF"/>
    <w:rsid w:val="79674B9C"/>
    <w:rsid w:val="7A2465E9"/>
    <w:rsid w:val="7A5213A8"/>
    <w:rsid w:val="7AE579D0"/>
    <w:rsid w:val="7B067E25"/>
    <w:rsid w:val="7B25304B"/>
    <w:rsid w:val="7B8B4471"/>
    <w:rsid w:val="7C1F134D"/>
    <w:rsid w:val="7C5739AD"/>
    <w:rsid w:val="7CBE0F77"/>
    <w:rsid w:val="7E4159BB"/>
    <w:rsid w:val="7EC524F3"/>
  </w:rsids>
  <m:mathPr>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10"/>
      <w:sz w:val="32"/>
      <w:szCs w:val="32"/>
      <w:lang w:val="en-US" w:eastAsia="zh-CN" w:bidi="ar-SA"/>
    </w:rPr>
  </w:style>
  <w:style w:type="character" w:default="1" w:styleId="9">
    <w:name w:val="Default Paragraph Font"/>
    <w:autoRedefine/>
    <w:semiHidden/>
    <w:qFormat/>
    <w:uiPriority w:val="99"/>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link w:val="13"/>
    <w:autoRedefine/>
    <w:qFormat/>
    <w:uiPriority w:val="99"/>
    <w:pPr>
      <w:widowControl/>
      <w:spacing w:beforeAutospacing="1" w:afterAutospacing="1"/>
      <w:jc w:val="left"/>
    </w:pPr>
    <w:rPr>
      <w:rFonts w:ascii="宋体" w:hAnsi="宋体" w:eastAsia="宋体" w:cs="宋体"/>
      <w:kern w:val="0"/>
      <w:sz w:val="24"/>
      <w:szCs w:val="24"/>
    </w:rPr>
  </w:style>
  <w:style w:type="paragraph" w:styleId="3">
    <w:name w:val="Body Text Indent 2"/>
    <w:basedOn w:val="1"/>
    <w:link w:val="11"/>
    <w:autoRedefine/>
    <w:qFormat/>
    <w:uiPriority w:val="99"/>
    <w:pPr>
      <w:widowControl/>
      <w:spacing w:beforeAutospacing="1" w:afterAutospacing="1"/>
      <w:jc w:val="left"/>
    </w:pPr>
    <w:rPr>
      <w:rFonts w:ascii="宋体" w:hAnsi="宋体" w:eastAsia="宋体" w:cs="宋体"/>
      <w:kern w:val="0"/>
      <w:sz w:val="24"/>
      <w:szCs w:val="24"/>
    </w:rPr>
  </w:style>
  <w:style w:type="paragraph" w:styleId="4">
    <w:name w:val="Balloon Text"/>
    <w:basedOn w:val="1"/>
    <w:link w:val="25"/>
    <w:autoRedefine/>
    <w:qFormat/>
    <w:uiPriority w:val="99"/>
    <w:rPr>
      <w:rFonts w:ascii="Times New Roman" w:eastAsia="宋体"/>
      <w:sz w:val="18"/>
      <w:szCs w:val="18"/>
    </w:rPr>
  </w:style>
  <w:style w:type="paragraph" w:styleId="5">
    <w:name w:val="footer"/>
    <w:basedOn w:val="1"/>
    <w:link w:val="12"/>
    <w:autoRedefine/>
    <w:qFormat/>
    <w:uiPriority w:val="99"/>
    <w:pPr>
      <w:tabs>
        <w:tab w:val="center" w:pos="4140"/>
        <w:tab w:val="right" w:pos="8300"/>
      </w:tabs>
      <w:snapToGrid w:val="0"/>
      <w:jc w:val="left"/>
    </w:pPr>
    <w:rPr>
      <w:sz w:val="18"/>
      <w:szCs w:val="18"/>
    </w:rPr>
  </w:style>
  <w:style w:type="paragraph" w:styleId="6">
    <w:name w:val="header"/>
    <w:basedOn w:val="1"/>
    <w:link w:val="18"/>
    <w:autoRedefine/>
    <w:qFormat/>
    <w:uiPriority w:val="99"/>
    <w:pPr>
      <w:pBdr>
        <w:bottom w:val="single" w:color="000000" w:sz="6" w:space="1"/>
      </w:pBdr>
      <w:tabs>
        <w:tab w:val="center" w:pos="4140"/>
        <w:tab w:val="right" w:pos="8300"/>
      </w:tabs>
      <w:snapToGrid w:val="0"/>
      <w:jc w:val="center"/>
    </w:pPr>
    <w:rPr>
      <w:sz w:val="18"/>
      <w:szCs w:val="18"/>
    </w:rPr>
  </w:style>
  <w:style w:type="paragraph" w:styleId="7">
    <w:name w:val="Normal (Web)"/>
    <w:basedOn w:val="1"/>
    <w:autoRedefine/>
    <w:semiHidden/>
    <w:qFormat/>
    <w:uiPriority w:val="99"/>
    <w:rPr>
      <w:sz w:val="24"/>
    </w:rPr>
  </w:style>
  <w:style w:type="character" w:styleId="10">
    <w:name w:val="page number"/>
    <w:basedOn w:val="9"/>
    <w:autoRedefine/>
    <w:qFormat/>
    <w:uiPriority w:val="99"/>
    <w:rPr>
      <w:rFonts w:ascii="Times New Roman" w:hAnsi="Times New Roman" w:eastAsia="宋体" w:cs="Times New Roman"/>
    </w:rPr>
  </w:style>
  <w:style w:type="character" w:customStyle="1" w:styleId="11">
    <w:name w:val="Body Text Indent 2 Char"/>
    <w:basedOn w:val="9"/>
    <w:link w:val="3"/>
    <w:autoRedefine/>
    <w:semiHidden/>
    <w:qFormat/>
    <w:uiPriority w:val="99"/>
    <w:rPr>
      <w:rFonts w:ascii="仿宋_GB2312" w:eastAsia="仿宋_GB2312"/>
      <w:kern w:val="10"/>
      <w:sz w:val="32"/>
      <w:szCs w:val="32"/>
    </w:rPr>
  </w:style>
  <w:style w:type="character" w:customStyle="1" w:styleId="12">
    <w:name w:val="Footer Char"/>
    <w:basedOn w:val="9"/>
    <w:link w:val="5"/>
    <w:autoRedefine/>
    <w:qFormat/>
    <w:locked/>
    <w:uiPriority w:val="99"/>
    <w:rPr>
      <w:rFonts w:ascii="仿宋_GB2312" w:hAnsi="Times New Roman" w:eastAsia="仿宋_GB2312"/>
      <w:kern w:val="10"/>
      <w:sz w:val="18"/>
    </w:rPr>
  </w:style>
  <w:style w:type="character" w:customStyle="1" w:styleId="13">
    <w:name w:val="Body Text Indent Char"/>
    <w:basedOn w:val="9"/>
    <w:link w:val="2"/>
    <w:autoRedefine/>
    <w:semiHidden/>
    <w:qFormat/>
    <w:uiPriority w:val="99"/>
    <w:rPr>
      <w:rFonts w:ascii="仿宋_GB2312" w:eastAsia="仿宋_GB2312"/>
      <w:kern w:val="10"/>
      <w:sz w:val="32"/>
      <w:szCs w:val="32"/>
    </w:rPr>
  </w:style>
  <w:style w:type="paragraph" w:customStyle="1" w:styleId="14">
    <w:name w:val="et2"/>
    <w:basedOn w:val="1"/>
    <w:autoRedefine/>
    <w:qFormat/>
    <w:uiPriority w:val="99"/>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方正小标宋_GBK" w:hAnsi="宋体" w:eastAsia="方正小标宋_GBK" w:cs="宋体"/>
      <w:kern w:val="0"/>
    </w:rPr>
  </w:style>
  <w:style w:type="paragraph" w:customStyle="1" w:styleId="15">
    <w:name w:val="et4"/>
    <w:basedOn w:val="1"/>
    <w:autoRedefine/>
    <w:qFormat/>
    <w:uiPriority w:val="99"/>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eastAsia="宋体" w:cs="宋体"/>
      <w:color w:val="FF0000"/>
      <w:kern w:val="0"/>
      <w:sz w:val="20"/>
      <w:szCs w:val="20"/>
    </w:rPr>
  </w:style>
  <w:style w:type="paragraph" w:customStyle="1" w:styleId="16">
    <w:name w:val="et5"/>
    <w:basedOn w:val="1"/>
    <w:autoRedefine/>
    <w:qFormat/>
    <w:uiPriority w:val="99"/>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eastAsia="宋体" w:cs="宋体"/>
      <w:kern w:val="0"/>
      <w:sz w:val="20"/>
      <w:szCs w:val="20"/>
    </w:rPr>
  </w:style>
  <w:style w:type="paragraph" w:customStyle="1" w:styleId="17">
    <w:name w:val="font3"/>
    <w:basedOn w:val="1"/>
    <w:autoRedefine/>
    <w:qFormat/>
    <w:uiPriority w:val="99"/>
    <w:pPr>
      <w:widowControl/>
      <w:spacing w:beforeAutospacing="1" w:afterAutospacing="1"/>
      <w:jc w:val="left"/>
    </w:pPr>
    <w:rPr>
      <w:rFonts w:ascii="方正小标宋_GBK" w:hAnsi="宋体" w:eastAsia="方正小标宋_GBK" w:cs="宋体"/>
      <w:color w:val="000000"/>
      <w:kern w:val="0"/>
    </w:rPr>
  </w:style>
  <w:style w:type="character" w:customStyle="1" w:styleId="18">
    <w:name w:val="Header Char"/>
    <w:basedOn w:val="9"/>
    <w:link w:val="6"/>
    <w:autoRedefine/>
    <w:qFormat/>
    <w:locked/>
    <w:uiPriority w:val="99"/>
    <w:rPr>
      <w:rFonts w:ascii="仿宋_GB2312" w:hAnsi="Times New Roman" w:eastAsia="仿宋_GB2312"/>
      <w:kern w:val="10"/>
      <w:sz w:val="18"/>
    </w:rPr>
  </w:style>
  <w:style w:type="paragraph" w:customStyle="1" w:styleId="19">
    <w:name w:val="列出段落"/>
    <w:basedOn w:val="1"/>
    <w:autoRedefine/>
    <w:qFormat/>
    <w:uiPriority w:val="99"/>
    <w:pPr>
      <w:ind w:firstLine="420" w:firstLineChars="200"/>
    </w:pPr>
    <w:rPr>
      <w:rFonts w:ascii="Calibri" w:hAnsi="Calibri" w:eastAsia="宋体"/>
      <w:kern w:val="2"/>
      <w:sz w:val="21"/>
      <w:szCs w:val="22"/>
    </w:rPr>
  </w:style>
  <w:style w:type="paragraph" w:customStyle="1" w:styleId="20">
    <w:name w:val="无间隔"/>
    <w:autoRedefine/>
    <w:qFormat/>
    <w:uiPriority w:val="99"/>
    <w:pPr>
      <w:widowControl w:val="0"/>
      <w:jc w:val="both"/>
    </w:pPr>
    <w:rPr>
      <w:rFonts w:ascii="仿宋_GB2312" w:hAnsi="Times New Roman" w:eastAsia="仿宋_GB2312" w:cs="Times New Roman"/>
      <w:kern w:val="10"/>
      <w:sz w:val="32"/>
      <w:szCs w:val="32"/>
      <w:lang w:val="en-US" w:eastAsia="zh-CN" w:bidi="ar-SA"/>
    </w:rPr>
  </w:style>
  <w:style w:type="paragraph" w:customStyle="1" w:styleId="21">
    <w:name w:val="font0"/>
    <w:basedOn w:val="1"/>
    <w:autoRedefine/>
    <w:qFormat/>
    <w:uiPriority w:val="99"/>
    <w:pPr>
      <w:widowControl/>
      <w:spacing w:beforeAutospacing="1" w:afterAutospacing="1"/>
      <w:jc w:val="left"/>
    </w:pPr>
    <w:rPr>
      <w:rFonts w:ascii="宋体" w:hAnsi="宋体" w:eastAsia="宋体" w:cs="宋体"/>
      <w:color w:val="000000"/>
      <w:kern w:val="0"/>
      <w:sz w:val="20"/>
      <w:szCs w:val="20"/>
    </w:rPr>
  </w:style>
  <w:style w:type="paragraph" w:customStyle="1" w:styleId="22">
    <w:name w:val="font2"/>
    <w:basedOn w:val="1"/>
    <w:autoRedefine/>
    <w:qFormat/>
    <w:uiPriority w:val="99"/>
    <w:pPr>
      <w:widowControl/>
      <w:spacing w:beforeAutospacing="1" w:afterAutospacing="1"/>
      <w:jc w:val="left"/>
    </w:pPr>
    <w:rPr>
      <w:rFonts w:ascii="宋体" w:hAnsi="宋体" w:eastAsia="宋体" w:cs="宋体"/>
      <w:b/>
      <w:bCs/>
      <w:color w:val="000000"/>
      <w:kern w:val="0"/>
      <w:sz w:val="20"/>
      <w:szCs w:val="20"/>
    </w:rPr>
  </w:style>
  <w:style w:type="character" w:customStyle="1" w:styleId="23">
    <w:name w:val="font51"/>
    <w:basedOn w:val="9"/>
    <w:autoRedefine/>
    <w:qFormat/>
    <w:uiPriority w:val="99"/>
    <w:rPr>
      <w:rFonts w:ascii="宋体" w:hAnsi="宋体" w:eastAsia="宋体" w:cs="宋体"/>
      <w:color w:val="000000"/>
      <w:sz w:val="22"/>
      <w:szCs w:val="22"/>
      <w:u w:val="none"/>
    </w:rPr>
  </w:style>
  <w:style w:type="paragraph" w:customStyle="1" w:styleId="24">
    <w:name w:val="font1"/>
    <w:basedOn w:val="1"/>
    <w:autoRedefine/>
    <w:qFormat/>
    <w:uiPriority w:val="99"/>
    <w:pPr>
      <w:widowControl/>
      <w:spacing w:beforeAutospacing="1" w:afterAutospacing="1"/>
      <w:jc w:val="left"/>
    </w:pPr>
    <w:rPr>
      <w:rFonts w:ascii="宋体" w:hAnsi="宋体" w:eastAsia="宋体" w:cs="宋体"/>
      <w:color w:val="FF0000"/>
      <w:kern w:val="0"/>
      <w:sz w:val="20"/>
      <w:szCs w:val="20"/>
    </w:rPr>
  </w:style>
  <w:style w:type="character" w:customStyle="1" w:styleId="25">
    <w:name w:val="Balloon Text Char"/>
    <w:basedOn w:val="9"/>
    <w:link w:val="4"/>
    <w:autoRedefine/>
    <w:semiHidden/>
    <w:qFormat/>
    <w:uiPriority w:val="99"/>
    <w:rPr>
      <w:rFonts w:ascii="仿宋_GB2312" w:eastAsia="仿宋_GB2312"/>
      <w:kern w:val="10"/>
      <w:sz w:val="0"/>
      <w:szCs w:val="0"/>
    </w:rPr>
  </w:style>
  <w:style w:type="paragraph" w:customStyle="1" w:styleId="26">
    <w:name w:val="font4"/>
    <w:basedOn w:val="1"/>
    <w:autoRedefine/>
    <w:qFormat/>
    <w:uiPriority w:val="99"/>
    <w:pPr>
      <w:widowControl/>
      <w:spacing w:beforeAutospacing="1" w:afterAutospacing="1"/>
      <w:jc w:val="left"/>
    </w:pPr>
    <w:rPr>
      <w:rFonts w:ascii="宋体" w:hAnsi="宋体" w:eastAsia="宋体" w:cs="宋体"/>
      <w:color w:val="000000"/>
      <w:kern w:val="0"/>
      <w:sz w:val="24"/>
      <w:szCs w:val="24"/>
    </w:rPr>
  </w:style>
  <w:style w:type="character" w:customStyle="1" w:styleId="27">
    <w:name w:val="font21"/>
    <w:basedOn w:val="9"/>
    <w:autoRedefine/>
    <w:qFormat/>
    <w:uiPriority w:val="99"/>
    <w:rPr>
      <w:rFonts w:ascii="宋体" w:hAnsi="宋体" w:eastAsia="宋体" w:cs="宋体"/>
      <w:color w:val="FF0000"/>
      <w:sz w:val="20"/>
      <w:szCs w:val="20"/>
      <w:u w:val="none"/>
    </w:rPr>
  </w:style>
  <w:style w:type="character" w:customStyle="1" w:styleId="28">
    <w:name w:val="font101"/>
    <w:basedOn w:val="9"/>
    <w:autoRedefine/>
    <w:qFormat/>
    <w:uiPriority w:val="99"/>
    <w:rPr>
      <w:rFonts w:ascii="宋体" w:hAnsi="宋体" w:eastAsia="宋体" w:cs="宋体"/>
      <w:color w:val="000000"/>
      <w:sz w:val="22"/>
      <w:szCs w:val="22"/>
      <w:u w:val="none"/>
    </w:rPr>
  </w:style>
  <w:style w:type="character" w:customStyle="1" w:styleId="29">
    <w:name w:val="font41"/>
    <w:basedOn w:val="9"/>
    <w:autoRedefine/>
    <w:qFormat/>
    <w:uiPriority w:val="99"/>
    <w:rPr>
      <w:rFonts w:ascii="宋体" w:hAnsi="宋体" w:eastAsia="宋体" w:cs="宋体"/>
      <w:color w:val="000000"/>
      <w:sz w:val="20"/>
      <w:szCs w:val="20"/>
      <w:u w:val="none"/>
    </w:rPr>
  </w:style>
  <w:style w:type="paragraph" w:customStyle="1" w:styleId="30">
    <w:name w:val="et3"/>
    <w:basedOn w:val="1"/>
    <w:autoRedefine/>
    <w:qFormat/>
    <w:uiPriority w:val="99"/>
    <w:pPr>
      <w:widowControl/>
      <w:pBdr>
        <w:top w:val="single" w:color="000000" w:sz="4" w:space="0"/>
        <w:left w:val="single" w:color="000000" w:sz="4" w:space="0"/>
        <w:bottom w:val="single" w:color="000000" w:sz="4" w:space="0"/>
        <w:right w:val="single" w:color="000000" w:sz="4" w:space="0"/>
      </w:pBdr>
      <w:spacing w:beforeAutospacing="1" w:afterAutospacing="1"/>
      <w:jc w:val="center"/>
    </w:pPr>
    <w:rPr>
      <w:rFonts w:ascii="宋体" w:hAnsi="宋体" w:eastAsia="宋体" w:cs="宋体"/>
      <w:b/>
      <w:bCs/>
      <w:kern w:val="0"/>
      <w:sz w:val="20"/>
      <w:szCs w:val="20"/>
    </w:rPr>
  </w:style>
  <w:style w:type="character" w:customStyle="1" w:styleId="31">
    <w:name w:val="font61"/>
    <w:basedOn w:val="9"/>
    <w:autoRedefine/>
    <w:qFormat/>
    <w:uiPriority w:val="99"/>
    <w:rPr>
      <w:rFonts w:ascii="Times New Roman" w:hAnsi="Times New Roman" w:cs="Times New Roman"/>
      <w:color w:val="000000"/>
      <w:sz w:val="22"/>
      <w:szCs w:val="22"/>
      <w:u w:val="none"/>
    </w:rPr>
  </w:style>
  <w:style w:type="character" w:customStyle="1" w:styleId="32">
    <w:name w:val="font11"/>
    <w:basedOn w:val="9"/>
    <w:qFormat/>
    <w:uiPriority w:val="0"/>
    <w:rPr>
      <w:rFonts w:hint="default" w:ascii="Times New Roman" w:hAnsi="Times New Roman" w:cs="Times New Roman"/>
      <w:b/>
      <w:bCs/>
      <w:color w:val="000000"/>
      <w:sz w:val="32"/>
      <w:szCs w:val="32"/>
      <w:u w:val="none"/>
    </w:rPr>
  </w:style>
  <w:style w:type="character" w:customStyle="1" w:styleId="33">
    <w:name w:val="font71"/>
    <w:basedOn w:val="9"/>
    <w:qFormat/>
    <w:uiPriority w:val="0"/>
    <w:rPr>
      <w:rFonts w:hint="eastAsia" w:ascii="宋体" w:hAnsi="宋体" w:eastAsia="宋体" w:cs="宋体"/>
      <w:b/>
      <w:bCs/>
      <w:color w:val="000000"/>
      <w:sz w:val="32"/>
      <w:szCs w:val="32"/>
      <w:u w:val="none"/>
    </w:rPr>
  </w:style>
  <w:style w:type="paragraph" w:styleId="3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8462</Words>
  <Characters>9088</Characters>
  <TotalTime>13</TotalTime>
  <ScaleCrop>false</ScaleCrop>
  <LinksUpToDate>false</LinksUpToDate>
  <CharactersWithSpaces>9197</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2025-01-16T17:22:00Z</dcterms:created>
  <dc:creator>admin</dc:creator>
  <cp:lastModifiedBy>婉</cp:lastModifiedBy>
  <dcterms:modified xsi:type="dcterms:W3CDTF">2025-04-09T07:23:11Z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eyJoZGlkIjoiNmNkYTljMTA0NThlZjY2NjlkNGZhYWJmNGI0OWRkNzkiLCJ1c2VySWQiOiIxMzIyOTkyMTI2In0=</vt:lpwstr>
  </property>
  <property fmtid="{D5CDD505-2E9C-101B-9397-08002B2CF9AE}" pid="3" name="KSOProductBuildVer">
    <vt:lpwstr>2052-12.1.0.20784</vt:lpwstr>
  </property>
  <property fmtid="{D5CDD505-2E9C-101B-9397-08002B2CF9AE}" pid="4" name="ICV">
    <vt:lpwstr>093EC970669A477A9BCFB4373665EFCC_12</vt:lpwstr>
  </property>
</Properties>
</file>