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jc w:val="center"/>
        <w:rPr>
          <w:rFonts w:ascii="Times New Roman Regular" w:eastAsia="方正小标宋_GBK" w:hAnsi="Times New Roman Regular" w:cs="Times New Roman Regular" w:hint="default"/>
          <w:b w:val="0"/>
          <w:bCs w:val="0"/>
          <w:sz w:val="44"/>
          <w:szCs w:val="44"/>
        </w:rPr>
      </w:pPr>
    </w:p>
    <w:p>
      <w:pPr>
        <w:jc w:val="both"/>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华文中宋" w:hAnsi="Times New Roman Regular" w:cs="Times New Roman Regular" w:hint="default"/>
          <w:b/>
          <w:sz w:val="44"/>
          <w:szCs w:val="44"/>
          <w:lang w:val="en-US"/>
        </w:rPr>
      </w:pPr>
      <w:r>
        <w:rPr>
          <w:rFonts w:ascii="Times New Roman Regular" w:eastAsia="华文中宋" w:hAnsi="Times New Roman Regular" w:cs="Times New Roman Regular" w:hint="default"/>
          <w:b/>
          <w:sz w:val="44"/>
          <w:szCs w:val="44"/>
        </w:rPr>
        <w:t>铜陵市铜官区民政局</w:t>
      </w:r>
      <w:r>
        <w:rPr>
          <w:rFonts w:ascii="Times New Roman Regular" w:eastAsia="黑体" w:hAnsi="Times New Roman Regular" w:cs="Times New Roman Regular" w:hint="default"/>
          <w:b/>
          <w:sz w:val="44"/>
          <w:szCs w:val="44"/>
        </w:rPr>
        <w:t>2025</w:t>
      </w:r>
      <w:r>
        <w:rPr>
          <w:rFonts w:ascii="Times New Roman Regular" w:eastAsia="华文中宋" w:hAnsi="Times New Roman Regular" w:cs="Times New Roman Regular" w:hint="default"/>
          <w:b/>
          <w:sz w:val="44"/>
          <w:szCs w:val="44"/>
          <w:lang w:val="en-US"/>
        </w:rPr>
        <w:t>年</w:t>
      </w:r>
    </w:p>
    <w:p>
      <w:pPr>
        <w:jc w:val="center"/>
        <w:rPr>
          <w:rFonts w:ascii="Times New Roman Regular" w:eastAsia="华文中宋" w:hAnsi="Times New Roman Regular" w:cs="Times New Roman Regular" w:hint="default"/>
          <w:b/>
          <w:sz w:val="44"/>
          <w:szCs w:val="44"/>
          <w:lang w:val="en-US"/>
        </w:rPr>
      </w:pPr>
      <w:r>
        <w:rPr>
          <w:rFonts w:ascii="Times New Roman Regular" w:eastAsia="华文中宋" w:hAnsi="Times New Roman Regular" w:cs="Times New Roman Regular" w:hint="default"/>
          <w:b/>
          <w:sz w:val="44"/>
          <w:szCs w:val="44"/>
        </w:rPr>
        <w:t>部门</w:t>
      </w:r>
      <w:r>
        <w:rPr>
          <w:rFonts w:ascii="Times New Roman Regular" w:eastAsia="华文中宋" w:hAnsi="Times New Roman Regular" w:cs="Times New Roman Regular" w:hint="default"/>
          <w:b/>
          <w:sz w:val="44"/>
          <w:szCs w:val="44"/>
        </w:rPr>
        <w:t>预算</w:t>
      </w: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both"/>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方正小标宋_GBK" w:hAnsi="Times New Roman Regular" w:cs="Times New Roman Regular" w:hint="default"/>
          <w:b w:val="0"/>
          <w:bCs w:val="0"/>
          <w:sz w:val="44"/>
          <w:szCs w:val="44"/>
        </w:rPr>
      </w:pPr>
    </w:p>
    <w:p>
      <w:pPr>
        <w:jc w:val="center"/>
        <w:rPr>
          <w:rFonts w:ascii="Times New Roman Regular" w:eastAsia="黑体" w:hAnsi="Times New Roman Regular" w:cs="Times New Roman Regular" w:hint="default"/>
          <w:b w:val="0"/>
          <w:bCs w:val="0"/>
          <w:sz w:val="44"/>
          <w:szCs w:val="44"/>
          <w:lang w:val="en-US" w:eastAsia="zh-CN"/>
        </w:rPr>
        <w:sectPr>
          <w:pgSz w:w="11906" w:h="16838"/>
          <w:pgMar w:top="1440" w:right="1800" w:bottom="1440" w:left="1800" w:header="851" w:footer="992" w:gutter="0"/>
          <w:cols w:num="1" w:space="425"/>
          <w:docGrid w:type="lines" w:linePitch="312" w:charSpace="0"/>
        </w:sectPr>
      </w:pPr>
      <w:r>
        <w:rPr>
          <w:rFonts w:ascii="Times New Roman Regular" w:eastAsia="黑体" w:hAnsi="Times New Roman Regular" w:cs="Times New Roman Regular" w:hint="default"/>
          <w:b w:val="0"/>
          <w:bCs w:val="0"/>
          <w:sz w:val="44"/>
          <w:szCs w:val="44"/>
          <w:lang w:val="en-US" w:eastAsia="zh-CN"/>
        </w:rPr>
        <w:t>2025年2月</w:t>
      </w:r>
    </w:p>
    <w:p>
      <w:pPr>
        <w:jc w:val="center"/>
        <w:rPr>
          <w:rFonts w:ascii="Times New Roman Regular" w:eastAsia="黑体" w:hAnsi="Times New Roman Regular" w:cs="Times New Roman Regular" w:hint="default"/>
          <w:b w:val="0"/>
          <w:bCs w:val="0"/>
          <w:sz w:val="44"/>
          <w:szCs w:val="44"/>
          <w:lang w:val="en-US"/>
        </w:rPr>
      </w:pPr>
      <w:r>
        <w:rPr>
          <w:rFonts w:ascii="Times New Roman Regular" w:eastAsia="黑体" w:hAnsi="Times New Roman Regular" w:cs="Times New Roman Regular" w:hint="default"/>
          <w:bCs/>
          <w:color w:val="000000"/>
          <w:sz w:val="44"/>
          <w:szCs w:val="44"/>
          <w:lang w:val="en-US"/>
        </w:rPr>
        <w:t>目</w:t>
      </w:r>
      <w:r>
        <w:rPr>
          <w:rFonts w:ascii="Times New Roman Regular" w:eastAsia="黑体" w:hAnsi="Times New Roman Regular" w:cs="Times New Roman Regular" w:hint="default"/>
          <w:bCs/>
          <w:color w:val="000000"/>
          <w:sz w:val="44"/>
          <w:szCs w:val="44"/>
        </w:rPr>
        <w:t xml:space="preserve">  </w:t>
      </w:r>
      <w:r>
        <w:rPr>
          <w:rFonts w:ascii="Times New Roman Regular" w:eastAsia="黑体" w:hAnsi="Times New Roman Regular" w:cs="Times New Roman Regular" w:hint="default"/>
          <w:bCs/>
          <w:color w:val="000000"/>
          <w:sz w:val="44"/>
          <w:szCs w:val="44"/>
          <w:lang w:val="en-US"/>
        </w:rPr>
        <w:t>录</w:t>
      </w:r>
    </w:p>
    <w:p>
      <w:pPr>
        <w:keepNext w:val="0"/>
        <w:keepLines w:val="0"/>
        <w:pageBreakBefore w:val="0"/>
        <w:widowControl w:val="0"/>
        <w:numPr>
          <w:ilvl w:val="0"/>
          <w:numId w:val="1"/>
        </w:numPr>
        <w:kinsoku/>
        <w:wordWrap/>
        <w:overflowPunct/>
        <w:topLinePunct w:val="0"/>
        <w:autoSpaceDE/>
        <w:autoSpaceDN/>
        <w:bidi w:val="0"/>
        <w:adjustRightInd/>
        <w:snapToGrid/>
        <w:spacing w:before="312" w:beforeLines="100"/>
        <w:ind w:left="630" w:leftChars="0" w:firstLineChars="0"/>
        <w:jc w:val="both"/>
        <w:textAlignment w:val="auto"/>
        <w:rPr>
          <w:rFonts w:ascii="Times New Roman Regular" w:eastAsia="仿宋_GB2312" w:hAnsi="Times New Roman Regular" w:cs="Times New Roman Regular" w:hint="default"/>
          <w:b/>
          <w:bCs/>
          <w:sz w:val="32"/>
          <w:szCs w:val="32"/>
          <w:lang w:val="en-US"/>
        </w:rPr>
      </w:pPr>
      <w:r>
        <w:rPr>
          <w:rFonts w:ascii="Times New Roman Regular" w:eastAsia="仿宋_GB2312" w:hAnsi="Times New Roman Regular" w:cs="Times New Roman Regular" w:hint="default"/>
          <w:b/>
          <w:bCs/>
          <w:sz w:val="32"/>
          <w:szCs w:val="32"/>
        </w:rPr>
        <w:t>部门</w:t>
      </w:r>
      <w:r>
        <w:rPr>
          <w:rFonts w:ascii="Times New Roman Regular" w:eastAsia="仿宋_GB2312" w:hAnsi="Times New Roman Regular" w:cs="Times New Roman Regular" w:hint="default"/>
          <w:b/>
          <w:bCs/>
          <w:sz w:val="32"/>
          <w:szCs w:val="32"/>
          <w:lang w:val="en-US"/>
        </w:rPr>
        <w:t>概况</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w:t>
      </w:r>
      <w:r>
        <w:rPr>
          <w:rFonts w:ascii="Times New Roman Regular" w:eastAsia="仿宋_GB2312" w:hAnsi="Times New Roman Regular" w:cs="Times New Roman Regular" w:hint="default"/>
          <w:b w:val="0"/>
          <w:bCs w:val="0"/>
          <w:sz w:val="32"/>
          <w:szCs w:val="32"/>
          <w:lang w:val="en-US"/>
        </w:rPr>
        <w:t>主要职责</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2.部门</w:t>
      </w:r>
      <w:r>
        <w:rPr>
          <w:rFonts w:ascii="Times New Roman Regular" w:eastAsia="仿宋_GB2312" w:hAnsi="Times New Roman Regular" w:cs="Times New Roman Regular" w:hint="default"/>
          <w:b w:val="0"/>
          <w:bCs w:val="0"/>
          <w:sz w:val="32"/>
          <w:szCs w:val="32"/>
          <w:lang w:val="en-US"/>
        </w:rPr>
        <w:t>预算构成</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3.2025</w:t>
      </w:r>
      <w:r>
        <w:rPr>
          <w:rFonts w:ascii="Times New Roman Regular" w:eastAsia="仿宋_GB2312" w:hAnsi="Times New Roman Regular" w:cs="Times New Roman Regular" w:hint="default"/>
          <w:b w:val="0"/>
          <w:bCs w:val="0"/>
          <w:sz w:val="32"/>
          <w:szCs w:val="32"/>
          <w:lang w:val="en-US"/>
        </w:rPr>
        <w:t>年度主要工作任务</w:t>
      </w:r>
    </w:p>
    <w:p>
      <w:pPr>
        <w:keepNext w:val="0"/>
        <w:keepLines w:val="0"/>
        <w:pageBreakBefore w:val="0"/>
        <w:widowControl w:val="0"/>
        <w:numPr>
          <w:ilvl w:val="0"/>
          <w:numId w:val="1"/>
        </w:numPr>
        <w:kinsoku/>
        <w:wordWrap/>
        <w:overflowPunct/>
        <w:topLinePunct w:val="0"/>
        <w:autoSpaceDE/>
        <w:autoSpaceDN/>
        <w:bidi w:val="0"/>
        <w:adjustRightInd/>
        <w:snapToGrid/>
        <w:ind w:left="630" w:firstLine="0" w:leftChars="0" w:firstLineChars="0"/>
        <w:jc w:val="both"/>
        <w:textAlignment w:val="auto"/>
        <w:rPr>
          <w:rFonts w:ascii="Times New Roman Regular" w:eastAsia="仿宋_GB2312" w:hAnsi="Times New Roman Regular" w:cs="Times New Roman Regular" w:hint="default"/>
          <w:b/>
          <w:bCs/>
          <w:sz w:val="32"/>
          <w:szCs w:val="32"/>
          <w:lang w:val="en-US"/>
        </w:rPr>
      </w:pPr>
      <w:r>
        <w:rPr>
          <w:rFonts w:ascii="Times New Roman Regular" w:eastAsia="仿宋_GB2312" w:hAnsi="Times New Roman Regular" w:cs="Times New Roman Regular" w:hint="default"/>
          <w:b/>
          <w:bCs/>
          <w:sz w:val="32"/>
          <w:szCs w:val="32"/>
        </w:rPr>
        <w:t>2025</w:t>
      </w:r>
      <w:r>
        <w:rPr>
          <w:rFonts w:ascii="Times New Roman Regular" w:eastAsia="仿宋_GB2312" w:hAnsi="Times New Roman Regular" w:cs="Times New Roman Regular" w:hint="default"/>
          <w:b/>
          <w:bCs/>
          <w:sz w:val="32"/>
          <w:szCs w:val="32"/>
          <w:lang w:val="en-US"/>
        </w:rPr>
        <w:t>年</w:t>
      </w:r>
      <w:r>
        <w:rPr>
          <w:rFonts w:ascii="Times New Roman Regular" w:eastAsia="仿宋_GB2312" w:hAnsi="Times New Roman Regular" w:cs="Times New Roman Regular" w:hint="default"/>
          <w:b/>
          <w:bCs/>
          <w:sz w:val="32"/>
          <w:szCs w:val="32"/>
        </w:rPr>
        <w:t>部门</w:t>
      </w:r>
      <w:r>
        <w:rPr>
          <w:rFonts w:ascii="Times New Roman Regular" w:eastAsia="仿宋_GB2312" w:hAnsi="Times New Roman Regular" w:cs="Times New Roman Regular" w:hint="default"/>
          <w:b/>
          <w:bCs/>
          <w:sz w:val="32"/>
          <w:szCs w:val="32"/>
          <w:lang w:val="en-US"/>
        </w:rPr>
        <w:t>预算表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1.铜陵市铜官区民政局2025</w:t>
      </w:r>
      <w:r>
        <w:rPr>
          <w:rFonts w:ascii="Times New Roman Regular" w:eastAsia="仿宋_GB2312" w:hAnsi="Times New Roman Regular" w:cs="Times New Roman Regular" w:hint="default"/>
          <w:b w:val="0"/>
          <w:bCs w:val="0"/>
          <w:sz w:val="32"/>
          <w:szCs w:val="32"/>
          <w:lang w:val="en-US"/>
        </w:rPr>
        <w:t>年收支总表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2.铜陵市铜官区民政局2025</w:t>
      </w:r>
      <w:r>
        <w:rPr>
          <w:rFonts w:ascii="Times New Roman Regular" w:eastAsia="仿宋_GB2312" w:hAnsi="Times New Roman Regular" w:cs="Times New Roman Regular" w:hint="default"/>
          <w:b w:val="0"/>
          <w:bCs w:val="0"/>
          <w:sz w:val="32"/>
          <w:szCs w:val="32"/>
          <w:lang w:val="en-US"/>
        </w:rPr>
        <w:t>年收入总表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3.铜陵市铜官区民政局2025</w:t>
      </w:r>
      <w:r>
        <w:rPr>
          <w:rFonts w:ascii="Times New Roman Regular" w:eastAsia="仿宋_GB2312" w:hAnsi="Times New Roman Regular" w:cs="Times New Roman Regular" w:hint="default"/>
          <w:b w:val="0"/>
          <w:bCs w:val="0"/>
          <w:sz w:val="32"/>
          <w:szCs w:val="32"/>
          <w:lang w:val="en-US"/>
        </w:rPr>
        <w:t>年支出总表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4.铜陵市铜官区民政局2025</w:t>
      </w:r>
      <w:r>
        <w:rPr>
          <w:rFonts w:ascii="Times New Roman Regular" w:eastAsia="仿宋_GB2312" w:hAnsi="Times New Roman Regular" w:cs="Times New Roman Regular" w:hint="default"/>
          <w:b w:val="0"/>
          <w:bCs w:val="0"/>
          <w:sz w:val="32"/>
          <w:szCs w:val="32"/>
          <w:lang w:val="en-US"/>
        </w:rPr>
        <w:t>年财政拨款收支总表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5.铜陵市铜官区民政局2025</w:t>
      </w:r>
      <w:r>
        <w:rPr>
          <w:rFonts w:ascii="Times New Roman Regular" w:eastAsia="仿宋_GB2312" w:hAnsi="Times New Roman Regular" w:cs="Times New Roman Regular" w:hint="default"/>
          <w:b w:val="0"/>
          <w:bCs w:val="0"/>
          <w:sz w:val="32"/>
          <w:szCs w:val="32"/>
          <w:lang w:val="en-US"/>
        </w:rPr>
        <w:t>年一般公共预算支出表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6.铜陵市铜官区民政局2025</w:t>
      </w:r>
      <w:r>
        <w:rPr>
          <w:rFonts w:ascii="Times New Roman Regular" w:eastAsia="仿宋_GB2312" w:hAnsi="Times New Roman Regular" w:cs="Times New Roman Regular" w:hint="default"/>
          <w:b w:val="0"/>
          <w:bCs w:val="0"/>
          <w:sz w:val="32"/>
          <w:szCs w:val="32"/>
          <w:lang w:val="en-US"/>
        </w:rPr>
        <w:t>年一般公共预算基本支出表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7.铜陵市铜官区民政局2025</w:t>
      </w:r>
      <w:r>
        <w:rPr>
          <w:rFonts w:ascii="Times New Roman Regular" w:eastAsia="仿宋_GB2312" w:hAnsi="Times New Roman Regular" w:cs="Times New Roman Regular" w:hint="default"/>
          <w:b w:val="0"/>
          <w:bCs w:val="0"/>
          <w:sz w:val="32"/>
          <w:szCs w:val="32"/>
          <w:lang w:val="en-US"/>
        </w:rPr>
        <w:t>年政府性基金预算支出表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8.铜陵市铜官区民政局2025</w:t>
      </w:r>
      <w:r>
        <w:rPr>
          <w:rFonts w:ascii="Times New Roman Regular" w:eastAsia="仿宋_GB2312" w:hAnsi="Times New Roman Regular" w:cs="Times New Roman Regular" w:hint="default"/>
          <w:b w:val="0"/>
          <w:bCs w:val="0"/>
          <w:sz w:val="32"/>
          <w:szCs w:val="32"/>
          <w:lang w:val="en-US"/>
        </w:rPr>
        <w:t>年国有资本经营预算支出表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9.铜陵市铜官区民政局2025</w:t>
      </w:r>
      <w:r>
        <w:rPr>
          <w:rFonts w:ascii="Times New Roman Regular" w:eastAsia="仿宋_GB2312" w:hAnsi="Times New Roman Regular" w:cs="Times New Roman Regular" w:hint="default"/>
          <w:b w:val="0"/>
          <w:bCs w:val="0"/>
          <w:sz w:val="32"/>
          <w:szCs w:val="32"/>
          <w:lang w:val="en-US"/>
        </w:rPr>
        <w:t>年项目支出表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10.铜陵市铜官区民政局2025</w:t>
      </w:r>
      <w:r>
        <w:rPr>
          <w:rFonts w:ascii="Times New Roman Regular" w:eastAsia="仿宋_GB2312" w:hAnsi="Times New Roman Regular" w:cs="Times New Roman Regular" w:hint="default"/>
          <w:b w:val="0"/>
          <w:bCs w:val="0"/>
          <w:sz w:val="32"/>
          <w:szCs w:val="32"/>
          <w:lang w:val="en-US"/>
        </w:rPr>
        <w:t>年政府采购支出表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11.铜陵市铜官区民政局2025</w:t>
      </w:r>
      <w:r>
        <w:rPr>
          <w:rFonts w:ascii="Times New Roman Regular" w:eastAsia="仿宋_GB2312" w:hAnsi="Times New Roman Regular" w:cs="Times New Roman Regular" w:hint="default"/>
          <w:b w:val="0"/>
          <w:bCs w:val="0"/>
          <w:sz w:val="32"/>
          <w:szCs w:val="32"/>
          <w:lang w:val="en-US"/>
        </w:rPr>
        <w:t>年政府购买服务支出表</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eastAsia"/>
          <w:b w:val="0"/>
          <w:bCs w:val="0"/>
          <w:sz w:val="32"/>
          <w:szCs w:val="32"/>
          <w:lang w:val="en-US" w:eastAsia="zh-CN"/>
        </w:rPr>
        <w:t>12.</w:t>
      </w: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w:t>
      </w:r>
      <w:r>
        <w:rPr>
          <w:rFonts w:ascii="Times New Roman Regular" w:eastAsia="仿宋_GB2312" w:hAnsi="Times New Roman Regular" w:cs="Times New Roman Regular" w:hint="eastAsia"/>
          <w:b w:val="0"/>
          <w:bCs w:val="0"/>
          <w:sz w:val="32"/>
          <w:szCs w:val="32"/>
          <w:lang w:val="en-US" w:eastAsia="zh-CN"/>
        </w:rPr>
        <w:t>通用资产配置支出表</w:t>
      </w:r>
    </w:p>
    <w:p>
      <w:pPr>
        <w:keepNext w:val="0"/>
        <w:keepLines w:val="0"/>
        <w:pageBreakBefore w:val="0"/>
        <w:widowControl w:val="0"/>
        <w:numPr>
          <w:ilvl w:val="0"/>
          <w:numId w:val="1"/>
        </w:numPr>
        <w:kinsoku/>
        <w:wordWrap/>
        <w:overflowPunct/>
        <w:topLinePunct w:val="0"/>
        <w:autoSpaceDE/>
        <w:autoSpaceDN/>
        <w:bidi w:val="0"/>
        <w:adjustRightInd/>
        <w:snapToGrid/>
        <w:ind w:left="630" w:firstLine="0" w:leftChars="0" w:firstLineChars="0"/>
        <w:jc w:val="both"/>
        <w:textAlignment w:val="auto"/>
        <w:rPr>
          <w:rFonts w:ascii="Times New Roman Regular" w:eastAsia="仿宋_GB2312" w:hAnsi="Times New Roman Regular" w:cs="Times New Roman Regular" w:hint="default"/>
          <w:b/>
          <w:bCs/>
          <w:sz w:val="32"/>
          <w:szCs w:val="32"/>
          <w:lang w:val="en-US"/>
        </w:rPr>
      </w:pPr>
      <w:r>
        <w:rPr>
          <w:rFonts w:ascii="Times New Roman Regular" w:eastAsia="仿宋_GB2312" w:hAnsi="Times New Roman Regular" w:cs="Times New Roman Regular" w:hint="default"/>
          <w:b/>
          <w:bCs/>
          <w:sz w:val="32"/>
          <w:szCs w:val="32"/>
        </w:rPr>
        <w:t>2025</w:t>
      </w:r>
      <w:r>
        <w:rPr>
          <w:rFonts w:ascii="Times New Roman Regular" w:eastAsia="仿宋_GB2312" w:hAnsi="Times New Roman Regular" w:cs="Times New Roman Regular" w:hint="default"/>
          <w:b/>
          <w:bCs/>
          <w:sz w:val="32"/>
          <w:szCs w:val="32"/>
          <w:lang w:val="en-US"/>
        </w:rPr>
        <w:t>年</w:t>
      </w:r>
      <w:r>
        <w:rPr>
          <w:rFonts w:ascii="Times New Roman Regular" w:eastAsia="仿宋_GB2312" w:hAnsi="Times New Roman Regular" w:cs="Times New Roman Regular" w:hint="default"/>
          <w:b/>
          <w:bCs/>
          <w:sz w:val="32"/>
          <w:szCs w:val="32"/>
        </w:rPr>
        <w:t>部门</w:t>
      </w:r>
      <w:r>
        <w:rPr>
          <w:rFonts w:ascii="Times New Roman Regular" w:eastAsia="仿宋_GB2312" w:hAnsi="Times New Roman Regular" w:cs="Times New Roman Regular" w:hint="default"/>
          <w:b/>
          <w:bCs/>
          <w:sz w:val="32"/>
          <w:szCs w:val="32"/>
          <w:lang w:val="en-US"/>
        </w:rPr>
        <w:t>预算情况说明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2.</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年收入总表的说明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3.</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年支出总表的说明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4.</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年财政拨款收支总表的说明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5.</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年一般公共预算支出表的说明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6.</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年一般公共预算基本支出表的说明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7.</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年政府性基金</w:t>
      </w:r>
      <w:r>
        <w:rPr>
          <w:rFonts w:ascii="Times New Roman Regular" w:eastAsia="仿宋_GB2312" w:hAnsi="Times New Roman Regular" w:cs="Times New Roman Regular" w:hint="eastAsia"/>
          <w:b w:val="0"/>
          <w:bCs w:val="0"/>
          <w:sz w:val="32"/>
          <w:szCs w:val="32"/>
          <w:lang w:val="en-US" w:eastAsia="zh-CN"/>
        </w:rPr>
        <w:t>预算</w:t>
      </w:r>
      <w:r>
        <w:rPr>
          <w:rFonts w:ascii="Times New Roman Regular" w:eastAsia="仿宋_GB2312" w:hAnsi="Times New Roman Regular" w:cs="Times New Roman Regular" w:hint="default"/>
          <w:b w:val="0"/>
          <w:bCs w:val="0"/>
          <w:sz w:val="32"/>
          <w:szCs w:val="32"/>
          <w:lang w:val="en-US"/>
        </w:rPr>
        <w:t>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8.</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年国有资本经营预算支出表的说明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9.</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年项目支出表的说明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10.</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年政府采购支出表的说明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11.</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年政府购买服务支出表的说明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1</w:t>
      </w:r>
      <w:r>
        <w:rPr>
          <w:rFonts w:ascii="Times New Roman Regular" w:eastAsia="仿宋_GB2312" w:hAnsi="Times New Roman Regular" w:cs="Times New Roman Regular" w:hint="eastAsia"/>
          <w:b w:val="0"/>
          <w:bCs w:val="0"/>
          <w:sz w:val="32"/>
          <w:szCs w:val="32"/>
          <w:lang w:val="en-US" w:eastAsia="zh-CN"/>
        </w:rPr>
        <w:t>2</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关于</w:t>
      </w:r>
      <w:r>
        <w:rPr>
          <w:rFonts w:ascii="Times New Roman Regular" w:eastAsia="仿宋_GB2312" w:hAnsi="Times New Roman Regular" w:cs="Times New Roman Regular" w:hint="default"/>
          <w:b w:val="0"/>
          <w:bCs w:val="0"/>
          <w:sz w:val="32"/>
          <w:szCs w:val="32"/>
        </w:rPr>
        <w:t>2025</w:t>
      </w:r>
      <w:r>
        <w:rPr>
          <w:rFonts w:ascii="Times New Roman Regular" w:eastAsia="仿宋_GB2312" w:hAnsi="Times New Roman Regular" w:cs="Times New Roman Regular" w:hint="default"/>
          <w:b w:val="0"/>
          <w:bCs w:val="0"/>
          <w:sz w:val="32"/>
          <w:szCs w:val="32"/>
          <w:lang w:val="en-US"/>
        </w:rPr>
        <w:t>年通用资产配置支出表的说明</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val="0"/>
          <w:bCs w:val="0"/>
          <w:sz w:val="32"/>
          <w:szCs w:val="32"/>
          <w:lang w:val="en-US"/>
        </w:rPr>
      </w:pPr>
      <w:r>
        <w:rPr>
          <w:rFonts w:ascii="Times New Roman Regular" w:eastAsia="仿宋_GB2312" w:hAnsi="Times New Roman Regular" w:cs="Times New Roman Regular" w:hint="eastAsia"/>
          <w:b w:val="0"/>
          <w:bCs w:val="0"/>
          <w:sz w:val="32"/>
          <w:szCs w:val="32"/>
          <w:lang w:val="en-US" w:eastAsia="zh-CN"/>
        </w:rPr>
        <w:t>13.</w:t>
      </w:r>
      <w:r>
        <w:rPr>
          <w:rFonts w:ascii="Times New Roman Regular" w:eastAsia="仿宋_GB2312" w:hAnsi="Times New Roman Regular" w:cs="Times New Roman Regular" w:hint="default"/>
          <w:b w:val="0"/>
          <w:bCs w:val="0"/>
          <w:sz w:val="32"/>
          <w:szCs w:val="32"/>
          <w:lang w:val="en-US"/>
        </w:rPr>
        <w:t>其他重要事项情况说明</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jc w:val="both"/>
        <w:textAlignment w:val="auto"/>
        <w:rPr>
          <w:rFonts w:ascii="Times New Roman Regular" w:eastAsia="仿宋_GB2312" w:hAnsi="Times New Roman Regular" w:cs="Times New Roman Regular" w:hint="default"/>
          <w:b/>
          <w:bCs/>
          <w:sz w:val="32"/>
          <w:szCs w:val="32"/>
          <w:lang w:val="en-US"/>
        </w:rPr>
        <w:sectPr>
          <w:pgSz w:w="11906" w:h="16838"/>
          <w:pgMar w:top="1440" w:right="1800" w:bottom="1440" w:left="1800" w:header="851" w:footer="992" w:gutter="0"/>
          <w:cols w:num="1" w:space="425"/>
          <w:docGrid w:type="lines" w:linePitch="312" w:charSpace="0"/>
        </w:sectPr>
      </w:pPr>
      <w:r>
        <w:rPr>
          <w:rFonts w:ascii="Times New Roman Regular" w:eastAsia="仿宋_GB2312" w:hAnsi="Times New Roman Regular" w:cs="Times New Roman Regular" w:hint="default"/>
          <w:b/>
          <w:bCs/>
          <w:sz w:val="32"/>
          <w:szCs w:val="32"/>
          <w:lang w:val="en-US"/>
        </w:rPr>
        <w:t>第四部分</w:t>
      </w:r>
      <w:r>
        <w:rPr>
          <w:rFonts w:ascii="Times New Roman Regular" w:eastAsia="仿宋_GB2312" w:hAnsi="Times New Roman Regular" w:cs="Times New Roman Regular" w:hint="default"/>
          <w:b/>
          <w:bCs/>
          <w:sz w:val="32"/>
          <w:szCs w:val="32"/>
        </w:rPr>
        <w:t xml:space="preserve"> </w:t>
      </w:r>
      <w:r>
        <w:rPr>
          <w:rFonts w:ascii="Times New Roman Regular" w:eastAsia="仿宋_GB2312" w:hAnsi="Times New Roman Regular" w:cs="Times New Roman Regular" w:hint="default"/>
          <w:b/>
          <w:bCs/>
          <w:sz w:val="32"/>
          <w:szCs w:val="32"/>
          <w:lang w:val="en-US"/>
        </w:rPr>
        <w:t>名词解释</w:t>
      </w:r>
    </w:p>
    <w:p>
      <w:pPr>
        <w:keepNext w:val="0"/>
        <w:keepLines w:val="0"/>
        <w:pageBreakBefore w:val="0"/>
        <w:widowControl w:val="0"/>
        <w:numPr>
          <w:ilvl w:val="0"/>
          <w:numId w:val="0"/>
        </w:numPr>
        <w:kinsoku/>
        <w:wordWrap/>
        <w:overflowPunct/>
        <w:topLinePunct w:val="0"/>
        <w:autoSpaceDE/>
        <w:autoSpaceDN/>
        <w:bidi w:val="0"/>
        <w:adjustRightInd/>
        <w:snapToGrid/>
        <w:spacing w:after="312" w:afterLines="100" w:line="360" w:lineRule="auto"/>
        <w:jc w:val="center"/>
        <w:textAlignment w:val="auto"/>
        <w:rPr>
          <w:rFonts w:ascii="Times New Roman Regular" w:eastAsia="黑体" w:hAnsi="Times New Roman Regular" w:cs="Times New Roman Regular" w:hint="default"/>
          <w:bCs/>
          <w:color w:val="000000"/>
          <w:sz w:val="36"/>
          <w:szCs w:val="36"/>
          <w:lang w:val="en-US"/>
        </w:rPr>
      </w:pPr>
      <w:r>
        <w:rPr>
          <w:rFonts w:ascii="Times New Roman Regular" w:eastAsia="黑体" w:hAnsi="Times New Roman Regular" w:cs="Times New Roman Regular" w:hint="default"/>
          <w:bCs/>
          <w:color w:val="000000"/>
          <w:sz w:val="36"/>
          <w:szCs w:val="36"/>
          <w:lang w:val="en-US"/>
        </w:rPr>
        <w:t>第一部分</w:t>
      </w:r>
      <w:r>
        <w:rPr>
          <w:rFonts w:ascii="Times New Roman Regular" w:eastAsia="黑体" w:hAnsi="Times New Roman Regular" w:cs="Times New Roman Regular" w:hint="default"/>
          <w:bCs/>
          <w:color w:val="000000"/>
          <w:sz w:val="36"/>
          <w:szCs w:val="36"/>
        </w:rPr>
        <w:t xml:space="preserve"> 部门</w:t>
      </w:r>
      <w:r>
        <w:rPr>
          <w:rFonts w:ascii="Times New Roman Regular" w:eastAsia="黑体" w:hAnsi="Times New Roman Regular" w:cs="Times New Roman Regular" w:hint="default"/>
          <w:bCs/>
          <w:color w:val="000000"/>
          <w:sz w:val="36"/>
          <w:szCs w:val="36"/>
        </w:rPr>
        <w:t>概况</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一、</w:t>
      </w:r>
      <w:r>
        <w:rPr>
          <w:rFonts w:ascii="Times New Roman Regular" w:eastAsia="黑体" w:hAnsi="Times New Roman Regular" w:cs="Times New Roman Regular" w:hint="default"/>
          <w:b w:val="0"/>
          <w:bCs w:val="0"/>
          <w:sz w:val="32"/>
          <w:szCs w:val="32"/>
          <w:lang w:val="en-US"/>
        </w:rPr>
        <w:t>主要职责</w:t>
      </w:r>
    </w:p>
    <w:p>
      <w:pPr>
        <w:jc w:val="both"/>
      </w:pPr>
      <w:r>
        <w:rPr>
          <w:rFonts w:ascii="Times New Roman" w:eastAsia="仿宋_GB2312" w:hAnsi="Times New Roman"/>
          <w:b w:val="0"/>
          <w:sz w:val="32"/>
        </w:rPr>
        <w:t>　　（一）贯彻执行国家民政事业发展法律法规规章和政策、 规划、标准，起草有关地方性法规规章草案，拟订本辖区有关政策、 规划、标准并组织实施。</w:t>
      </w:r>
    </w:p>
    <w:p>
      <w:pPr>
        <w:jc w:val="both"/>
      </w:pPr>
      <w:r>
        <w:rPr>
          <w:rFonts w:ascii="Times New Roman" w:eastAsia="仿宋_GB2312" w:hAnsi="Times New Roman"/>
          <w:b w:val="0"/>
          <w:sz w:val="32"/>
        </w:rPr>
        <w:t>　　（二）贯彻执行本辖区社会团体、基金会、社会服务机构等社会组织登记和监督管理办法，依法对社会组织进行登记管理和执法监督。</w:t>
      </w:r>
    </w:p>
    <w:p>
      <w:pPr>
        <w:jc w:val="both"/>
      </w:pPr>
      <w:r>
        <w:rPr>
          <w:rFonts w:ascii="Times New Roman" w:eastAsia="仿宋_GB2312" w:hAnsi="Times New Roman"/>
          <w:b w:val="0"/>
          <w:sz w:val="32"/>
        </w:rPr>
        <w:t>　　（三）贯彻执行社会救助政策、标准，统筹社会救助体系建设，负责本辖区城乡居民最低生活保障、特困人员救助供养、临时 救助、生活无着流浪乞讨人员救助工作。</w:t>
      </w:r>
    </w:p>
    <w:p>
      <w:pPr>
        <w:jc w:val="both"/>
      </w:pPr>
      <w:r>
        <w:rPr>
          <w:rFonts w:ascii="Times New Roman" w:eastAsia="仿宋_GB2312" w:hAnsi="Times New Roman"/>
          <w:b w:val="0"/>
          <w:sz w:val="32"/>
        </w:rPr>
        <w:t>　　（四）贯彻执行本辖区行政区划、行政区域界线管理和地名管理有关政策、标准，按照管理权限牵头负责行政区划设立、命名、变更和政府驻地迁移等审核报批工作。按规定承担本辖区行政区域界线的勘定和管理工作，负责监督管理地名工作，负责区内重要和跨区界的自然地理实体命名、更名有关工作。</w:t>
      </w:r>
    </w:p>
    <w:p>
      <w:pPr>
        <w:jc w:val="both"/>
      </w:pPr>
      <w:r>
        <w:rPr>
          <w:rFonts w:ascii="Times New Roman" w:eastAsia="仿宋_GB2312" w:hAnsi="Times New Roman"/>
          <w:b w:val="0"/>
          <w:sz w:val="32"/>
        </w:rPr>
        <w:t>　　（五）贯彻执行婚姻管理政策，推进婚俗改革。</w:t>
      </w:r>
    </w:p>
    <w:p>
      <w:pPr>
        <w:jc w:val="both"/>
      </w:pPr>
      <w:r>
        <w:rPr>
          <w:rFonts w:ascii="Times New Roman" w:eastAsia="仿宋_GB2312" w:hAnsi="Times New Roman"/>
          <w:b w:val="0"/>
          <w:sz w:val="32"/>
        </w:rPr>
        <w:t>　　（六）贯彻执行殡葬管理政策、服务规范，推进殡葬改革。</w:t>
      </w:r>
    </w:p>
    <w:p>
      <w:pPr>
        <w:jc w:val="both"/>
      </w:pPr>
      <w:r>
        <w:rPr>
          <w:rFonts w:ascii="Times New Roman" w:eastAsia="仿宋_GB2312" w:hAnsi="Times New Roman"/>
          <w:b w:val="0"/>
          <w:sz w:val="32"/>
        </w:rPr>
        <w:t>　　（七）贯彻执行残疾人权益保护政策，统筹推进残疾人福利制度建设和康复辅助器具产业发展。</w:t>
      </w:r>
    </w:p>
    <w:p>
      <w:pPr>
        <w:jc w:val="both"/>
      </w:pPr>
      <w:r>
        <w:rPr>
          <w:rFonts w:ascii="Times New Roman" w:eastAsia="仿宋_GB2312" w:hAnsi="Times New Roman"/>
          <w:b w:val="0"/>
          <w:sz w:val="32"/>
        </w:rPr>
        <w:t>　　（八）负责老龄工作的具体实施，协调落实积极应对</w:t>
      </w:r>
    </w:p>
    <w:p>
      <w:pPr>
        <w:jc w:val="both"/>
      </w:pPr>
      <w:r>
        <w:rPr>
          <w:rFonts w:ascii="Times New Roman" w:eastAsia="仿宋_GB2312" w:hAnsi="Times New Roman"/>
          <w:b w:val="0"/>
          <w:sz w:val="32"/>
        </w:rPr>
        <w:t>　　人口老龄化政策措施。指导协调老年人权益保障工作。拟定老年人社会参与政策并组织实施。</w:t>
      </w:r>
    </w:p>
    <w:p>
      <w:pPr>
        <w:jc w:val="both"/>
      </w:pPr>
      <w:r>
        <w:rPr>
          <w:rFonts w:ascii="Times New Roman" w:eastAsia="仿宋_GB2312" w:hAnsi="Times New Roman"/>
          <w:b w:val="0"/>
          <w:sz w:val="32"/>
        </w:rPr>
        <w:t>　　（九）协调落实促进养老事业发展的政策措施。统筹推进、 督促指导、监督管理养老服务工作，组织实施养老服务体系建设规划、政策、标准，承担老年人福利和特殊困难老年人救助工作。</w:t>
      </w:r>
    </w:p>
    <w:p>
      <w:pPr>
        <w:jc w:val="both"/>
      </w:pPr>
      <w:r>
        <w:rPr>
          <w:rFonts w:ascii="Times New Roman" w:eastAsia="仿宋_GB2312" w:hAnsi="Times New Roman"/>
          <w:b w:val="0"/>
          <w:sz w:val="32"/>
        </w:rPr>
        <w:t>　　（十）贯彻执行儿童福利、孤弃儿童保障、儿童收养、儿 童救助保护政策和标准，健全农村留守儿童关爱服务体系和困 境儿童保障制度。</w:t>
      </w:r>
    </w:p>
    <w:p>
      <w:pPr>
        <w:jc w:val="both"/>
      </w:pPr>
      <w:r>
        <w:rPr>
          <w:rFonts w:ascii="Times New Roman" w:eastAsia="仿宋_GB2312" w:hAnsi="Times New Roman"/>
          <w:b w:val="0"/>
          <w:sz w:val="32"/>
        </w:rPr>
        <w:t>　　（十一）贯彻执行促进慈善事业发展政策，指导社会捐助 工作。</w:t>
      </w:r>
    </w:p>
    <w:p>
      <w:pPr>
        <w:jc w:val="both"/>
      </w:pPr>
      <w:r>
        <w:rPr>
          <w:rFonts w:ascii="Times New Roman" w:eastAsia="仿宋_GB2312" w:hAnsi="Times New Roman"/>
          <w:b w:val="0"/>
          <w:sz w:val="32"/>
        </w:rPr>
        <w:t>　　（十二）指导本辖区养老服务机构、老年人福利机构、特困人员救助供养机构管理、安全管理等工作。督促殡葬服务机构、婚姻登记处，做好人员聚集、公共场所安全监管。</w:t>
      </w:r>
    </w:p>
    <w:p>
      <w:pPr>
        <w:jc w:val="both"/>
      </w:pPr>
      <w:r>
        <w:rPr>
          <w:rFonts w:ascii="Times New Roman" w:eastAsia="仿宋_GB2312" w:hAnsi="Times New Roman"/>
          <w:b w:val="0"/>
          <w:sz w:val="32"/>
        </w:rPr>
        <w:t>　　（十三）完成区委、区政府交办的其他任务。</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二、</w:t>
      </w:r>
      <w:r>
        <w:rPr>
          <w:rFonts w:ascii="Times New Roman Regular" w:eastAsia="黑体" w:hAnsi="Times New Roman Regular" w:cs="Times New Roman Regular" w:hint="default"/>
          <w:b w:val="0"/>
          <w:bCs w:val="0"/>
          <w:sz w:val="32"/>
          <w:szCs w:val="32"/>
        </w:rPr>
        <w:t>部门</w:t>
      </w:r>
      <w:r>
        <w:rPr>
          <w:rFonts w:ascii="Times New Roman Regular" w:eastAsia="黑体" w:hAnsi="Times New Roman Regular" w:cs="Times New Roman Regular" w:hint="default"/>
          <w:b w:val="0"/>
          <w:bCs w:val="0"/>
          <w:sz w:val="32"/>
          <w:szCs w:val="32"/>
          <w:lang w:val="en-US"/>
        </w:rPr>
        <w:t>预算构成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lang w:val="en-US"/>
        </w:rPr>
        <w:t>从预算单位构成看</w:t>
      </w: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年度</w:t>
      </w:r>
      <w:r>
        <w:rPr>
          <w:rFonts w:ascii="Times New Roman Regular" w:eastAsia="仿宋_GB2312" w:hAnsi="Times New Roman Regular" w:cs="Times New Roman Regular" w:hint="default"/>
          <w:b w:val="0"/>
          <w:bCs w:val="0"/>
          <w:sz w:val="32"/>
          <w:szCs w:val="32"/>
        </w:rPr>
        <w:t>部门</w:t>
      </w:r>
      <w:r>
        <w:rPr>
          <w:rFonts w:ascii="Times New Roman Regular" w:eastAsia="仿宋_GB2312" w:hAnsi="Times New Roman Regular" w:cs="Times New Roman Regular" w:hint="default"/>
          <w:b w:val="0"/>
          <w:bCs w:val="0"/>
          <w:sz w:val="32"/>
          <w:szCs w:val="32"/>
          <w:lang w:val="en-US"/>
        </w:rPr>
        <w:t>预算</w:t>
      </w:r>
      <w:r>
        <w:rPr>
          <w:rFonts w:ascii="Times New Roman Regular" w:eastAsia="仿宋_GB2312" w:hAnsi="Times New Roman Regular" w:cs="Times New Roman Regular" w:hint="default"/>
          <w:b w:val="0"/>
          <w:bCs w:val="0"/>
          <w:sz w:val="32"/>
          <w:szCs w:val="32"/>
        </w:rPr>
        <w:t>包括铜陵市铜官区民政局本级预算和铜陵市铜官区民政局下属单位预算，纳入部门预算编制范围的预算单位共3个，具体情况见下表。</w:t>
      </w:r>
    </w:p>
    <w:tbl>
      <w:tblPr>
        <w:tblStyle w:val="TableGrid"/>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69"/>
        <w:gridCol w:w="2769"/>
        <w:gridCol w:w="2769"/>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序号</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单位名称</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单位性质</w:t>
            </w:r>
          </w:p>
        </w:tc>
      </w:tr>
      <w:tr>
        <w:tblPrEx>
          <w:tblW w:w="0" w:type="auto"/>
          <w:jc w:val="center"/>
          <w:tblLook w:val="04A0"/>
        </w:tblPrEx>
        <w:trPr>
          <w:jc w:val="center"/>
        </w:trPr>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1</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铜陵市铜官区民政局本级</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行政单位</w:t>
            </w:r>
          </w:p>
        </w:tc>
      </w:tr>
      <w:tr>
        <w:tblPrEx>
          <w:tblW w:w="0" w:type="auto"/>
          <w:jc w:val="center"/>
          <w:tblLook w:val="04A0"/>
        </w:tblPrEx>
        <w:trPr>
          <w:jc w:val="center"/>
        </w:trPr>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2</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铜陵市铜官区最低生活保障中心</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事业单位</w:t>
            </w:r>
          </w:p>
        </w:tc>
      </w:tr>
      <w:tr>
        <w:tblPrEx>
          <w:tblW w:w="0" w:type="auto"/>
          <w:jc w:val="center"/>
          <w:tblLook w:val="04A0"/>
        </w:tblPrEx>
        <w:trPr>
          <w:jc w:val="center"/>
        </w:trPr>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3</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铜陵市铜官区老龄办</w:t>
            </w:r>
          </w:p>
        </w:tc>
        <w:tc>
          <w:tcPr>
            <w:tcW w:w="2769" w:type="dxa"/>
            <w:tcMar>
              <w:left w:w="20" w:type="dxa"/>
              <w:right w:w="20" w:type="dxa"/>
            </w:tcMar>
            <w:vAlign w:val="center"/>
          </w:tcPr>
          <w:p>
            <w:pPr>
              <w:spacing w:before="57" w:after="57" w:line="240" w:lineRule="auto"/>
              <w:jc w:val="center"/>
            </w:pPr>
            <w:r>
              <w:rPr>
                <w:rFonts w:ascii="Times New Roman" w:eastAsia="宋体" w:hAnsi="Times New Roman"/>
                <w:b w:val="0"/>
                <w:sz w:val="18"/>
              </w:rPr>
              <w:t>事业单位</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default"/>
          <w:b w:val="0"/>
          <w:bCs w:val="0"/>
          <w:sz w:val="32"/>
          <w:szCs w:val="32"/>
          <w:lang w:val="en-US"/>
        </w:rPr>
        <w:t>三</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年度主要工作任务</w:t>
      </w:r>
    </w:p>
    <w:p>
      <w:pPr>
        <w:jc w:val="both"/>
      </w:pPr>
      <w:r>
        <w:rPr>
          <w:rFonts w:ascii="Times New Roman" w:eastAsia="仿宋_GB2312" w:hAnsi="Times New Roman"/>
          <w:b w:val="0"/>
          <w:sz w:val="32"/>
        </w:rPr>
        <w:t>　　（一）织密扎牢民生兜底保障网。</w:t>
      </w:r>
    </w:p>
    <w:p>
      <w:pPr>
        <w:jc w:val="both"/>
      </w:pPr>
      <w:r>
        <w:rPr>
          <w:rFonts w:ascii="Times New Roman" w:eastAsia="仿宋_GB2312" w:hAnsi="Times New Roman"/>
          <w:b w:val="0"/>
          <w:sz w:val="32"/>
        </w:rPr>
        <w:t xml:space="preserve">　　切实发挥社会救助协调委员会统筹协调作用，确保各项救助政策全面落实。加强低收入人口动态监测，采集低收入人口和突发灾害、患重大疾病支出较大的家庭，重度残疾、孤老家庭等困难家庭信息，建立全区困难群众基础数据库。积极构建“物质+服务”多元化救助体系，提高主动发现、精准救助能力。加强动态管理，继续做好低保、特困人员救助供养、临时救助各项工作，推进全区村（社区）“救急难”互助社工作稳步开展，强化社会救助规范管理。                   </w:t>
      </w:r>
    </w:p>
    <w:p>
      <w:pPr>
        <w:jc w:val="both"/>
      </w:pPr>
      <w:r>
        <w:rPr>
          <w:rFonts w:ascii="Times New Roman" w:eastAsia="仿宋_GB2312" w:hAnsi="Times New Roman"/>
          <w:b w:val="0"/>
          <w:sz w:val="32"/>
        </w:rPr>
        <w:t>　　（二）多层次优化养老服务供给。一是全力提升养老服务质量。持续做好农村留守老年人关爱服务，实施特殊困难独居老年人周探访。加强养老服务综合监管，推进养老机构“双随机、一公开”，防范化解养老服务诈骗和非法集资。开展养老机构消防、食品和医疗安全培训。筹办2025年度养老护理职业技能比赛，激励养老服务从业人员提升职业技能。二是积极构建覆盖城乡、布局合理、共建共享的老年助餐服务网络，健全老年助餐服务机构动态调整机制，巩固运营成效，支持优秀餐饮企业统一制作、统一管理，建立连锁化、标准化的助餐站点，形成规模和品牌效应，持续打造省级老年助餐服务品牌，以点带面，巩固运营成效。三是继续围绕示范性老年友好型社区和敬老文明号创建工作要求，努力打造一批特色鲜明、成效显著，具有引领和带动作用的示范社区，以创建促提升，进一步改善为老服务水平，落实老年优待政策，保障老年人合法权益，切实提升老年人获得感、幸福感、安全感。</w:t>
      </w:r>
    </w:p>
    <w:p>
      <w:pPr>
        <w:jc w:val="both"/>
      </w:pPr>
      <w:r>
        <w:rPr>
          <w:rFonts w:ascii="Times New Roman" w:eastAsia="仿宋_GB2312" w:hAnsi="Times New Roman"/>
          <w:b w:val="0"/>
          <w:sz w:val="32"/>
        </w:rPr>
        <w:t>　　（三）持续推进专项事务管理工作。一是履行未成年人保护工作职责，加强未成年人集中走访评估，加强未成年人的家庭监护和心理疏导，夯实未保工作体系。二是持续开展殡葬领域专项整治和违建墓地整治工作，重点整治活人墓和硬化大墓。加快齐山公墓二期建设进度，推进西湖镇村级公益性公墓改建为乡镇级别公益性公墓，持续基本殡葬惠民政策，扎实做好节日祭祀服务安全保障，大力倡导殡葬文明新风。三是稳步推进铜官区行政区划更新勘界工作和“乡村著名行动”适时出版新版政区图。四是加强婚姻移风易俗宣传，积极发挥优秀婚俗礼仪引领作用。切实做好婚俗改革实验区验收评估准备工作，加强婚俗改革成果转化。</w:t>
      </w:r>
    </w:p>
    <w:p>
      <w:pPr>
        <w:jc w:val="both"/>
        <w:sectPr>
          <w:pgSz w:w="11906" w:h="16838"/>
          <w:pgMar w:top="1440" w:right="1800" w:bottom="1440" w:left="1800" w:header="851" w:footer="992" w:gutter="0"/>
          <w:cols w:num="1" w:space="425"/>
          <w:docGrid w:type="lines" w:linePitch="312" w:charSpace="0"/>
        </w:sectPr>
      </w:pPr>
      <w:r>
        <w:rPr>
          <w:rFonts w:ascii="Times New Roman" w:eastAsia="仿宋_GB2312" w:hAnsi="Times New Roman"/>
          <w:b w:val="0"/>
          <w:sz w:val="32"/>
        </w:rPr>
        <w:t>　　（四）积极推动基层治理创新赋能。完成全区社区规模优化调整后续工作，做好社区换届选举工作。规范社会组织登记管理，加大社会组织培育，守牢社会组织意识形态阵地，更好引导社会组织参与经济发展和社会治理。提高社会组织党组织和群团组织覆盖率，激发社会组织发展活力。壮大社会工作人才队伍，加强社会工作人才培育。</w:t>
      </w:r>
    </w:p>
    <w:p>
      <w:pPr>
        <w:keepNext w:val="0"/>
        <w:keepLines w:val="0"/>
        <w:pageBreakBefore/>
        <w:widowControl w:val="0"/>
        <w:numPr>
          <w:ilvl w:val="0"/>
          <w:numId w:val="0"/>
        </w:numPr>
        <w:kinsoku/>
        <w:wordWrap/>
        <w:overflowPunct/>
        <w:topLinePunct w:val="0"/>
        <w:autoSpaceDE/>
        <w:autoSpaceDN/>
        <w:bidi w:val="0"/>
        <w:adjustRightInd/>
        <w:snapToGrid/>
        <w:jc w:val="center"/>
        <w:textAlignment w:val="auto"/>
        <w:rPr>
          <w:rFonts w:ascii="Times New Roman Regular" w:eastAsia="黑体" w:hAnsi="Times New Roman Regular" w:cs="Times New Roman Regular" w:hint="default"/>
          <w:bCs/>
          <w:color w:val="000000"/>
          <w:sz w:val="36"/>
          <w:szCs w:val="36"/>
          <w:lang w:val="en-US"/>
        </w:rPr>
      </w:pPr>
      <w:r>
        <w:rPr>
          <w:rFonts w:ascii="Times New Roman Regular" w:eastAsia="黑体" w:hAnsi="Times New Roman Regular" w:cs="Times New Roman Regular" w:hint="eastAsia"/>
          <w:bCs/>
          <w:color w:val="000000"/>
          <w:sz w:val="36"/>
          <w:szCs w:val="36"/>
          <w:lang w:val="en-US" w:eastAsia="zh-CN"/>
        </w:rPr>
        <w:t xml:space="preserve">第二部分 </w:t>
      </w:r>
      <w:r>
        <w:rPr>
          <w:rFonts w:ascii="Times New Roman Regular" w:eastAsia="黑体" w:hAnsi="Times New Roman Regular" w:cs="Times New Roman Regular" w:hint="default"/>
          <w:bCs/>
          <w:color w:val="000000"/>
          <w:sz w:val="36"/>
          <w:szCs w:val="36"/>
        </w:rPr>
        <w:t>2025</w:t>
      </w:r>
      <w:r>
        <w:rPr>
          <w:rFonts w:ascii="Times New Roman Regular" w:eastAsia="黑体" w:hAnsi="Times New Roman Regular" w:cs="Times New Roman Regular" w:hint="default"/>
          <w:bCs/>
          <w:color w:val="000000"/>
          <w:sz w:val="36"/>
          <w:szCs w:val="36"/>
          <w:lang w:val="en-US"/>
        </w:rPr>
        <w:t>年</w:t>
      </w:r>
      <w:r>
        <w:rPr>
          <w:rFonts w:ascii="Times New Roman Regular" w:eastAsia="黑体" w:hAnsi="Times New Roman Regular" w:cs="Times New Roman Regular" w:hint="default"/>
          <w:bCs/>
          <w:color w:val="000000"/>
          <w:sz w:val="36"/>
          <w:szCs w:val="36"/>
        </w:rPr>
        <w:t>部门</w:t>
      </w:r>
      <w:r>
        <w:rPr>
          <w:rFonts w:ascii="Times New Roman Regular" w:eastAsia="黑体" w:hAnsi="Times New Roman Regular" w:cs="Times New Roman Regular" w:hint="default"/>
          <w:bCs/>
          <w:color w:val="000000"/>
          <w:sz w:val="36"/>
          <w:szCs w:val="36"/>
        </w:rPr>
        <w:t>预算</w:t>
      </w:r>
      <w:r>
        <w:rPr>
          <w:rFonts w:ascii="Times New Roman Regular" w:eastAsia="黑体" w:hAnsi="Times New Roman Regular" w:cs="Times New Roman Regular" w:hint="default"/>
          <w:bCs/>
          <w:color w:val="000000"/>
          <w:sz w:val="36"/>
          <w:szCs w:val="36"/>
          <w:lang w:val="en-US"/>
        </w:rPr>
        <w:t>表</w:t>
      </w:r>
    </w:p>
    <w:tbl>
      <w:tblPr>
        <w:tblStyle w:val="TableNormal"/>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
      <w:tblGrid>
        <w:gridCol w:w="3222"/>
        <w:gridCol w:w="1133"/>
        <w:gridCol w:w="3242"/>
        <w:gridCol w:w="925"/>
      </w:tblGrid>
      <w:tr>
        <w:tblPrEx>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Ex>
        <w:trPr>
          <w:cantSplit/>
          <w:trHeight w:val="0"/>
          <w:jc w:val="center"/>
        </w:trPr>
        <w:tc>
          <w:tcPr>
            <w:tcW w:w="2555"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444"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bidi="ar"/>
              </w:rPr>
            </w:pPr>
            <w:r>
              <w:rPr>
                <w:rFonts w:ascii="Times New Roman Regular" w:eastAsia="仿宋_GB2312" w:hAnsi="Times New Roman Regular" w:cs="Times New Roman Regular" w:hint="default"/>
                <w:b w:val="0"/>
                <w:bCs w:val="0"/>
                <w:i w:val="0"/>
                <w:iCs w:val="0"/>
                <w:color w:val="000000"/>
                <w:kern w:val="0"/>
                <w:sz w:val="20"/>
                <w:szCs w:val="20"/>
                <w:u w:val="none"/>
                <w:lang w:eastAsia="zh-CN" w:bidi="ar"/>
              </w:rPr>
              <w:t>部门</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公开表</w:t>
            </w:r>
            <w:r>
              <w:rPr>
                <w:rFonts w:ascii="Times New Roman Regular" w:eastAsia="仿宋_GB2312" w:hAnsi="Times New Roman Regular" w:cs="Times New Roman Regular" w:hint="default"/>
                <w:b w:val="0"/>
                <w:bCs w:val="0"/>
                <w:i w:val="0"/>
                <w:iCs w:val="0"/>
                <w:color w:val="000000"/>
                <w:kern w:val="0"/>
                <w:sz w:val="20"/>
                <w:szCs w:val="20"/>
                <w:u w:val="none"/>
                <w:lang w:bidi="ar"/>
              </w:rPr>
              <w:t>1</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5000" w:type="pct"/>
            <w:gridSpan w:val="4"/>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bidi="ar"/>
              </w:rPr>
            </w:pPr>
            <w:r>
              <w:rPr>
                <w:rFonts w:ascii="Times New Roman Regular" w:eastAsia="华文中宋" w:hAnsi="Times New Roman Regular" w:cs="Times New Roman Regular" w:hint="default"/>
                <w:b/>
                <w:bCs/>
                <w:kern w:val="0"/>
                <w:sz w:val="32"/>
                <w:szCs w:val="32"/>
                <w:lang w:eastAsia="zh-CN"/>
              </w:rPr>
              <w:t>铜陵市铜官区民政局</w:t>
            </w:r>
            <w:r>
              <w:rPr>
                <w:rFonts w:ascii="Times New Roman Regular" w:eastAsia="黑体" w:hAnsi="Times New Roman Regular" w:cs="Times New Roman Regular" w:hint="default"/>
                <w:b/>
                <w:bCs/>
                <w:kern w:val="0"/>
                <w:sz w:val="32"/>
                <w:szCs w:val="32"/>
                <w:lang w:eastAsia="zh-CN"/>
              </w:rPr>
              <w:t>2025</w:t>
            </w:r>
            <w:r>
              <w:rPr>
                <w:rFonts w:ascii="Times New Roman Regular" w:eastAsia="华文中宋" w:hAnsi="Times New Roman Regular" w:cs="Times New Roman Regular" w:hint="default"/>
                <w:b/>
                <w:bCs/>
                <w:kern w:val="0"/>
                <w:sz w:val="32"/>
                <w:szCs w:val="32"/>
                <w:lang w:val="en-US"/>
              </w:rPr>
              <w:t>年收支总</w:t>
            </w:r>
            <w:r>
              <w:rPr>
                <w:rFonts w:ascii="Times New Roman Regular" w:eastAsia="华文中宋" w:hAnsi="Times New Roman Regular" w:cs="Times New Roman Regular" w:hint="default"/>
                <w:b/>
                <w:bCs/>
                <w:kern w:val="0"/>
                <w:sz w:val="32"/>
                <w:szCs w:val="32"/>
              </w:rPr>
              <w:t>表</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2555"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444"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25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收</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入</w:t>
            </w:r>
          </w:p>
        </w:tc>
        <w:tc>
          <w:tcPr>
            <w:tcW w:w="24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          出</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收</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入</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项</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目</w:t>
            </w:r>
          </w:p>
        </w:tc>
        <w:tc>
          <w:tcPr>
            <w:tcW w:w="664"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预算数</w:t>
            </w:r>
          </w:p>
        </w:tc>
        <w:tc>
          <w:tcPr>
            <w:tcW w:w="1902"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支出功能分类科目</w:t>
            </w:r>
          </w:p>
        </w:tc>
        <w:tc>
          <w:tcPr>
            <w:tcW w:w="542"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预算数</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一、一般公共预算拨款收入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3,298.34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一、一般公共服务支出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12.74</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i w:val="0"/>
                <w:iCs w:val="0"/>
                <w:color w:val="000000"/>
                <w:sz w:val="20"/>
                <w:szCs w:val="20"/>
                <w:u w:val="none"/>
                <w:lang w:val="en-US"/>
              </w:rPr>
            </w:pPr>
            <w:r>
              <w:rPr>
                <w:rFonts w:ascii="宋体" w:eastAsia="宋体" w:hAnsi="宋体" w:cs="宋体" w:hint="eastAsia"/>
                <w:i w:val="0"/>
                <w:iCs w:val="0"/>
                <w:color w:val="000000"/>
                <w:sz w:val="20"/>
                <w:szCs w:val="20"/>
                <w:u w:val="none"/>
                <w:lang w:val="en-US"/>
              </w:rPr>
              <w:t>其中</w:t>
            </w:r>
            <w:r>
              <w:rPr>
                <w:rFonts w:ascii="宋体" w:eastAsia="宋体" w:hAnsi="宋体" w:cs="宋体" w:hint="eastAsia"/>
                <w:i w:val="0"/>
                <w:iCs w:val="0"/>
                <w:color w:val="000000"/>
                <w:sz w:val="20"/>
                <w:szCs w:val="20"/>
                <w:u w:val="none"/>
              </w:rPr>
              <w:t>：</w:t>
            </w:r>
            <w:r>
              <w:rPr>
                <w:rFonts w:ascii="宋体" w:eastAsia="宋体" w:hAnsi="宋体" w:cs="宋体" w:hint="eastAsia"/>
                <w:i w:val="0"/>
                <w:iCs w:val="0"/>
                <w:color w:val="000000"/>
                <w:sz w:val="20"/>
                <w:szCs w:val="20"/>
                <w:u w:val="none"/>
                <w:lang w:val="en-US" w:eastAsia="zh-CN"/>
              </w:rPr>
              <w:t>上级</w:t>
            </w:r>
            <w:r>
              <w:rPr>
                <w:rFonts w:ascii="宋体" w:eastAsia="宋体" w:hAnsi="宋体" w:cs="宋体" w:hint="eastAsia"/>
                <w:i w:val="0"/>
                <w:iCs w:val="0"/>
                <w:color w:val="000000"/>
                <w:sz w:val="20"/>
                <w:szCs w:val="20"/>
                <w:u w:val="none"/>
                <w:lang w:val="en-US"/>
              </w:rPr>
              <w:t>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二、外交支出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三、国防支出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二、政府性基金预算拨款收入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四、公共安全支出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sz w:val="20"/>
                <w:szCs w:val="20"/>
                <w:u w:val="none"/>
                <w:lang w:val="en-US"/>
              </w:rPr>
              <w:t>其中</w:t>
            </w:r>
            <w:r>
              <w:rPr>
                <w:rFonts w:ascii="宋体" w:eastAsia="宋体" w:hAnsi="宋体" w:cs="宋体" w:hint="eastAsia"/>
                <w:i w:val="0"/>
                <w:iCs w:val="0"/>
                <w:color w:val="000000"/>
                <w:sz w:val="20"/>
                <w:szCs w:val="20"/>
                <w:u w:val="none"/>
              </w:rPr>
              <w:t>：</w:t>
            </w:r>
            <w:r>
              <w:rPr>
                <w:rFonts w:ascii="宋体" w:eastAsia="宋体" w:hAnsi="宋体" w:cs="宋体" w:hint="eastAsia"/>
                <w:i w:val="0"/>
                <w:iCs w:val="0"/>
                <w:color w:val="000000"/>
                <w:sz w:val="20"/>
                <w:szCs w:val="20"/>
                <w:u w:val="none"/>
                <w:lang w:val="en-US" w:eastAsia="zh-CN"/>
              </w:rPr>
              <w:t>上级</w:t>
            </w:r>
            <w:r>
              <w:rPr>
                <w:rFonts w:ascii="宋体" w:eastAsia="宋体" w:hAnsi="宋体" w:cs="宋体" w:hint="eastAsia"/>
                <w:i w:val="0"/>
                <w:iCs w:val="0"/>
                <w:color w:val="000000"/>
                <w:sz w:val="20"/>
                <w:szCs w:val="20"/>
                <w:u w:val="none"/>
                <w:lang w:val="en-US"/>
              </w:rPr>
              <w:t>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五、教育支出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六、科学技术支出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三、国有资本经营预算拨款收入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七、文化旅游体育与传媒支出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sz w:val="20"/>
                <w:szCs w:val="20"/>
                <w:u w:val="none"/>
                <w:lang w:val="en-US"/>
              </w:rPr>
              <w:t>其中</w:t>
            </w:r>
            <w:r>
              <w:rPr>
                <w:rFonts w:ascii="宋体" w:eastAsia="宋体" w:hAnsi="宋体" w:cs="宋体" w:hint="eastAsia"/>
                <w:i w:val="0"/>
                <w:iCs w:val="0"/>
                <w:color w:val="000000"/>
                <w:sz w:val="20"/>
                <w:szCs w:val="20"/>
                <w:u w:val="none"/>
              </w:rPr>
              <w:t>：</w:t>
            </w:r>
            <w:r>
              <w:rPr>
                <w:rFonts w:ascii="宋体" w:eastAsia="宋体" w:hAnsi="宋体" w:cs="宋体" w:hint="eastAsia"/>
                <w:i w:val="0"/>
                <w:iCs w:val="0"/>
                <w:color w:val="000000"/>
                <w:sz w:val="20"/>
                <w:szCs w:val="20"/>
                <w:u w:val="none"/>
                <w:lang w:val="en-US" w:eastAsia="zh-CN"/>
              </w:rPr>
              <w:t>上级</w:t>
            </w:r>
            <w:r>
              <w:rPr>
                <w:rFonts w:ascii="宋体" w:eastAsia="宋体" w:hAnsi="宋体" w:cs="宋体" w:hint="eastAsia"/>
                <w:i w:val="0"/>
                <w:iCs w:val="0"/>
                <w:color w:val="000000"/>
                <w:sz w:val="20"/>
                <w:szCs w:val="20"/>
                <w:u w:val="none"/>
                <w:lang w:val="en-US"/>
              </w:rPr>
              <w:t>转移支付收入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八、社会保障和就业支出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3,831.72</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九、卫生健康支出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四、财政专户管理资金收入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十、节能环保支出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十一、城乡社区支出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五、单位资金收入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十二、农林水支出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r>
              <w:rPr>
                <w:rFonts w:ascii="宋体" w:eastAsia="宋体" w:hAnsi="宋体" w:cs="宋体" w:hint="eastAsia"/>
                <w:i w:val="0"/>
                <w:iCs w:val="0"/>
                <w:color w:val="000000"/>
                <w:kern w:val="0"/>
                <w:sz w:val="20"/>
                <w:szCs w:val="20"/>
                <w:u w:val="none"/>
                <w:lang w:val="en-US" w:eastAsia="zh-CN" w:bidi="ar"/>
              </w:rPr>
              <w:t xml:space="preserve">        其中：事业收入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十三、交通运输支出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r>
              <w:rPr>
                <w:rFonts w:ascii="宋体" w:eastAsia="宋体" w:hAnsi="宋体" w:cs="宋体" w:hint="eastAsia"/>
                <w:i w:val="0"/>
                <w:iCs w:val="0"/>
                <w:color w:val="000000"/>
                <w:kern w:val="0"/>
                <w:sz w:val="20"/>
                <w:szCs w:val="20"/>
                <w:u w:val="none"/>
                <w:lang w:val="en-US" w:eastAsia="zh-CN" w:bidi="ar"/>
              </w:rPr>
              <w:t xml:space="preserve">              事业单位经营收入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十四、资源勘探工业信息等支出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r>
              <w:rPr>
                <w:rFonts w:ascii="宋体" w:eastAsia="宋体" w:hAnsi="宋体" w:cs="宋体" w:hint="eastAsia"/>
                <w:i w:val="0"/>
                <w:iCs w:val="0"/>
                <w:color w:val="000000"/>
                <w:kern w:val="0"/>
                <w:sz w:val="20"/>
                <w:szCs w:val="20"/>
                <w:u w:val="none"/>
                <w:lang w:val="en-US" w:eastAsia="zh-CN" w:bidi="ar"/>
              </w:rPr>
              <w:t xml:space="preserve">              上级补助收入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十五、商业服务业等支出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r>
              <w:rPr>
                <w:rFonts w:ascii="宋体" w:eastAsia="宋体" w:hAnsi="宋体" w:cs="宋体" w:hint="eastAsia"/>
                <w:i w:val="0"/>
                <w:iCs w:val="0"/>
                <w:color w:val="000000"/>
                <w:kern w:val="0"/>
                <w:sz w:val="20"/>
                <w:szCs w:val="20"/>
                <w:u w:val="none"/>
                <w:lang w:val="en-US" w:eastAsia="zh-CN" w:bidi="ar"/>
              </w:rPr>
              <w:t xml:space="preserve">              附属单位上缴收入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十六、金融支出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r>
              <w:rPr>
                <w:rFonts w:ascii="宋体" w:eastAsia="宋体" w:hAnsi="宋体" w:cs="宋体" w:hint="eastAsia"/>
                <w:i w:val="0"/>
                <w:iCs w:val="0"/>
                <w:color w:val="000000"/>
                <w:kern w:val="0"/>
                <w:sz w:val="20"/>
                <w:szCs w:val="20"/>
                <w:u w:val="none"/>
                <w:lang w:val="en-US" w:eastAsia="zh-CN" w:bidi="ar"/>
              </w:rPr>
              <w:t xml:space="preserve">              其他收入</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十七、援助其他地区支出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十八、自然资源海洋气象等支出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十九、住房保障支出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15.12</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kern w:val="0"/>
                <w:sz w:val="20"/>
                <w:szCs w:val="20"/>
                <w:u w:val="none"/>
                <w:lang w:val="en-US" w:eastAsia="zh-CN" w:bidi="ar"/>
              </w:rPr>
            </w:pPr>
            <w:r>
              <w:rPr>
                <w:rFonts w:ascii="宋体" w:eastAsia="宋体" w:hAnsi="宋体" w:cs="宋体" w:hint="eastAsia"/>
                <w:kern w:val="0"/>
                <w:sz w:val="20"/>
              </w:rPr>
              <w:t>二十、粮油物资储备支出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二十一、灾害防治及应急管理支出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二十二、预备费</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二十三、其他支出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二十四、转移性支出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二十五、债务还本支出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二十六、债务付息支出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kern w:val="2"/>
                <w:sz w:val="20"/>
                <w:szCs w:val="20"/>
                <w:u w:val="none"/>
                <w:lang w:val="en-US" w:eastAsia="zh-CN" w:bidi="ar-SA"/>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二十七、债务发行费用支出</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本</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年</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收</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入</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小</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计</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3,298.34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本</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年</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bidi="ar"/>
              </w:rPr>
              <w:t>支</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bidi="ar"/>
              </w:rPr>
              <w:t>出</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小</w:t>
            </w:r>
            <w:r>
              <w:rPr>
                <w:rFonts w:ascii="宋体" w:eastAsia="宋体" w:hAnsi="宋体" w:cs="宋体" w:hint="eastAsia"/>
                <w:i w:val="0"/>
                <w:iCs w:val="0"/>
                <w:color w:val="000000"/>
                <w:kern w:val="0"/>
                <w:sz w:val="20"/>
                <w:szCs w:val="20"/>
                <w:u w:val="none"/>
                <w:lang w:eastAsia="zh-CN" w:bidi="ar"/>
              </w:rPr>
              <w:t xml:space="preserve">  </w:t>
            </w:r>
            <w:r>
              <w:rPr>
                <w:rFonts w:ascii="宋体" w:eastAsia="宋体" w:hAnsi="宋体" w:cs="宋体" w:hint="eastAsia"/>
                <w:i w:val="0"/>
                <w:iCs w:val="0"/>
                <w:color w:val="000000"/>
                <w:kern w:val="0"/>
                <w:sz w:val="20"/>
                <w:szCs w:val="20"/>
                <w:u w:val="none"/>
                <w:lang w:val="en-US" w:eastAsia="zh-CN" w:bidi="ar"/>
              </w:rPr>
              <w:t>计</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3,908.64</w:t>
            </w: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default"/>
                <w:i w:val="0"/>
                <w:iCs w:val="0"/>
                <w:color w:val="000000"/>
                <w:sz w:val="20"/>
                <w:szCs w:val="20"/>
                <w:u w:val="none"/>
                <w:lang w:val="en-US"/>
              </w:rPr>
            </w:pPr>
            <w:r>
              <w:rPr>
                <w:rFonts w:ascii="宋体" w:eastAsia="宋体" w:hAnsi="宋体" w:cs="宋体" w:hint="eastAsia"/>
                <w:i w:val="0"/>
                <w:iCs w:val="0"/>
                <w:color w:val="000000"/>
                <w:kern w:val="0"/>
                <w:sz w:val="20"/>
                <w:szCs w:val="20"/>
                <w:u w:val="none"/>
                <w:lang w:val="en-US" w:eastAsia="zh-CN" w:bidi="ar"/>
              </w:rPr>
              <w:t>上年结转数</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610.30</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结转下年</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一般公共预算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561.24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一般公共预算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政府性基金预算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政府性基金预算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国有资本经营预算</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国有资本经营预算</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财政专户管理资金</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财政专户管理资金</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单位资金</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 xml:space="preserve">       单位资金</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89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收</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入  总  计</w:t>
            </w:r>
          </w:p>
        </w:tc>
        <w:tc>
          <w:tcPr>
            <w:tcW w:w="664"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b/>
                <w:bCs/>
                <w:i w:val="0"/>
                <w:iCs w:val="0"/>
                <w:color w:val="000000"/>
                <w:sz w:val="20"/>
                <w:szCs w:val="20"/>
                <w:u w:val="none"/>
              </w:rPr>
            </w:pPr>
            <w:r>
              <w:rPr>
                <w:rFonts w:ascii="Times New Roman" w:eastAsia="宋体" w:hAnsi="Times New Roman"/>
                <w:b w:val="0"/>
                <w:sz w:val="18"/>
              </w:rPr>
              <w:t>3,908.64</w:t>
            </w:r>
          </w:p>
        </w:tc>
        <w:tc>
          <w:tcPr>
            <w:tcW w:w="1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  出  总  计</w:t>
            </w:r>
          </w:p>
        </w:tc>
        <w:tc>
          <w:tcPr>
            <w:tcW w:w="542"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3,908.64</w:t>
            </w:r>
          </w:p>
        </w:tc>
      </w:tr>
    </w:tbl>
    <w:p>
      <w:pPr>
        <w:numPr>
          <w:ilvl w:val="0"/>
          <w:numId w:val="0"/>
        </w:numPr>
        <w:jc w:val="both"/>
        <w:rPr>
          <w:rFonts w:ascii="Times New Roman Regular" w:eastAsia="仿宋_GB2312" w:hAnsi="Times New Roman Regular" w:cs="Times New Roman Regular" w:hint="eastAsia"/>
          <w:b w:val="0"/>
          <w:bCs w:val="0"/>
          <w:sz w:val="20"/>
          <w:szCs w:val="20"/>
          <w:lang w:val="en-US" w:eastAsia="zh-CN"/>
        </w:rPr>
        <w:sectPr>
          <w:pgSz w:w="11906" w:h="16838"/>
          <w:pgMar w:top="1020" w:right="1800" w:bottom="102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宋体" w:eastAsia="宋体" w:hAnsi="宋体" w:cs="宋体" w:hint="eastAsia"/>
          <w:b w:val="0"/>
          <w:bCs w:val="0"/>
          <w:sz w:val="20"/>
          <w:szCs w:val="20"/>
          <w:lang w:val="en-US"/>
        </w:rPr>
        <w:t>注：本表金额转换成万元保留两位小数时，因四舍五入可能存在尾差</w:t>
      </w:r>
    </w:p>
    <w:tbl>
      <w:tblPr>
        <w:tblStyle w:val="TableGrid"/>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972"/>
        <w:gridCol w:w="956"/>
        <w:gridCol w:w="956"/>
        <w:gridCol w:w="956"/>
        <w:gridCol w:w="956"/>
        <w:gridCol w:w="956"/>
        <w:gridCol w:w="956"/>
        <w:gridCol w:w="653"/>
        <w:gridCol w:w="653"/>
        <w:gridCol w:w="653"/>
        <w:gridCol w:w="653"/>
        <w:gridCol w:w="653"/>
        <w:gridCol w:w="669"/>
        <w:gridCol w:w="956"/>
        <w:gridCol w:w="956"/>
        <w:gridCol w:w="956"/>
        <w:gridCol w:w="653"/>
        <w:gridCol w:w="653"/>
        <w:gridCol w:w="669"/>
      </w:tblGrid>
      <w:tr>
        <w:tblPrEx>
          <w:tblW w:w="4999"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24"/>
          <w:tblHeader/>
          <w:jc w:val="center"/>
        </w:trPr>
        <w:tc>
          <w:tcPr>
            <w:tcW w:w="598"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90"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643" w:type="pct"/>
            <w:gridSpan w:val="11"/>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467" w:type="pct"/>
            <w:gridSpan w:val="6"/>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公开表2</w:t>
            </w:r>
          </w:p>
        </w:tc>
      </w:tr>
      <w:tr>
        <w:tblPrEx>
          <w:tblW w:w="4999" w:type="pct"/>
          <w:jc w:val="center"/>
          <w:tblInd w:w="0" w:type="dxa"/>
          <w:shd w:val="clear" w:color="auto" w:fill="auto"/>
          <w:tblCellMar>
            <w:top w:w="0" w:type="dxa"/>
            <w:left w:w="108" w:type="dxa"/>
            <w:bottom w:w="0" w:type="dxa"/>
            <w:right w:w="108" w:type="dxa"/>
          </w:tblCellMar>
        </w:tblPrEx>
        <w:trPr>
          <w:trHeight w:val="649"/>
          <w:tblHeader/>
          <w:jc w:val="center"/>
        </w:trPr>
        <w:tc>
          <w:tcPr>
            <w:tcW w:w="5000" w:type="pct"/>
            <w:gridSpan w:val="19"/>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eastAsia="zh-CN"/>
              </w:rPr>
              <w:t>铜陵市铜官区民政局</w:t>
            </w:r>
            <w:r>
              <w:rPr>
                <w:rFonts w:ascii="Times New Roman Regular" w:eastAsia="黑体" w:hAnsi="Times New Roman Regular" w:cs="Times New Roman Regular" w:hint="default"/>
                <w:b/>
                <w:bCs/>
                <w:kern w:val="0"/>
                <w:sz w:val="32"/>
                <w:szCs w:val="32"/>
                <w:lang w:eastAsia="zh-CN"/>
              </w:rPr>
              <w:t>2025</w:t>
            </w:r>
            <w:r>
              <w:rPr>
                <w:rFonts w:ascii="Times New Roman Regular" w:eastAsia="华文中宋" w:hAnsi="Times New Roman Regular" w:cs="Times New Roman Regular" w:hint="default"/>
                <w:b/>
                <w:bCs/>
                <w:kern w:val="0"/>
                <w:sz w:val="32"/>
                <w:szCs w:val="32"/>
                <w:lang w:val="en-US"/>
              </w:rPr>
              <w:t>年收入总</w:t>
            </w:r>
            <w:r>
              <w:rPr>
                <w:rFonts w:ascii="Times New Roman Regular" w:eastAsia="华文中宋" w:hAnsi="Times New Roman Regular" w:cs="Times New Roman Regular" w:hint="default"/>
                <w:b/>
                <w:bCs/>
                <w:kern w:val="0"/>
                <w:sz w:val="32"/>
                <w:szCs w:val="32"/>
              </w:rPr>
              <w:t>表</w:t>
            </w:r>
          </w:p>
        </w:tc>
      </w:tr>
      <w:tr>
        <w:tblPrEx>
          <w:tblW w:w="4999" w:type="pct"/>
          <w:jc w:val="center"/>
          <w:tblInd w:w="0" w:type="dxa"/>
          <w:shd w:val="clear" w:color="auto" w:fill="auto"/>
          <w:tblCellMar>
            <w:top w:w="0" w:type="dxa"/>
            <w:left w:w="108" w:type="dxa"/>
            <w:bottom w:w="0" w:type="dxa"/>
            <w:right w:w="108" w:type="dxa"/>
          </w:tblCellMar>
        </w:tblPrEx>
        <w:trPr>
          <w:trHeight w:val="324"/>
          <w:tblHeader/>
          <w:jc w:val="center"/>
        </w:trPr>
        <w:tc>
          <w:tcPr>
            <w:tcW w:w="598"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90"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643" w:type="pct"/>
            <w:gridSpan w:val="11"/>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467" w:type="pct"/>
            <w:gridSpan w:val="6"/>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bidi="ar"/>
              </w:rPr>
              <w:t>单位：万元</w:t>
            </w:r>
          </w:p>
        </w:tc>
      </w:tr>
      <w:tr>
        <w:tblPrEx>
          <w:tblW w:w="4999" w:type="pct"/>
          <w:jc w:val="center"/>
          <w:tblInd w:w="0" w:type="dxa"/>
          <w:shd w:val="clear" w:color="auto" w:fill="auto"/>
          <w:tblCellMar>
            <w:top w:w="0" w:type="dxa"/>
            <w:left w:w="108" w:type="dxa"/>
            <w:bottom w:w="0" w:type="dxa"/>
            <w:right w:w="108" w:type="dxa"/>
          </w:tblCellMar>
        </w:tblPrEx>
        <w:trPr>
          <w:trHeight w:val="334"/>
          <w:tblHeader/>
          <w:jc w:val="center"/>
        </w:trPr>
        <w:tc>
          <w:tcPr>
            <w:tcW w:w="598"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部门（单位）名称</w:t>
            </w:r>
          </w:p>
        </w:tc>
        <w:tc>
          <w:tcPr>
            <w:tcW w:w="290"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2643" w:type="pct"/>
            <w:gridSpan w:val="11"/>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本年收入</w:t>
            </w:r>
          </w:p>
        </w:tc>
        <w:tc>
          <w:tcPr>
            <w:tcW w:w="1467" w:type="pct"/>
            <w:gridSpan w:val="6"/>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上年结转结余</w:t>
            </w:r>
          </w:p>
        </w:tc>
      </w:tr>
      <w:tr>
        <w:tblPrEx>
          <w:tblW w:w="4999" w:type="pct"/>
          <w:jc w:val="center"/>
          <w:tblInd w:w="0" w:type="dxa"/>
          <w:shd w:val="clear" w:color="auto" w:fill="auto"/>
          <w:tblCellMar>
            <w:top w:w="0" w:type="dxa"/>
            <w:left w:w="108" w:type="dxa"/>
            <w:bottom w:w="0" w:type="dxa"/>
            <w:right w:w="108" w:type="dxa"/>
          </w:tblCellMar>
        </w:tblPrEx>
        <w:trPr>
          <w:trHeight w:val="334"/>
          <w:tblHeader/>
          <w:jc w:val="center"/>
        </w:trPr>
        <w:tc>
          <w:tcPr>
            <w:tcW w:w="59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小计</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一般公共预算</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政府性基金预算</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国有资本经营预算</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财政专户管理资金</w:t>
            </w:r>
          </w:p>
        </w:tc>
        <w:tc>
          <w:tcPr>
            <w:tcW w:w="1191" w:type="pct"/>
            <w:gridSpan w:val="6"/>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单位资金</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小计</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一般公共预算</w:t>
            </w:r>
          </w:p>
        </w:tc>
        <w:tc>
          <w:tcPr>
            <w:tcW w:w="290"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政府性基金预算</w:t>
            </w:r>
          </w:p>
        </w:tc>
        <w:tc>
          <w:tcPr>
            <w:tcW w:w="198"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国有资本经营预算</w:t>
            </w:r>
          </w:p>
        </w:tc>
        <w:tc>
          <w:tcPr>
            <w:tcW w:w="198"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财政专户管理资金</w:t>
            </w:r>
          </w:p>
        </w:tc>
        <w:tc>
          <w:tcPr>
            <w:tcW w:w="198" w:type="pct"/>
            <w:vMerge w:val="restar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单位资金</w:t>
            </w:r>
          </w:p>
        </w:tc>
      </w:tr>
      <w:tr>
        <w:tblPrEx>
          <w:tblW w:w="4999" w:type="pct"/>
          <w:jc w:val="center"/>
          <w:tblInd w:w="0" w:type="dxa"/>
          <w:shd w:val="clear" w:color="auto" w:fill="auto"/>
          <w:tblCellMar>
            <w:top w:w="0" w:type="dxa"/>
            <w:left w:w="108" w:type="dxa"/>
            <w:bottom w:w="0" w:type="dxa"/>
            <w:right w:w="108" w:type="dxa"/>
          </w:tblCellMar>
        </w:tblPrEx>
        <w:trPr>
          <w:trHeight w:val="1308"/>
          <w:tblHeader/>
          <w:jc w:val="center"/>
        </w:trPr>
        <w:tc>
          <w:tcPr>
            <w:tcW w:w="59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198"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小计</w:t>
            </w:r>
          </w:p>
        </w:tc>
        <w:tc>
          <w:tcPr>
            <w:tcW w:w="198"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事业收入</w:t>
            </w:r>
          </w:p>
        </w:tc>
        <w:tc>
          <w:tcPr>
            <w:tcW w:w="198"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事业单位经营收入</w:t>
            </w:r>
          </w:p>
        </w:tc>
        <w:tc>
          <w:tcPr>
            <w:tcW w:w="198"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上级补助收入</w:t>
            </w:r>
          </w:p>
        </w:tc>
        <w:tc>
          <w:tcPr>
            <w:tcW w:w="198"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附属单位上缴收入</w:t>
            </w:r>
          </w:p>
        </w:tc>
        <w:tc>
          <w:tcPr>
            <w:tcW w:w="199"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其他收入</w:t>
            </w: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90"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19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19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19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r>
      <w:tr>
        <w:tblPrEx>
          <w:tblW w:w="4999" w:type="pct"/>
          <w:jc w:val="center"/>
          <w:tblInd w:w="0" w:type="dxa"/>
          <w:shd w:val="clear" w:color="auto" w:fill="auto"/>
          <w:tblCellMar>
            <w:top w:w="0" w:type="dxa"/>
            <w:left w:w="108" w:type="dxa"/>
            <w:bottom w:w="0" w:type="dxa"/>
            <w:right w:w="108" w:type="dxa"/>
          </w:tblCellMar>
        </w:tblPrEx>
        <w:trPr>
          <w:trHeight w:val="345"/>
          <w:jc w:val="center"/>
        </w:trPr>
        <w:tc>
          <w:tcPr>
            <w:tcW w:w="5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10"/>
                <w:szCs w:val="10"/>
                <w:u w:val="none"/>
              </w:rPr>
            </w:pPr>
            <w:r>
              <w:rPr>
                <w:rFonts w:ascii="Times New Roman" w:eastAsia="宋体" w:hAnsi="Times New Roman"/>
                <w:b w:val="0"/>
                <w:sz w:val="18"/>
              </w:rPr>
              <w:t>铜陵市铜官区民政局</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right"/>
              <w:textAlignment w:val="center"/>
              <w:rPr>
                <w:rFonts w:ascii="宋体" w:eastAsia="宋体" w:hAnsi="宋体" w:cs="宋体" w:hint="eastAsia"/>
                <w:b/>
                <w:bCs/>
                <w:i w:val="0"/>
                <w:iCs w:val="0"/>
                <w:color w:val="000000"/>
                <w:sz w:val="10"/>
                <w:szCs w:val="10"/>
                <w:u w:val="none"/>
              </w:rPr>
            </w:pPr>
            <w:r>
              <w:rPr>
                <w:rFonts w:ascii="Times New Roman" w:eastAsia="宋体" w:hAnsi="Times New Roman"/>
                <w:b w:val="0"/>
                <w:sz w:val="18"/>
              </w:rPr>
              <w:t>3,908.64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3,298.34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3,298.34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610.30</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561.24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49.06</w:t>
            </w: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r>
      <w:tr>
        <w:tblPrEx>
          <w:tblW w:w="4999" w:type="pct"/>
          <w:jc w:val="center"/>
          <w:tblInd w:w="0" w:type="dxa"/>
          <w:shd w:val="clear" w:color="auto" w:fill="auto"/>
          <w:tblCellMar>
            <w:top w:w="0" w:type="dxa"/>
            <w:left w:w="108" w:type="dxa"/>
            <w:bottom w:w="0" w:type="dxa"/>
            <w:right w:w="108" w:type="dxa"/>
          </w:tblCellMar>
        </w:tblPrEx>
        <w:trPr>
          <w:trHeight w:val="345"/>
          <w:jc w:val="center"/>
        </w:trPr>
        <w:tc>
          <w:tcPr>
            <w:tcW w:w="5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10"/>
                <w:szCs w:val="10"/>
                <w:u w:val="none"/>
              </w:rPr>
            </w:pPr>
            <w:r>
              <w:rPr>
                <w:rFonts w:ascii="Times New Roman" w:eastAsia="宋体" w:hAnsi="Times New Roman"/>
                <w:b w:val="0"/>
                <w:sz w:val="18"/>
              </w:rPr>
              <w:t>铜陵市铜官区民政局本级</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right"/>
              <w:textAlignment w:val="center"/>
              <w:rPr>
                <w:rFonts w:ascii="宋体" w:eastAsia="宋体" w:hAnsi="宋体" w:cs="宋体" w:hint="eastAsia"/>
                <w:b/>
                <w:bCs/>
                <w:i w:val="0"/>
                <w:iCs w:val="0"/>
                <w:color w:val="000000"/>
                <w:sz w:val="10"/>
                <w:szCs w:val="10"/>
                <w:u w:val="none"/>
              </w:rPr>
            </w:pPr>
            <w:r>
              <w:rPr>
                <w:rFonts w:ascii="Times New Roman" w:eastAsia="宋体" w:hAnsi="Times New Roman"/>
                <w:b w:val="0"/>
                <w:sz w:val="18"/>
              </w:rPr>
              <w:t>3,908.64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3,298.34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3,298.34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610.30</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561.24</w:t>
            </w:r>
          </w:p>
        </w:tc>
        <w:tc>
          <w:tcPr>
            <w:tcW w:w="29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r>
              <w:rPr>
                <w:rFonts w:ascii="Times New Roman" w:eastAsia="宋体" w:hAnsi="Times New Roman"/>
                <w:b w:val="0"/>
                <w:sz w:val="18"/>
              </w:rPr>
              <w:t>49.06</w:t>
            </w: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c>
          <w:tcPr>
            <w:tcW w:w="1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10"/>
                <w:szCs w:val="10"/>
                <w:u w:val="none"/>
              </w:rPr>
            </w:pP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0"/>
          <w:szCs w:val="20"/>
          <w:lang w:val="en-US"/>
        </w:rPr>
        <w:sectPr>
          <w:pgSz w:w="16838" w:h="11906" w:orient="landscape"/>
          <w:pgMar w:top="283" w:right="283" w:bottom="283" w:left="283" w:header="851" w:footer="992" w:gutter="0"/>
          <w:pgBorders>
            <w:top w:val="none" w:sz="0" w:space="0" w:color="auto"/>
            <w:left w:val="none" w:sz="0" w:space="0" w:color="auto"/>
            <w:bottom w:val="none" w:sz="0" w:space="0" w:color="auto"/>
            <w:right w:val="none" w:sz="0" w:space="0" w:color="auto"/>
          </w:pgBorders>
          <w:cols w:num="1" w:space="0"/>
          <w:rtlGutter w:val="0"/>
          <w:docGrid w:type="lines" w:linePitch="312" w:charSpace="0"/>
        </w:sectPr>
      </w:pPr>
      <w:r>
        <w:rPr>
          <w:rFonts w:ascii="宋体" w:eastAsia="宋体" w:hAnsi="宋体" w:cs="宋体" w:hint="eastAsia"/>
          <w:b w:val="0"/>
          <w:bCs w:val="0"/>
          <w:sz w:val="20"/>
          <w:szCs w:val="20"/>
          <w:lang w:val="en-US"/>
        </w:rPr>
        <w:t>注：本表金额转换成万元保留两位小数时，因四舍五入可能存在尾差</w:t>
      </w: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1041"/>
        <w:gridCol w:w="2728"/>
        <w:gridCol w:w="1276"/>
        <w:gridCol w:w="1276"/>
        <w:gridCol w:w="1276"/>
        <w:gridCol w:w="1025"/>
        <w:gridCol w:w="1003"/>
        <w:gridCol w:w="1053"/>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cantSplit/>
          <w:trHeight w:val="0"/>
          <w:tblHeader/>
          <w:jc w:val="center"/>
        </w:trPr>
        <w:tc>
          <w:tcPr>
            <w:tcW w:w="1041" w:type="dxa"/>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728" w:type="dxa"/>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3081" w:type="dxa"/>
            <w:gridSpan w:val="3"/>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公开表3</w:t>
            </w:r>
          </w:p>
        </w:tc>
      </w:tr>
      <w:tr>
        <w:tblPrEx>
          <w:tblW w:w="4998" w:type="pct"/>
          <w:jc w:val="center"/>
          <w:tblInd w:w="0" w:type="dxa"/>
          <w:shd w:val="clear" w:color="auto" w:fill="auto"/>
          <w:tblLayout w:type="fixed"/>
          <w:tblCellMar>
            <w:top w:w="0" w:type="dxa"/>
            <w:left w:w="108" w:type="dxa"/>
            <w:bottom w:w="0" w:type="dxa"/>
            <w:right w:w="108" w:type="dxa"/>
          </w:tblCellMar>
        </w:tblPrEx>
        <w:trPr>
          <w:cantSplit/>
          <w:trHeight w:val="0"/>
          <w:tblHeader/>
          <w:jc w:val="center"/>
        </w:trPr>
        <w:tc>
          <w:tcPr>
            <w:tcW w:w="10678" w:type="dxa"/>
            <w:gridSpan w:val="8"/>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年支出总表</w:t>
            </w:r>
          </w:p>
        </w:tc>
      </w:tr>
      <w:tr>
        <w:tblPrEx>
          <w:tblW w:w="4998" w:type="pct"/>
          <w:jc w:val="center"/>
          <w:tblInd w:w="0" w:type="dxa"/>
          <w:shd w:val="clear" w:color="auto" w:fill="auto"/>
          <w:tblLayout w:type="fixed"/>
          <w:tblCellMar>
            <w:top w:w="0" w:type="dxa"/>
            <w:left w:w="108" w:type="dxa"/>
            <w:bottom w:w="0" w:type="dxa"/>
            <w:right w:w="108" w:type="dxa"/>
          </w:tblCellMar>
        </w:tblPrEx>
        <w:trPr>
          <w:cantSplit/>
          <w:trHeight w:val="0"/>
          <w:tblHeader/>
          <w:jc w:val="center"/>
        </w:trPr>
        <w:tc>
          <w:tcPr>
            <w:tcW w:w="1041"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728"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276"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025" w:type="dxa"/>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056" w:type="dxa"/>
            <w:gridSpan w:val="2"/>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bidi="ar"/>
              </w:rPr>
              <w:t>单位：万元</w:t>
            </w:r>
          </w:p>
        </w:tc>
      </w:tr>
      <w:tr>
        <w:tblPrEx>
          <w:tblW w:w="4998" w:type="pct"/>
          <w:jc w:val="center"/>
          <w:tblInd w:w="0" w:type="dxa"/>
          <w:shd w:val="clear" w:color="auto" w:fill="auto"/>
          <w:tblLayout w:type="fixed"/>
          <w:tblCellMar>
            <w:top w:w="0" w:type="dxa"/>
            <w:left w:w="108" w:type="dxa"/>
            <w:bottom w:w="0" w:type="dxa"/>
            <w:right w:w="108" w:type="dxa"/>
          </w:tblCellMar>
        </w:tblPrEx>
        <w:trPr>
          <w:cantSplit/>
          <w:trHeight w:val="0"/>
          <w:tblHeader/>
          <w:jc w:val="center"/>
        </w:trPr>
        <w:tc>
          <w:tcPr>
            <w:tcW w:w="1041"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科目编码</w:t>
            </w:r>
          </w:p>
        </w:tc>
        <w:tc>
          <w:tcPr>
            <w:tcW w:w="2728"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科目名称</w:t>
            </w:r>
          </w:p>
        </w:tc>
        <w:tc>
          <w:tcPr>
            <w:tcW w:w="1276"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1276"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kern w:val="0"/>
                <w:sz w:val="20"/>
                <w:szCs w:val="20"/>
                <w:u w:val="none"/>
                <w:lang w:val="en-US" w:eastAsia="zh-CN" w:bidi="ar"/>
              </w:rPr>
            </w:pPr>
            <w:r>
              <w:rPr>
                <w:rFonts w:ascii="宋体" w:eastAsia="宋体" w:hAnsi="宋体" w:cs="宋体" w:hint="eastAsia"/>
                <w:b/>
                <w:bCs/>
                <w:i w:val="0"/>
                <w:iCs w:val="0"/>
                <w:color w:val="000000"/>
                <w:kern w:val="0"/>
                <w:sz w:val="20"/>
                <w:szCs w:val="20"/>
                <w:u w:val="none"/>
                <w:lang w:val="en-US" w:eastAsia="zh-CN" w:bidi="ar"/>
              </w:rPr>
              <w:t>基本</w:t>
            </w:r>
          </w:p>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支出</w:t>
            </w:r>
          </w:p>
        </w:tc>
        <w:tc>
          <w:tcPr>
            <w:tcW w:w="1276"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kern w:val="0"/>
                <w:sz w:val="20"/>
                <w:szCs w:val="20"/>
                <w:u w:val="none"/>
                <w:lang w:val="en-US" w:eastAsia="zh-CN" w:bidi="ar"/>
              </w:rPr>
            </w:pPr>
            <w:r>
              <w:rPr>
                <w:rFonts w:ascii="宋体" w:eastAsia="宋体" w:hAnsi="宋体" w:cs="宋体" w:hint="eastAsia"/>
                <w:b/>
                <w:bCs/>
                <w:i w:val="0"/>
                <w:iCs w:val="0"/>
                <w:color w:val="000000"/>
                <w:kern w:val="0"/>
                <w:sz w:val="20"/>
                <w:szCs w:val="20"/>
                <w:u w:val="none"/>
                <w:lang w:val="en-US" w:eastAsia="zh-CN" w:bidi="ar"/>
              </w:rPr>
              <w:t>项目</w:t>
            </w:r>
          </w:p>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支出</w:t>
            </w:r>
          </w:p>
        </w:tc>
        <w:tc>
          <w:tcPr>
            <w:tcW w:w="1025"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事业单位经营支出</w:t>
            </w:r>
          </w:p>
        </w:tc>
        <w:tc>
          <w:tcPr>
            <w:tcW w:w="1003"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上缴上级支出</w:t>
            </w:r>
          </w:p>
        </w:tc>
        <w:tc>
          <w:tcPr>
            <w:tcW w:w="1053" w:type="dxa"/>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对附属单位补助支出</w:t>
            </w:r>
          </w:p>
        </w:tc>
      </w:tr>
      <w:tr>
        <w:tblPrEx>
          <w:tblW w:w="4998"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041"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sz w:val="18"/>
              </w:rPr>
              <w:t>201</w:t>
            </w:r>
          </w:p>
        </w:tc>
        <w:tc>
          <w:tcPr>
            <w:tcW w:w="2728" w:type="dxa"/>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sz w:val="18"/>
              </w:rPr>
              <w:t>一般公共服务支出</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12.74</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3.74</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9.00</w:t>
            </w:r>
          </w:p>
        </w:tc>
        <w:tc>
          <w:tcPr>
            <w:tcW w:w="1025"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1003"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1053"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Layout w:type="fixed"/>
          <w:tblCellMar>
            <w:top w:w="0" w:type="dxa"/>
            <w:left w:w="108" w:type="dxa"/>
            <w:bottom w:w="0" w:type="dxa"/>
            <w:right w:w="108" w:type="dxa"/>
          </w:tblCellMar>
        </w:tblPrEx>
        <w:trPr>
          <w:cantSplit/>
          <w:trHeight w:val="0"/>
          <w:jc w:val="center"/>
        </w:trPr>
        <w:tc>
          <w:tcPr>
            <w:tcW w:w="1041"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20129</w:t>
            </w:r>
          </w:p>
        </w:tc>
        <w:tc>
          <w:tcPr>
            <w:tcW w:w="2728" w:type="dxa"/>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val="0"/>
                <w:sz w:val="18"/>
              </w:rPr>
              <w:t>　群众团体事务</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2.23</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2.23</w:t>
            </w:r>
          </w:p>
        </w:tc>
        <w:tc>
          <w:tcPr>
            <w:tcW w:w="1276"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1025"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1003"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1053" w:type="dxa"/>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2012999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其他群众团体事务支出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20132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组织事务</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2013299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其他组织事务支出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20199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其他一般公共服务支出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2019999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其他一般公共服务支出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sz w:val="18"/>
              </w:rPr>
              <w:t>208</w:t>
            </w:r>
          </w:p>
        </w:tc>
        <w:tc>
          <w:tcPr>
            <w:tcW w:w="2728" w:type="dxa"/>
            <w:tcMar>
              <w:left w:w="20" w:type="dxa"/>
              <w:right w:w="20" w:type="dxa"/>
            </w:tcMar>
            <w:vAlign w:val="center"/>
          </w:tcPr>
          <w:p>
            <w:pPr>
              <w:spacing w:before="0" w:after="0" w:line="240" w:lineRule="auto"/>
            </w:pPr>
            <w:r>
              <w:rPr>
                <w:rFonts w:ascii="Times New Roman" w:eastAsia="宋体" w:hAnsi="Times New Roman"/>
                <w:b/>
                <w:sz w:val="18"/>
              </w:rPr>
              <w:t>社会保障和就业支出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3,831.72</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259.31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3,572.40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民政管理事务</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462.31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203.00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2080201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行政运行</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2080209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老龄事务</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2080299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其他民政管理事务支出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183.00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183.00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社会福利</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1,412.56</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1,412.56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2081001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儿童福利</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88.38</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88.38</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老年福利</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407.46</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407.46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2081004</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殡葬</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2081006</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养老服务</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7.82</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7.82</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2081099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其他社会福利支出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870.90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870.90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残疾人事业</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2081107</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残疾人生活和护理补贴</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最低生活保障</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2081901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城市最低生活保障金支出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20820</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临时救助</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191.58</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191.58</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2082001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临时救助支出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160.40</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160.40</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2082002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流浪乞讨人员救助支出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31.18</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31.18</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20821</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特困人员救助供养</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2082102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农村特困人员救助供养支出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其他社会保障和就业支出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2089999</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其他社会保障和就业支出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sz w:val="18"/>
              </w:rPr>
              <w:t>221</w:t>
            </w:r>
          </w:p>
        </w:tc>
        <w:tc>
          <w:tcPr>
            <w:tcW w:w="2728" w:type="dxa"/>
            <w:tcMar>
              <w:left w:w="20" w:type="dxa"/>
              <w:right w:w="20" w:type="dxa"/>
            </w:tcMar>
            <w:vAlign w:val="center"/>
          </w:tcPr>
          <w:p>
            <w:pPr>
              <w:spacing w:before="0" w:after="0" w:line="240" w:lineRule="auto"/>
            </w:pPr>
            <w:r>
              <w:rPr>
                <w:rFonts w:ascii="Times New Roman" w:eastAsia="宋体" w:hAnsi="Times New Roman"/>
                <w:b/>
                <w:sz w:val="18"/>
              </w:rPr>
              <w:t>住房保障支出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15.12</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15.12</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22102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住房改革支出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15.12</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15.12</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2210202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提租补贴</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7.84</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7.84</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2210203</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购房补贴</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7.28</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7.28</w:t>
            </w:r>
          </w:p>
        </w:tc>
        <w:tc>
          <w:tcPr>
            <w:tcW w:w="1276" w:type="dxa"/>
            <w:tcMar>
              <w:left w:w="20" w:type="dxa"/>
              <w:right w:w="20" w:type="dxa"/>
            </w:tcMar>
            <w:vAlign w:val="center"/>
          </w:tcPr>
          <w:p>
            <w:pPr>
              <w:spacing w:before="0" w:after="0" w:line="240" w:lineRule="auto"/>
              <w:jc w:val="right"/>
            </w:pP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sz w:val="18"/>
              </w:rPr>
              <w:t>229</w:t>
            </w:r>
          </w:p>
        </w:tc>
        <w:tc>
          <w:tcPr>
            <w:tcW w:w="2728" w:type="dxa"/>
            <w:tcMar>
              <w:left w:w="20" w:type="dxa"/>
              <w:right w:w="20" w:type="dxa"/>
            </w:tcMar>
            <w:vAlign w:val="center"/>
          </w:tcPr>
          <w:p>
            <w:pPr>
              <w:spacing w:before="0" w:after="0" w:line="240" w:lineRule="auto"/>
            </w:pPr>
            <w:r>
              <w:rPr>
                <w:rFonts w:ascii="Times New Roman" w:eastAsia="宋体" w:hAnsi="Times New Roman"/>
                <w:b/>
                <w:sz w:val="18"/>
              </w:rPr>
              <w:t>其他支出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49.06</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sz w:val="18"/>
              </w:rPr>
              <w:t>49.06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22960</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彩票公益金安排的支出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41" w:type="dxa"/>
            <w:tcMar>
              <w:left w:w="20" w:type="dxa"/>
              <w:right w:w="20" w:type="dxa"/>
            </w:tcMar>
            <w:vAlign w:val="center"/>
          </w:tcPr>
          <w:p>
            <w:pPr>
              <w:spacing w:before="0" w:after="0" w:line="240" w:lineRule="auto"/>
            </w:pPr>
            <w:r>
              <w:rPr>
                <w:rFonts w:ascii="Times New Roman" w:eastAsia="宋体" w:hAnsi="Times New Roman"/>
                <w:b w:val="0"/>
                <w:sz w:val="18"/>
              </w:rPr>
              <w:t>2296002</w:t>
            </w:r>
          </w:p>
        </w:tc>
        <w:tc>
          <w:tcPr>
            <w:tcW w:w="2728" w:type="dxa"/>
            <w:tcMar>
              <w:left w:w="20" w:type="dxa"/>
              <w:right w:w="20" w:type="dxa"/>
            </w:tcMar>
            <w:vAlign w:val="center"/>
          </w:tcPr>
          <w:p>
            <w:pPr>
              <w:spacing w:before="0" w:after="0" w:line="240" w:lineRule="auto"/>
            </w:pPr>
            <w:r>
              <w:rPr>
                <w:rFonts w:ascii="Times New Roman" w:eastAsia="宋体" w:hAnsi="Times New Roman"/>
                <w:b w:val="0"/>
                <w:sz w:val="18"/>
              </w:rPr>
              <w:t>　　用于社会福利的彩票公益金支出</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276" w:type="dxa"/>
            <w:tcMar>
              <w:left w:w="20" w:type="dxa"/>
              <w:right w:w="20" w:type="dxa"/>
            </w:tcMar>
            <w:vAlign w:val="center"/>
          </w:tcPr>
          <w:p>
            <w:pPr>
              <w:spacing w:before="0" w:after="0" w:line="240" w:lineRule="auto"/>
              <w:jc w:val="right"/>
            </w:pP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3769" w:type="dxa"/>
            <w:gridSpan w:val="2"/>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3,908.64</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278.18</w:t>
            </w:r>
          </w:p>
        </w:tc>
        <w:tc>
          <w:tcPr>
            <w:tcW w:w="1276" w:type="dxa"/>
            <w:tcMar>
              <w:left w:w="20" w:type="dxa"/>
              <w:right w:w="20" w:type="dxa"/>
            </w:tcMar>
            <w:vAlign w:val="center"/>
          </w:tcPr>
          <w:p>
            <w:pPr>
              <w:spacing w:before="0" w:after="0" w:line="240" w:lineRule="auto"/>
              <w:jc w:val="right"/>
            </w:pPr>
            <w:r>
              <w:rPr>
                <w:rFonts w:ascii="Times New Roman" w:eastAsia="宋体" w:hAnsi="Times New Roman"/>
                <w:b w:val="0"/>
                <w:sz w:val="18"/>
              </w:rPr>
              <w:t>3,630.46</w:t>
            </w:r>
          </w:p>
        </w:tc>
        <w:tc>
          <w:tcPr>
            <w:tcW w:w="1025" w:type="dxa"/>
            <w:tcMar>
              <w:left w:w="20" w:type="dxa"/>
              <w:right w:w="20" w:type="dxa"/>
            </w:tcMar>
            <w:vAlign w:val="center"/>
          </w:tcPr>
          <w:p>
            <w:pPr>
              <w:spacing w:before="0" w:after="0" w:line="240" w:lineRule="auto"/>
              <w:jc w:val="right"/>
            </w:pPr>
          </w:p>
        </w:tc>
        <w:tc>
          <w:tcPr>
            <w:tcW w:w="1003" w:type="dxa"/>
            <w:tcMar>
              <w:left w:w="20" w:type="dxa"/>
              <w:right w:w="20" w:type="dxa"/>
            </w:tcMar>
            <w:vAlign w:val="center"/>
          </w:tcPr>
          <w:p>
            <w:pPr>
              <w:spacing w:before="0" w:after="0" w:line="240" w:lineRule="auto"/>
              <w:jc w:val="right"/>
            </w:pPr>
          </w:p>
        </w:tc>
        <w:tc>
          <w:tcPr>
            <w:tcW w:w="1053" w:type="dxa"/>
            <w:tcMar>
              <w:left w:w="20" w:type="dxa"/>
              <w:right w:w="20" w:type="dxa"/>
            </w:tcMar>
            <w:vAlign w:val="center"/>
          </w:tcPr>
          <w:p>
            <w:pPr>
              <w:spacing w:before="0" w:after="0" w:line="240" w:lineRule="auto"/>
              <w:jc w:val="right"/>
            </w:pP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0"/>
          <w:szCs w:val="20"/>
          <w:lang w:val="en-US"/>
        </w:rPr>
        <w:sectPr>
          <w:pgSz w:w="11906" w:h="16838"/>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宋体" w:eastAsia="宋体" w:hAnsi="宋体" w:cs="宋体" w:hint="eastAsia"/>
          <w:b w:val="0"/>
          <w:bCs w:val="0"/>
          <w:sz w:val="20"/>
          <w:szCs w:val="20"/>
          <w:lang w:val="en-US"/>
        </w:rPr>
        <w:t>注：本表金额转换成万元保留两位小数时，因四舍五入可能存在尾差</w:t>
      </w:r>
    </w:p>
    <w:tbl>
      <w:tblPr>
        <w:tblStyle w:val="TableNormal"/>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2889"/>
        <w:gridCol w:w="1038"/>
        <w:gridCol w:w="3583"/>
        <w:gridCol w:w="1012"/>
      </w:tblGrid>
      <w:tr>
        <w:tblPrEx>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6"/>
          <w:jc w:val="center"/>
        </w:trPr>
        <w:tc>
          <w:tcPr>
            <w:tcW w:w="2304"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695" w:type="pct"/>
            <w:gridSpan w:val="2"/>
            <w:tcBorders>
              <w:top w:val="nil"/>
              <w:left w:val="nil"/>
              <w:bottom w:val="nil"/>
              <w:right w:val="nil"/>
            </w:tcBorders>
            <w:shd w:val="clear" w:color="auto" w:fill="auto"/>
            <w:noWrap/>
            <w:vAlign w:val="center"/>
          </w:tcPr>
          <w:p>
            <w:pPr>
              <w:keepNext w:val="0"/>
              <w:keepLines w:val="0"/>
              <w:widowControl/>
              <w:suppressLineNumbers w:val="0"/>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公开表4</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5000" w:type="pct"/>
            <w:gridSpan w:val="4"/>
            <w:tcBorders>
              <w:top w:val="nil"/>
              <w:left w:val="nil"/>
              <w:bottom w:val="nil"/>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年财政拨款</w:t>
            </w:r>
            <w:r>
              <w:rPr>
                <w:rFonts w:ascii="Times New Roman Regular" w:eastAsia="华文中宋" w:hAnsi="Times New Roman Regular" w:cs="Times New Roman Regular" w:hint="eastAsia"/>
                <w:b/>
                <w:bCs/>
                <w:kern w:val="0"/>
                <w:sz w:val="32"/>
                <w:szCs w:val="32"/>
                <w:lang w:val="en-US"/>
              </w:rPr>
              <w:t>收</w:t>
            </w:r>
            <w:r>
              <w:rPr>
                <w:rFonts w:ascii="Times New Roman Regular" w:eastAsia="华文中宋" w:hAnsi="Times New Roman Regular" w:cs="Times New Roman Regular" w:hint="default"/>
                <w:b/>
                <w:bCs/>
                <w:kern w:val="0"/>
                <w:sz w:val="32"/>
                <w:szCs w:val="32"/>
                <w:lang w:val="en-US"/>
              </w:rPr>
              <w:t>支总表</w:t>
            </w:r>
          </w:p>
        </w:tc>
      </w:tr>
      <w:tr>
        <w:tblPrEx>
          <w:tblW w:w="5000" w:type="pct"/>
          <w:jc w:val="center"/>
          <w:tblInd w:w="0" w:type="dxa"/>
          <w:shd w:val="clear" w:color="auto" w:fill="auto"/>
          <w:tblCellMar>
            <w:top w:w="0" w:type="dxa"/>
            <w:left w:w="108" w:type="dxa"/>
            <w:bottom w:w="0" w:type="dxa"/>
            <w:right w:w="108" w:type="dxa"/>
          </w:tblCellMar>
        </w:tblPrEx>
        <w:trPr>
          <w:trHeight w:val="336"/>
          <w:jc w:val="center"/>
        </w:trPr>
        <w:tc>
          <w:tcPr>
            <w:tcW w:w="2304"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695" w:type="pct"/>
            <w:gridSpan w:val="2"/>
            <w:tcBorders>
              <w:top w:val="nil"/>
              <w:left w:val="nil"/>
              <w:bottom w:val="single" w:sz="4" w:space="0" w:color="auto"/>
              <w:right w:val="nil"/>
            </w:tcBorders>
            <w:shd w:val="clear" w:color="auto" w:fill="auto"/>
            <w:noWrap/>
            <w:vAlign w:val="center"/>
          </w:tcPr>
          <w:p>
            <w:pPr>
              <w:keepNext w:val="0"/>
              <w:keepLines w:val="0"/>
              <w:widowControl/>
              <w:suppressLineNumbers w:val="0"/>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230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收</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入</w:t>
            </w:r>
          </w:p>
        </w:tc>
        <w:tc>
          <w:tcPr>
            <w:tcW w:w="269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支</w:t>
            </w:r>
            <w:r>
              <w:rPr>
                <w:rFonts w:ascii="宋体" w:eastAsia="宋体" w:hAnsi="宋体" w:cs="宋体" w:hint="eastAsia"/>
                <w:b/>
                <w:bCs/>
                <w:i w:val="0"/>
                <w:iCs w:val="0"/>
                <w:color w:val="000000"/>
                <w:kern w:val="0"/>
                <w:sz w:val="20"/>
                <w:szCs w:val="20"/>
                <w:u w:val="none"/>
                <w:lang w:eastAsia="zh-CN" w:bidi="ar"/>
              </w:rPr>
              <w:t xml:space="preserve">    </w:t>
            </w:r>
            <w:r>
              <w:rPr>
                <w:rFonts w:ascii="宋体" w:eastAsia="宋体" w:hAnsi="宋体" w:cs="宋体" w:hint="eastAsia"/>
                <w:b/>
                <w:bCs/>
                <w:i w:val="0"/>
                <w:iCs w:val="0"/>
                <w:color w:val="000000"/>
                <w:kern w:val="0"/>
                <w:sz w:val="20"/>
                <w:szCs w:val="20"/>
                <w:u w:val="none"/>
                <w:lang w:val="en-US" w:eastAsia="zh-CN" w:bidi="ar"/>
              </w:rPr>
              <w:t>出</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w:t>
            </w:r>
          </w:p>
        </w:tc>
        <w:tc>
          <w:tcPr>
            <w:tcW w:w="609"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预算数</w:t>
            </w:r>
          </w:p>
        </w:tc>
        <w:tc>
          <w:tcPr>
            <w:tcW w:w="2102"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w:t>
            </w:r>
          </w:p>
        </w:tc>
        <w:tc>
          <w:tcPr>
            <w:tcW w:w="593" w:type="pct"/>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预算数</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一、本年收入</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3,298.34</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一、本年支出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3,908.64</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（一）一般公共预算拨款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3,298.34</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（一）一般公共服务支出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12.74</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（二）政府性基金预算拨款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（二）外交支出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（三）国有资本经营预算拨款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（三）国防支出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both"/>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（四）公共安全支出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二、上年结转</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610.30</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（五）教育支出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（一）一般公共预算拨款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561.24</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color w:val="000000"/>
                <w:kern w:val="0"/>
                <w:sz w:val="20"/>
              </w:rPr>
              <w:t>（六）科学技术支出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（二）政府性基金预算拨款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（七）文化旅游体育与传媒支出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（三）国有资本经营预算拨款</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（八）社会保障和就业支出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3,831.72</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（九）卫生健康支出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（十）节能环保支出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（十一）城乡社区支出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（十二）农林水支出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（十三）交通运输支出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（十四）资源勘探工业信息等支出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（十五）商业服务业等支出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（十六）金融支出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（十七）援助其他地区支出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（十八）自然资源海洋气象等支出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（十九）住房保障支出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15.12</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i w:val="0"/>
                <w:iCs w:val="0"/>
                <w:color w:val="000000"/>
                <w:sz w:val="20"/>
                <w:szCs w:val="20"/>
                <w:u w:val="none"/>
              </w:rPr>
            </w:pPr>
            <w:r>
              <w:rPr>
                <w:rFonts w:ascii="宋体" w:eastAsia="宋体" w:hAnsi="宋体" w:cs="宋体" w:hint="eastAsia"/>
                <w:kern w:val="0"/>
                <w:sz w:val="20"/>
              </w:rPr>
              <w:t>（二十）粮油物资储备支出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（二十一）灾害防治及应急管理支出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（二十二）预备费</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（二十三）其他支出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（二十四）转移性支出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（二十五）债务还本支出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（二十六）债务付息支出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widowControl/>
              <w:spacing w:before="0" w:after="0"/>
              <w:jc w:val="left"/>
              <w:rPr>
                <w:rFonts w:ascii="宋体" w:eastAsia="宋体" w:hAnsi="宋体" w:cs="宋体" w:hint="eastAsia"/>
                <w:kern w:val="0"/>
                <w:sz w:val="20"/>
                <w:lang w:val="en-US" w:eastAsia="zh-CN"/>
              </w:rPr>
            </w:pPr>
            <w:r>
              <w:rPr>
                <w:rFonts w:ascii="宋体" w:eastAsia="宋体" w:hAnsi="宋体" w:cs="宋体" w:hint="eastAsia"/>
                <w:kern w:val="0"/>
                <w:sz w:val="20"/>
              </w:rPr>
              <w:t>（二十七）债务发行费用支出</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二、年终结转结余</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（一）一般公共预算结转结余</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（二）政府性基金预算结转结余</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both"/>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lang w:val="en-US" w:eastAsia="zh-CN" w:bidi="ar"/>
              </w:rPr>
              <w:t>（三）国有资本经营预算结转结余</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rPr>
                <w:rFonts w:ascii="宋体" w:eastAsia="宋体" w:hAnsi="宋体" w:cs="宋体" w:hint="eastAsia"/>
                <w:i w:val="0"/>
                <w:iCs w:val="0"/>
                <w:color w:val="000000"/>
                <w:sz w:val="20"/>
                <w:szCs w:val="20"/>
                <w:u w:val="none"/>
              </w:rPr>
            </w:pP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left"/>
              <w:textAlignment w:val="center"/>
              <w:rPr>
                <w:rFonts w:ascii="宋体" w:eastAsia="宋体" w:hAnsi="宋体" w:cs="宋体" w:hint="eastAsia"/>
                <w:i w:val="0"/>
                <w:iCs w:val="0"/>
                <w:color w:val="000000"/>
                <w:kern w:val="0"/>
                <w:sz w:val="20"/>
                <w:szCs w:val="20"/>
                <w:u w:val="none"/>
                <w:lang w:val="en-US" w:eastAsia="zh-CN" w:bidi="ar"/>
              </w:rPr>
            </w:pP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right"/>
              <w:rPr>
                <w:rFonts w:ascii="宋体" w:eastAsia="宋体" w:hAnsi="宋体" w:cs="宋体" w:hint="eastAsia"/>
                <w:i w:val="0"/>
                <w:iCs w:val="0"/>
                <w:color w:val="000000"/>
                <w:sz w:val="20"/>
                <w:szCs w:val="20"/>
                <w:u w:val="none"/>
              </w:rPr>
            </w:pPr>
          </w:p>
        </w:tc>
      </w:tr>
      <w:tr>
        <w:tblPrEx>
          <w:tblW w:w="5000" w:type="pct"/>
          <w:jc w:val="center"/>
          <w:tblInd w:w="0" w:type="dxa"/>
          <w:shd w:val="clear" w:color="auto" w:fill="auto"/>
          <w:tblCellMar>
            <w:top w:w="0" w:type="dxa"/>
            <w:left w:w="108" w:type="dxa"/>
            <w:bottom w:w="0" w:type="dxa"/>
            <w:right w:w="108" w:type="dxa"/>
          </w:tblCellMar>
        </w:tblPrEx>
        <w:trPr>
          <w:cantSplit/>
          <w:trHeight w:val="23"/>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before="0" w:after="0"/>
              <w:jc w:val="center"/>
              <w:rPr>
                <w:rFonts w:ascii="宋体" w:eastAsia="宋体" w:hAnsi="宋体" w:cs="宋体" w:hint="eastAsia"/>
                <w:i w:val="0"/>
                <w:iCs w:val="0"/>
                <w:color w:val="000000"/>
                <w:sz w:val="20"/>
                <w:szCs w:val="20"/>
                <w:u w:val="none"/>
                <w:lang w:val="en-US"/>
              </w:rPr>
            </w:pPr>
            <w:r>
              <w:rPr>
                <w:rFonts w:ascii="宋体" w:eastAsia="宋体" w:hAnsi="宋体" w:cs="宋体" w:hint="eastAsia"/>
                <w:b/>
                <w:bCs/>
                <w:i w:val="0"/>
                <w:iCs w:val="0"/>
                <w:color w:val="000000"/>
                <w:sz w:val="20"/>
                <w:szCs w:val="20"/>
                <w:u w:val="none"/>
                <w:lang w:val="en-US"/>
              </w:rPr>
              <w:t>收</w:t>
            </w:r>
            <w:r>
              <w:rPr>
                <w:rFonts w:ascii="宋体" w:eastAsia="宋体" w:hAnsi="宋体" w:cs="宋体" w:hint="eastAsia"/>
                <w:b/>
                <w:bCs/>
                <w:i w:val="0"/>
                <w:iCs w:val="0"/>
                <w:color w:val="000000"/>
                <w:sz w:val="20"/>
                <w:szCs w:val="20"/>
                <w:u w:val="none"/>
              </w:rPr>
              <w:t xml:space="preserve">  </w:t>
            </w:r>
            <w:r>
              <w:rPr>
                <w:rFonts w:ascii="宋体" w:eastAsia="宋体" w:hAnsi="宋体" w:cs="宋体" w:hint="eastAsia"/>
                <w:b/>
                <w:bCs/>
                <w:i w:val="0"/>
                <w:iCs w:val="0"/>
                <w:color w:val="000000"/>
                <w:sz w:val="20"/>
                <w:szCs w:val="20"/>
                <w:u w:val="none"/>
                <w:lang w:val="en-US"/>
              </w:rPr>
              <w:t>入</w:t>
            </w:r>
            <w:r>
              <w:rPr>
                <w:rFonts w:ascii="宋体" w:eastAsia="宋体" w:hAnsi="宋体" w:cs="宋体" w:hint="eastAsia"/>
                <w:b/>
                <w:bCs/>
                <w:i w:val="0"/>
                <w:iCs w:val="0"/>
                <w:color w:val="000000"/>
                <w:sz w:val="20"/>
                <w:szCs w:val="20"/>
                <w:u w:val="none"/>
              </w:rPr>
              <w:t xml:space="preserve">  </w:t>
            </w:r>
            <w:r>
              <w:rPr>
                <w:rFonts w:ascii="宋体" w:eastAsia="宋体" w:hAnsi="宋体" w:cs="宋体" w:hint="eastAsia"/>
                <w:b/>
                <w:bCs/>
                <w:i w:val="0"/>
                <w:iCs w:val="0"/>
                <w:color w:val="000000"/>
                <w:sz w:val="20"/>
                <w:szCs w:val="20"/>
                <w:u w:val="none"/>
                <w:lang w:val="en-US"/>
              </w:rPr>
              <w:t>总</w:t>
            </w:r>
            <w:r>
              <w:rPr>
                <w:rFonts w:ascii="宋体" w:eastAsia="宋体" w:hAnsi="宋体" w:cs="宋体" w:hint="eastAsia"/>
                <w:b/>
                <w:bCs/>
                <w:i w:val="0"/>
                <w:iCs w:val="0"/>
                <w:color w:val="000000"/>
                <w:sz w:val="20"/>
                <w:szCs w:val="20"/>
                <w:u w:val="none"/>
              </w:rPr>
              <w:t xml:space="preserve">  </w:t>
            </w:r>
            <w:r>
              <w:rPr>
                <w:rFonts w:ascii="宋体" w:eastAsia="宋体" w:hAnsi="宋体" w:cs="宋体" w:hint="eastAsia"/>
                <w:b/>
                <w:bCs/>
                <w:i w:val="0"/>
                <w:iCs w:val="0"/>
                <w:color w:val="000000"/>
                <w:sz w:val="20"/>
                <w:szCs w:val="20"/>
                <w:u w:val="none"/>
                <w:lang w:val="en-US"/>
              </w:rPr>
              <w:t>计</w:t>
            </w:r>
          </w:p>
        </w:tc>
        <w:tc>
          <w:tcPr>
            <w:tcW w:w="609"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3,908.64</w:t>
            </w:r>
          </w:p>
        </w:tc>
        <w:tc>
          <w:tcPr>
            <w:tcW w:w="21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pacing w:before="0" w:after="0"/>
              <w:jc w:val="center"/>
              <w:textAlignment w:val="center"/>
              <w:rPr>
                <w:rFonts w:ascii="宋体" w:eastAsia="宋体" w:hAnsi="宋体" w:cs="宋体" w:hint="eastAsia"/>
                <w:b/>
                <w:bCs/>
                <w:i w:val="0"/>
                <w:iCs w:val="0"/>
                <w:color w:val="000000"/>
                <w:kern w:val="0"/>
                <w:sz w:val="20"/>
                <w:szCs w:val="20"/>
                <w:u w:val="none"/>
                <w:lang w:val="en-US" w:bidi="ar"/>
              </w:rPr>
            </w:pPr>
            <w:r>
              <w:rPr>
                <w:rFonts w:ascii="宋体" w:eastAsia="宋体" w:hAnsi="宋体" w:cs="宋体" w:hint="eastAsia"/>
                <w:b/>
                <w:bCs/>
                <w:i w:val="0"/>
                <w:iCs w:val="0"/>
                <w:color w:val="000000"/>
                <w:kern w:val="0"/>
                <w:sz w:val="20"/>
                <w:szCs w:val="20"/>
                <w:u w:val="none"/>
                <w:lang w:val="en-US" w:bidi="ar"/>
              </w:rPr>
              <w:t>支</w:t>
            </w:r>
            <w:r>
              <w:rPr>
                <w:rFonts w:ascii="宋体" w:eastAsia="宋体" w:hAnsi="宋体" w:cs="宋体" w:hint="eastAsia"/>
                <w:b/>
                <w:bCs/>
                <w:i w:val="0"/>
                <w:iCs w:val="0"/>
                <w:color w:val="000000"/>
                <w:kern w:val="0"/>
                <w:sz w:val="20"/>
                <w:szCs w:val="20"/>
                <w:u w:val="none"/>
                <w:lang w:bidi="ar"/>
              </w:rPr>
              <w:t xml:space="preserve">  </w:t>
            </w:r>
            <w:r>
              <w:rPr>
                <w:rFonts w:ascii="宋体" w:eastAsia="宋体" w:hAnsi="宋体" w:cs="宋体" w:hint="eastAsia"/>
                <w:b/>
                <w:bCs/>
                <w:i w:val="0"/>
                <w:iCs w:val="0"/>
                <w:color w:val="000000"/>
                <w:kern w:val="0"/>
                <w:sz w:val="20"/>
                <w:szCs w:val="20"/>
                <w:u w:val="none"/>
                <w:lang w:val="en-US" w:bidi="ar"/>
              </w:rPr>
              <w:t>出</w:t>
            </w:r>
            <w:r>
              <w:rPr>
                <w:rFonts w:ascii="宋体" w:eastAsia="宋体" w:hAnsi="宋体" w:cs="宋体" w:hint="eastAsia"/>
                <w:b/>
                <w:bCs/>
                <w:i w:val="0"/>
                <w:iCs w:val="0"/>
                <w:color w:val="000000"/>
                <w:kern w:val="0"/>
                <w:sz w:val="20"/>
                <w:szCs w:val="20"/>
                <w:u w:val="none"/>
                <w:lang w:bidi="ar"/>
              </w:rPr>
              <w:t xml:space="preserve">  </w:t>
            </w:r>
            <w:r>
              <w:rPr>
                <w:rFonts w:ascii="宋体" w:eastAsia="宋体" w:hAnsi="宋体" w:cs="宋体" w:hint="eastAsia"/>
                <w:b/>
                <w:bCs/>
                <w:i w:val="0"/>
                <w:iCs w:val="0"/>
                <w:color w:val="000000"/>
                <w:kern w:val="0"/>
                <w:sz w:val="20"/>
                <w:szCs w:val="20"/>
                <w:u w:val="none"/>
                <w:lang w:val="en-US" w:bidi="ar"/>
              </w:rPr>
              <w:t>总</w:t>
            </w:r>
            <w:r>
              <w:rPr>
                <w:rFonts w:ascii="宋体" w:eastAsia="宋体" w:hAnsi="宋体" w:cs="宋体" w:hint="eastAsia"/>
                <w:b/>
                <w:bCs/>
                <w:i w:val="0"/>
                <w:iCs w:val="0"/>
                <w:color w:val="000000"/>
                <w:kern w:val="0"/>
                <w:sz w:val="20"/>
                <w:szCs w:val="20"/>
                <w:u w:val="none"/>
                <w:lang w:bidi="ar"/>
              </w:rPr>
              <w:t xml:space="preserve">  </w:t>
            </w:r>
            <w:r>
              <w:rPr>
                <w:rFonts w:ascii="宋体" w:eastAsia="宋体" w:hAnsi="宋体" w:cs="宋体" w:hint="eastAsia"/>
                <w:b/>
                <w:bCs/>
                <w:i w:val="0"/>
                <w:iCs w:val="0"/>
                <w:color w:val="000000"/>
                <w:kern w:val="0"/>
                <w:sz w:val="20"/>
                <w:szCs w:val="20"/>
                <w:u w:val="none"/>
                <w:lang w:val="en-US" w:bidi="ar"/>
              </w:rPr>
              <w:t>计</w:t>
            </w:r>
          </w:p>
        </w:tc>
        <w:tc>
          <w:tcPr>
            <w:tcW w:w="593" w:type="pct"/>
            <w:tcBorders>
              <w:top w:val="single" w:sz="4" w:space="0" w:color="000000"/>
              <w:left w:val="single" w:sz="4" w:space="0" w:color="000000"/>
              <w:bottom w:val="single" w:sz="4" w:space="0" w:color="000000"/>
              <w:right w:val="single" w:sz="4" w:space="0" w:color="000000"/>
            </w:tcBorders>
            <w:shd w:val="clear" w:color="auto" w:fill="auto"/>
            <w:noWrap/>
            <w:tcMar>
              <w:left w:w="20" w:type="dxa"/>
              <w:right w:w="20" w:type="dxa"/>
            </w:tcMar>
            <w:vAlign w:val="center"/>
          </w:tcPr>
          <w:p>
            <w:pPr>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3,908.64</w:t>
            </w:r>
          </w:p>
        </w:tc>
      </w:tr>
    </w:tbl>
    <w:p>
      <w:pPr>
        <w:numPr>
          <w:ilvl w:val="0"/>
          <w:numId w:val="0"/>
        </w:numPr>
        <w:jc w:val="both"/>
        <w:rPr>
          <w:rFonts w:ascii="Times New Roman Regular" w:eastAsia="仿宋_GB2312" w:hAnsi="Times New Roman Regular" w:cs="Times New Roman Regular" w:hint="default"/>
          <w:b w:val="0"/>
          <w:bCs w:val="0"/>
          <w:sz w:val="20"/>
          <w:szCs w:val="20"/>
          <w:lang w:val="en-US"/>
        </w:r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注：本表金额转换成万元保留两位小数时，因四舍五入可能存在尾差。</w:t>
      </w: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
      <w:tblGrid>
        <w:gridCol w:w="1063"/>
        <w:gridCol w:w="3044"/>
        <w:gridCol w:w="1314"/>
        <w:gridCol w:w="1314"/>
        <w:gridCol w:w="1314"/>
        <w:gridCol w:w="1314"/>
        <w:gridCol w:w="1315"/>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ayout w:type="fixed"/>
          <w:tblCellMar>
            <w:top w:w="0" w:type="dxa"/>
            <w:left w:w="108" w:type="dxa"/>
            <w:bottom w:w="0" w:type="dxa"/>
            <w:right w:w="108" w:type="dxa"/>
          </w:tblCellMar>
        </w:tblPrEx>
        <w:trPr>
          <w:trHeight w:val="334"/>
          <w:tblHeader/>
          <w:jc w:val="center"/>
        </w:trPr>
        <w:tc>
          <w:tcPr>
            <w:tcW w:w="497" w:type="pct"/>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425" w:type="pct"/>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15" w:type="pct"/>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461" w:type="pct"/>
            <w:gridSpan w:val="4"/>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公开表5</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334"/>
          <w:tblHeader/>
          <w:jc w:val="center"/>
        </w:trPr>
        <w:tc>
          <w:tcPr>
            <w:tcW w:w="5000" w:type="pct"/>
            <w:gridSpan w:val="7"/>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年一般公共预算支出表</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334"/>
          <w:tblHeader/>
          <w:jc w:val="center"/>
        </w:trPr>
        <w:tc>
          <w:tcPr>
            <w:tcW w:w="497" w:type="pct"/>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425" w:type="pct"/>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15" w:type="pct"/>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461" w:type="pct"/>
            <w:gridSpan w:val="4"/>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bidi="ar"/>
              </w:rPr>
              <w:t>单位：万元</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334"/>
          <w:tblHeader/>
          <w:jc w:val="center"/>
        </w:trPr>
        <w:tc>
          <w:tcPr>
            <w:tcW w:w="497"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科目编码</w:t>
            </w:r>
          </w:p>
        </w:tc>
        <w:tc>
          <w:tcPr>
            <w:tcW w:w="1425"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科目名称</w:t>
            </w:r>
          </w:p>
        </w:tc>
        <w:tc>
          <w:tcPr>
            <w:tcW w:w="615"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1845" w:type="pct"/>
            <w:gridSpan w:val="3"/>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基本支出</w:t>
            </w:r>
          </w:p>
        </w:tc>
        <w:tc>
          <w:tcPr>
            <w:tcW w:w="615"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项目支出</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336"/>
          <w:tblHeader/>
          <w:jc w:val="center"/>
        </w:trPr>
        <w:tc>
          <w:tcPr>
            <w:tcW w:w="497"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1425"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615"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615"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小计</w:t>
            </w:r>
          </w:p>
        </w:tc>
        <w:tc>
          <w:tcPr>
            <w:tcW w:w="615"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人员经费</w:t>
            </w:r>
          </w:p>
        </w:tc>
        <w:tc>
          <w:tcPr>
            <w:tcW w:w="615"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公用经费</w:t>
            </w:r>
          </w:p>
        </w:tc>
        <w:tc>
          <w:tcPr>
            <w:tcW w:w="615"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336"/>
          <w:jc w:val="center"/>
        </w:trPr>
        <w:tc>
          <w:tcPr>
            <w:tcW w:w="497"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sz w:val="18"/>
              </w:rPr>
              <w:t>201</w:t>
            </w:r>
          </w:p>
        </w:tc>
        <w:tc>
          <w:tcPr>
            <w:tcW w:w="1425"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sz w:val="20"/>
                <w:szCs w:val="20"/>
                <w:u w:val="none"/>
              </w:rPr>
            </w:pPr>
            <w:r>
              <w:rPr>
                <w:rFonts w:ascii="Times New Roman" w:eastAsia="宋体" w:hAnsi="Times New Roman"/>
                <w:b/>
                <w:sz w:val="18"/>
              </w:rPr>
              <w:t>一般公共服务支出</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12.74</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3.74</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3.74</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9.00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336"/>
          <w:jc w:val="center"/>
        </w:trPr>
        <w:tc>
          <w:tcPr>
            <w:tcW w:w="497"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val="0"/>
                <w:sz w:val="18"/>
              </w:rPr>
              <w:t>20129</w:t>
            </w:r>
          </w:p>
        </w:tc>
        <w:tc>
          <w:tcPr>
            <w:tcW w:w="1425"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val="0"/>
                <w:sz w:val="18"/>
              </w:rPr>
              <w:t>　群众团体事务</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2.23</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2.23</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2.23</w:t>
            </w:r>
          </w:p>
        </w:tc>
        <w:tc>
          <w:tcPr>
            <w:tcW w:w="61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2012999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其他群众团体事务支出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20132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组织事务</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2013299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其他组织事务支出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20199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其他一般公共服务支出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2019999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其他一般公共服务支出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9.00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sz w:val="18"/>
              </w:rPr>
              <w:t>208</w:t>
            </w:r>
          </w:p>
        </w:tc>
        <w:tc>
          <w:tcPr>
            <w:tcW w:w="3044" w:type="dxa"/>
            <w:tcMar>
              <w:left w:w="20" w:type="dxa"/>
              <w:right w:w="20" w:type="dxa"/>
            </w:tcMar>
            <w:vAlign w:val="center"/>
          </w:tcPr>
          <w:p>
            <w:pPr>
              <w:spacing w:before="0" w:after="0" w:line="240" w:lineRule="auto"/>
            </w:pPr>
            <w:r>
              <w:rPr>
                <w:rFonts w:ascii="Times New Roman" w:eastAsia="宋体" w:hAnsi="Times New Roman"/>
                <w:b/>
                <w:sz w:val="18"/>
              </w:rPr>
              <w:t>社会保障和就业支出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3,831.72</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259.31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233.07</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26.24</w:t>
            </w:r>
          </w:p>
        </w:tc>
        <w:tc>
          <w:tcPr>
            <w:tcW w:w="1315" w:type="dxa"/>
            <w:tcMar>
              <w:left w:w="20" w:type="dxa"/>
              <w:right w:w="20" w:type="dxa"/>
            </w:tcMar>
            <w:vAlign w:val="center"/>
          </w:tcPr>
          <w:p>
            <w:pPr>
              <w:spacing w:before="0" w:after="0" w:line="240" w:lineRule="auto"/>
              <w:jc w:val="right"/>
            </w:pPr>
            <w:r>
              <w:rPr>
                <w:rFonts w:ascii="Times New Roman" w:eastAsia="宋体" w:hAnsi="Times New Roman"/>
                <w:b/>
                <w:sz w:val="18"/>
              </w:rPr>
              <w:t>3,572.40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民政管理事务</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462.31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233.07</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26.24</w:t>
            </w: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203.00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2080201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行政运行</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259.31</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233.07</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26.24</w:t>
            </w: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2080209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老龄事务</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2080299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其他民政管理事务支出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183.00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183.00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社会福利</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1,412.56</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1,412.56</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2081001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儿童福利</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88.38</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88.38</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老年福利</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407.46</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407.46</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2081004</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殡葬</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2081006</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养老服务</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7.82</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7.82</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2081099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其他社会福利支出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870.90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870.90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残疾人事业</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2081107</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残疾人生活和护理补贴</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511.52</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最低生活保障</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2081901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城市最低生活保障金支出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868.42</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20820</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临时救助</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191.58</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191.58</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2082001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临时救助支出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160.40</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160.40</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2082002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流浪乞讨人员救助支出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31.18</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31.18</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20821</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特困人员救助供养</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2082102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农村特困人员救助供养支出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11.31</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其他社会保障和就业支出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2089999</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其他社会保障和就业支出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374.01</w:t>
            </w: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sz w:val="18"/>
              </w:rPr>
              <w:t>221</w:t>
            </w:r>
          </w:p>
        </w:tc>
        <w:tc>
          <w:tcPr>
            <w:tcW w:w="3044" w:type="dxa"/>
            <w:tcMar>
              <w:left w:w="20" w:type="dxa"/>
              <w:right w:w="20" w:type="dxa"/>
            </w:tcMar>
            <w:vAlign w:val="center"/>
          </w:tcPr>
          <w:p>
            <w:pPr>
              <w:spacing w:before="0" w:after="0" w:line="240" w:lineRule="auto"/>
            </w:pPr>
            <w:r>
              <w:rPr>
                <w:rFonts w:ascii="Times New Roman" w:eastAsia="宋体" w:hAnsi="Times New Roman"/>
                <w:b/>
                <w:sz w:val="18"/>
              </w:rPr>
              <w:t>住房保障支出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15.12</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15.12</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sz w:val="18"/>
              </w:rPr>
              <w:t>15.12</w:t>
            </w: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22102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住房改革支出</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15.12</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15.12</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15.12</w:t>
            </w: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2210202</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提租补贴</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7.84</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7.84</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7.84</w:t>
            </w: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1063" w:type="dxa"/>
            <w:tcMar>
              <w:left w:w="20" w:type="dxa"/>
              <w:right w:w="20" w:type="dxa"/>
            </w:tcMar>
            <w:vAlign w:val="center"/>
          </w:tcPr>
          <w:p>
            <w:pPr>
              <w:spacing w:before="0" w:after="0" w:line="240" w:lineRule="auto"/>
            </w:pPr>
            <w:r>
              <w:rPr>
                <w:rFonts w:ascii="Times New Roman" w:eastAsia="宋体" w:hAnsi="Times New Roman"/>
                <w:b w:val="0"/>
                <w:sz w:val="18"/>
              </w:rPr>
              <w:t>2210203</w:t>
            </w:r>
          </w:p>
        </w:tc>
        <w:tc>
          <w:tcPr>
            <w:tcW w:w="3044" w:type="dxa"/>
            <w:tcMar>
              <w:left w:w="20" w:type="dxa"/>
              <w:right w:w="20" w:type="dxa"/>
            </w:tcMar>
            <w:vAlign w:val="center"/>
          </w:tcPr>
          <w:p>
            <w:pPr>
              <w:spacing w:before="0" w:after="0" w:line="240" w:lineRule="auto"/>
            </w:pPr>
            <w:r>
              <w:rPr>
                <w:rFonts w:ascii="Times New Roman" w:eastAsia="宋体" w:hAnsi="Times New Roman"/>
                <w:b w:val="0"/>
                <w:sz w:val="18"/>
              </w:rPr>
              <w:t>　　购房补贴</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7.28</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7.28</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7.28</w:t>
            </w:r>
          </w:p>
        </w:tc>
        <w:tc>
          <w:tcPr>
            <w:tcW w:w="1314" w:type="dxa"/>
            <w:tcMar>
              <w:left w:w="20" w:type="dxa"/>
              <w:right w:w="20" w:type="dxa"/>
            </w:tcMar>
            <w:vAlign w:val="center"/>
          </w:tcPr>
          <w:p>
            <w:pPr>
              <w:spacing w:before="0" w:after="0" w:line="240" w:lineRule="auto"/>
              <w:jc w:val="right"/>
            </w:pPr>
          </w:p>
        </w:tc>
        <w:tc>
          <w:tcPr>
            <w:tcW w:w="1315"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Layout w:type="fixed"/>
          <w:tblCellMar>
            <w:top w:w="0" w:type="dxa"/>
            <w:left w:w="108" w:type="dxa"/>
            <w:bottom w:w="0" w:type="dxa"/>
            <w:right w:w="108" w:type="dxa"/>
          </w:tblCellMar>
        </w:tblPrEx>
        <w:trPr>
          <w:trHeight w:val="4"/>
          <w:jc w:val="center"/>
        </w:trPr>
        <w:tc>
          <w:tcPr>
            <w:tcW w:w="4107" w:type="dxa"/>
            <w:gridSpan w:val="2"/>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3,859.58</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278.18</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248.20</w:t>
            </w:r>
          </w:p>
        </w:tc>
        <w:tc>
          <w:tcPr>
            <w:tcW w:w="1314" w:type="dxa"/>
            <w:tcMar>
              <w:left w:w="20" w:type="dxa"/>
              <w:right w:w="20" w:type="dxa"/>
            </w:tcMar>
            <w:vAlign w:val="center"/>
          </w:tcPr>
          <w:p>
            <w:pPr>
              <w:spacing w:before="0" w:after="0" w:line="240" w:lineRule="auto"/>
              <w:jc w:val="right"/>
            </w:pPr>
            <w:r>
              <w:rPr>
                <w:rFonts w:ascii="Times New Roman" w:eastAsia="宋体" w:hAnsi="Times New Roman"/>
                <w:b w:val="0"/>
                <w:sz w:val="18"/>
              </w:rPr>
              <w:t>29.98</w:t>
            </w:r>
          </w:p>
        </w:tc>
        <w:tc>
          <w:tcPr>
            <w:tcW w:w="1315" w:type="dxa"/>
            <w:tcMar>
              <w:left w:w="20" w:type="dxa"/>
              <w:right w:w="20" w:type="dxa"/>
            </w:tcMar>
            <w:vAlign w:val="center"/>
          </w:tcPr>
          <w:p>
            <w:pPr>
              <w:spacing w:before="0" w:after="0" w:line="240" w:lineRule="auto"/>
              <w:jc w:val="right"/>
            </w:pPr>
            <w:r>
              <w:rPr>
                <w:rFonts w:ascii="Times New Roman" w:eastAsia="宋体" w:hAnsi="Times New Roman"/>
                <w:b w:val="0"/>
                <w:sz w:val="18"/>
              </w:rPr>
              <w:t>3,581.40</w:t>
            </w: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0"/>
          <w:szCs w:val="20"/>
          <w:lang w:val="en-US"/>
        </w:rPr>
        <w:sectPr>
          <w:pgSz w:w="11906" w:h="16838"/>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注：本表金额转换成万元保留两位小数时，因四舍五入可能存在尾差。</w:t>
      </w: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259"/>
        <w:gridCol w:w="3225"/>
        <w:gridCol w:w="1341"/>
        <w:gridCol w:w="1301"/>
        <w:gridCol w:w="1277"/>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4"/>
          <w:tblHeader/>
          <w:jc w:val="center"/>
        </w:trPr>
        <w:tc>
          <w:tcPr>
            <w:tcW w:w="2668" w:type="pct"/>
            <w:gridSpan w:val="2"/>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31" w:type="pct"/>
            <w:gridSpan w:val="3"/>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公开表6</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5000" w:type="pct"/>
            <w:gridSpan w:val="5"/>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年一般公共预算基本支出表</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2668" w:type="pct"/>
            <w:gridSpan w:val="2"/>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31" w:type="pct"/>
            <w:gridSpan w:val="3"/>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bidi="ar"/>
              </w:rPr>
              <w:t>单位：万元</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2668" w:type="pct"/>
            <w:gridSpan w:val="2"/>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部门预算支出经济分类科目</w:t>
            </w:r>
          </w:p>
        </w:tc>
        <w:tc>
          <w:tcPr>
            <w:tcW w:w="2331" w:type="pct"/>
            <w:gridSpan w:val="3"/>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本年一般公共预算基本支出</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749"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科目编码</w:t>
            </w:r>
          </w:p>
        </w:tc>
        <w:tc>
          <w:tcPr>
            <w:tcW w:w="1919"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科目名称</w:t>
            </w:r>
          </w:p>
        </w:tc>
        <w:tc>
          <w:tcPr>
            <w:tcW w:w="798"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774"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人员经费</w:t>
            </w:r>
          </w:p>
        </w:tc>
        <w:tc>
          <w:tcPr>
            <w:tcW w:w="758"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公用经费</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4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sz w:val="18"/>
              </w:rPr>
              <w:t>301</w:t>
            </w:r>
          </w:p>
        </w:tc>
        <w:tc>
          <w:tcPr>
            <w:tcW w:w="1919"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sz w:val="20"/>
                <w:szCs w:val="20"/>
                <w:u w:val="none"/>
              </w:rPr>
            </w:pPr>
            <w:r>
              <w:rPr>
                <w:rFonts w:ascii="Times New Roman" w:eastAsia="宋体" w:hAnsi="Times New Roman"/>
                <w:b/>
                <w:sz w:val="18"/>
              </w:rPr>
              <w:t>工资福利支出</w:t>
            </w:r>
          </w:p>
        </w:tc>
        <w:tc>
          <w:tcPr>
            <w:tcW w:w="7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248.20</w:t>
            </w:r>
          </w:p>
        </w:tc>
        <w:tc>
          <w:tcPr>
            <w:tcW w:w="774"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248.20</w:t>
            </w:r>
          </w:p>
        </w:tc>
        <w:tc>
          <w:tcPr>
            <w:tcW w:w="75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74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val="0"/>
                <w:sz w:val="18"/>
              </w:rPr>
              <w:t>30101</w:t>
            </w:r>
          </w:p>
        </w:tc>
        <w:tc>
          <w:tcPr>
            <w:tcW w:w="1919"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val="0"/>
                <w:sz w:val="18"/>
              </w:rPr>
              <w:t>　基本工资</w:t>
            </w:r>
          </w:p>
        </w:tc>
        <w:tc>
          <w:tcPr>
            <w:tcW w:w="79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68.24</w:t>
            </w:r>
          </w:p>
        </w:tc>
        <w:tc>
          <w:tcPr>
            <w:tcW w:w="774"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68.24</w:t>
            </w:r>
          </w:p>
        </w:tc>
        <w:tc>
          <w:tcPr>
            <w:tcW w:w="75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30102</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津贴补贴</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35.56</w:t>
            </w:r>
          </w:p>
        </w:tc>
        <w:tc>
          <w:tcPr>
            <w:tcW w:w="1301" w:type="dxa"/>
            <w:tcMar>
              <w:left w:w="20" w:type="dxa"/>
              <w:right w:w="20" w:type="dxa"/>
            </w:tcMar>
            <w:vAlign w:val="center"/>
          </w:tcPr>
          <w:p>
            <w:pPr>
              <w:spacing w:before="0" w:after="0" w:line="240" w:lineRule="auto"/>
              <w:jc w:val="right"/>
            </w:pPr>
            <w:r>
              <w:rPr>
                <w:rFonts w:ascii="Times New Roman" w:eastAsia="宋体" w:hAnsi="Times New Roman"/>
                <w:b w:val="0"/>
                <w:sz w:val="18"/>
              </w:rPr>
              <w:t>35.56</w:t>
            </w:r>
          </w:p>
        </w:tc>
        <w:tc>
          <w:tcPr>
            <w:tcW w:w="1277"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30103</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奖金</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60.41</w:t>
            </w:r>
          </w:p>
        </w:tc>
        <w:tc>
          <w:tcPr>
            <w:tcW w:w="1301" w:type="dxa"/>
            <w:tcMar>
              <w:left w:w="20" w:type="dxa"/>
              <w:right w:w="20" w:type="dxa"/>
            </w:tcMar>
            <w:vAlign w:val="center"/>
          </w:tcPr>
          <w:p>
            <w:pPr>
              <w:spacing w:before="0" w:after="0" w:line="240" w:lineRule="auto"/>
              <w:jc w:val="right"/>
            </w:pPr>
            <w:r>
              <w:rPr>
                <w:rFonts w:ascii="Times New Roman" w:eastAsia="宋体" w:hAnsi="Times New Roman"/>
                <w:b w:val="0"/>
                <w:sz w:val="18"/>
              </w:rPr>
              <w:t>60.41</w:t>
            </w:r>
          </w:p>
        </w:tc>
        <w:tc>
          <w:tcPr>
            <w:tcW w:w="1277"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30107</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绩效工资</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27.05</w:t>
            </w:r>
          </w:p>
        </w:tc>
        <w:tc>
          <w:tcPr>
            <w:tcW w:w="1301" w:type="dxa"/>
            <w:tcMar>
              <w:left w:w="20" w:type="dxa"/>
              <w:right w:w="20" w:type="dxa"/>
            </w:tcMar>
            <w:vAlign w:val="center"/>
          </w:tcPr>
          <w:p>
            <w:pPr>
              <w:spacing w:before="0" w:after="0" w:line="240" w:lineRule="auto"/>
              <w:jc w:val="right"/>
            </w:pPr>
            <w:r>
              <w:rPr>
                <w:rFonts w:ascii="Times New Roman" w:eastAsia="宋体" w:hAnsi="Times New Roman"/>
                <w:b w:val="0"/>
                <w:sz w:val="18"/>
              </w:rPr>
              <w:t>27.05</w:t>
            </w:r>
          </w:p>
        </w:tc>
        <w:tc>
          <w:tcPr>
            <w:tcW w:w="1277"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30199</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其他工资福利支出</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56.93</w:t>
            </w:r>
          </w:p>
        </w:tc>
        <w:tc>
          <w:tcPr>
            <w:tcW w:w="1301" w:type="dxa"/>
            <w:tcMar>
              <w:left w:w="20" w:type="dxa"/>
              <w:right w:w="20" w:type="dxa"/>
            </w:tcMar>
            <w:vAlign w:val="center"/>
          </w:tcPr>
          <w:p>
            <w:pPr>
              <w:spacing w:before="0" w:after="0" w:line="240" w:lineRule="auto"/>
              <w:jc w:val="right"/>
            </w:pPr>
            <w:r>
              <w:rPr>
                <w:rFonts w:ascii="Times New Roman" w:eastAsia="宋体" w:hAnsi="Times New Roman"/>
                <w:b w:val="0"/>
                <w:sz w:val="18"/>
              </w:rPr>
              <w:t>56.93</w:t>
            </w:r>
          </w:p>
        </w:tc>
        <w:tc>
          <w:tcPr>
            <w:tcW w:w="1277" w:type="dxa"/>
            <w:tcMar>
              <w:left w:w="20" w:type="dxa"/>
              <w:right w:w="20" w:type="dxa"/>
            </w:tcMar>
            <w:vAlign w:val="center"/>
          </w:tcPr>
          <w:p>
            <w:pPr>
              <w:spacing w:before="0" w:after="0" w:line="240" w:lineRule="auto"/>
              <w:jc w:val="right"/>
            </w:pP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sz w:val="18"/>
              </w:rPr>
              <w:t>302</w:t>
            </w:r>
          </w:p>
        </w:tc>
        <w:tc>
          <w:tcPr>
            <w:tcW w:w="3225" w:type="dxa"/>
            <w:tcMar>
              <w:left w:w="20" w:type="dxa"/>
              <w:right w:w="20" w:type="dxa"/>
            </w:tcMar>
            <w:vAlign w:val="center"/>
          </w:tcPr>
          <w:p>
            <w:pPr>
              <w:spacing w:before="0" w:after="0" w:line="240" w:lineRule="auto"/>
            </w:pPr>
            <w:r>
              <w:rPr>
                <w:rFonts w:ascii="Times New Roman" w:eastAsia="宋体" w:hAnsi="Times New Roman"/>
                <w:b/>
                <w:sz w:val="18"/>
              </w:rPr>
              <w:t>商品和服务支出</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sz w:val="18"/>
              </w:rPr>
              <w:t>29.18</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sz w:val="18"/>
              </w:rPr>
              <w:t>29.18</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30201</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办公费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18.02</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18.02</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30202</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印刷费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5.00</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5.00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30211</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差旅费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2.00</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2.00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30216</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培训费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1.51</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30217</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公务接待费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0.42</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0.42</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30228</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工会经费</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2.23</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sz w:val="18"/>
              </w:rPr>
              <w:t>310</w:t>
            </w:r>
          </w:p>
        </w:tc>
        <w:tc>
          <w:tcPr>
            <w:tcW w:w="3225" w:type="dxa"/>
            <w:tcMar>
              <w:left w:w="20" w:type="dxa"/>
              <w:right w:w="20" w:type="dxa"/>
            </w:tcMar>
            <w:vAlign w:val="center"/>
          </w:tcPr>
          <w:p>
            <w:pPr>
              <w:spacing w:before="0" w:after="0" w:line="240" w:lineRule="auto"/>
            </w:pPr>
            <w:r>
              <w:rPr>
                <w:rFonts w:ascii="Times New Roman" w:eastAsia="宋体" w:hAnsi="Times New Roman"/>
                <w:b/>
                <w:sz w:val="18"/>
              </w:rPr>
              <w:t>资本性支出</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sz w:val="18"/>
              </w:rPr>
              <w:t>0.80</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sz w:val="18"/>
              </w:rPr>
              <w:t>0.80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259" w:type="dxa"/>
            <w:tcMar>
              <w:left w:w="20" w:type="dxa"/>
              <w:right w:w="20" w:type="dxa"/>
            </w:tcMar>
            <w:vAlign w:val="center"/>
          </w:tcPr>
          <w:p>
            <w:pPr>
              <w:spacing w:before="0" w:after="0" w:line="240" w:lineRule="auto"/>
            </w:pPr>
            <w:r>
              <w:rPr>
                <w:rFonts w:ascii="Times New Roman" w:eastAsia="宋体" w:hAnsi="Times New Roman"/>
                <w:b w:val="0"/>
                <w:sz w:val="18"/>
              </w:rPr>
              <w:t>31002</w:t>
            </w:r>
          </w:p>
        </w:tc>
        <w:tc>
          <w:tcPr>
            <w:tcW w:w="3225" w:type="dxa"/>
            <w:tcMar>
              <w:left w:w="20" w:type="dxa"/>
              <w:right w:w="20" w:type="dxa"/>
            </w:tcMar>
            <w:vAlign w:val="center"/>
          </w:tcPr>
          <w:p>
            <w:pPr>
              <w:spacing w:before="0" w:after="0" w:line="240" w:lineRule="auto"/>
            </w:pPr>
            <w:r>
              <w:rPr>
                <w:rFonts w:ascii="Times New Roman" w:eastAsia="宋体" w:hAnsi="Times New Roman"/>
                <w:b w:val="0"/>
                <w:sz w:val="18"/>
              </w:rPr>
              <w:t>　办公设备购置</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0.80</w:t>
            </w:r>
          </w:p>
        </w:tc>
        <w:tc>
          <w:tcPr>
            <w:tcW w:w="1301" w:type="dxa"/>
            <w:tcMar>
              <w:left w:w="20" w:type="dxa"/>
              <w:right w:w="20" w:type="dxa"/>
            </w:tcMar>
            <w:vAlign w:val="center"/>
          </w:tcPr>
          <w:p>
            <w:pPr>
              <w:spacing w:before="0" w:after="0" w:line="240" w:lineRule="auto"/>
              <w:jc w:val="right"/>
            </w:pP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0.80</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4484" w:type="dxa"/>
            <w:gridSpan w:val="2"/>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1341" w:type="dxa"/>
            <w:tcMar>
              <w:left w:w="20" w:type="dxa"/>
              <w:right w:w="20" w:type="dxa"/>
            </w:tcMar>
            <w:vAlign w:val="center"/>
          </w:tcPr>
          <w:p>
            <w:pPr>
              <w:spacing w:before="0" w:after="0" w:line="240" w:lineRule="auto"/>
              <w:jc w:val="right"/>
            </w:pPr>
            <w:r>
              <w:rPr>
                <w:rFonts w:ascii="Times New Roman" w:eastAsia="宋体" w:hAnsi="Times New Roman"/>
                <w:b w:val="0"/>
                <w:sz w:val="18"/>
              </w:rPr>
              <w:t>278.18</w:t>
            </w:r>
          </w:p>
        </w:tc>
        <w:tc>
          <w:tcPr>
            <w:tcW w:w="1301" w:type="dxa"/>
            <w:tcMar>
              <w:left w:w="20" w:type="dxa"/>
              <w:right w:w="20" w:type="dxa"/>
            </w:tcMar>
            <w:vAlign w:val="center"/>
          </w:tcPr>
          <w:p>
            <w:pPr>
              <w:spacing w:before="0" w:after="0" w:line="240" w:lineRule="auto"/>
              <w:jc w:val="right"/>
            </w:pPr>
            <w:r>
              <w:rPr>
                <w:rFonts w:ascii="Times New Roman" w:eastAsia="宋体" w:hAnsi="Times New Roman"/>
                <w:b w:val="0"/>
                <w:sz w:val="18"/>
              </w:rPr>
              <w:t>248.20</w:t>
            </w:r>
          </w:p>
        </w:tc>
        <w:tc>
          <w:tcPr>
            <w:tcW w:w="1277" w:type="dxa"/>
            <w:tcMar>
              <w:left w:w="20" w:type="dxa"/>
              <w:right w:w="20" w:type="dxa"/>
            </w:tcMar>
            <w:vAlign w:val="center"/>
          </w:tcPr>
          <w:p>
            <w:pPr>
              <w:spacing w:before="0" w:after="0" w:line="240" w:lineRule="auto"/>
              <w:jc w:val="right"/>
            </w:pPr>
            <w:r>
              <w:rPr>
                <w:rFonts w:ascii="Times New Roman" w:eastAsia="宋体" w:hAnsi="Times New Roman"/>
                <w:b w:val="0"/>
                <w:sz w:val="18"/>
              </w:rPr>
              <w:t>29.98</w:t>
            </w: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0"/>
          <w:szCs w:val="20"/>
          <w:lang w:val="en-US"/>
        </w:rPr>
        <w:sectPr>
          <w:pgSz w:w="11906" w:h="16838"/>
          <w:pgMar w:top="1780" w:right="1916" w:bottom="1497" w:left="180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eastAsia"/>
          <w:b w:val="0"/>
          <w:bCs w:val="0"/>
          <w:sz w:val="20"/>
          <w:szCs w:val="20"/>
          <w:lang w:val="en-US"/>
        </w:rPr>
        <w:t>注：本表金额转换成万元保留两位小数时，因四舍五入可能存在尾差。</w:t>
      </w: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484"/>
        <w:gridCol w:w="4275"/>
        <w:gridCol w:w="1636"/>
        <w:gridCol w:w="1636"/>
        <w:gridCol w:w="1647"/>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4"/>
          <w:tblHeader/>
          <w:jc w:val="center"/>
        </w:trPr>
        <w:tc>
          <w:tcPr>
            <w:tcW w:w="695" w:type="pct"/>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002" w:type="pct"/>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01" w:type="pct"/>
            <w:gridSpan w:val="3"/>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公开表7</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5000" w:type="pct"/>
            <w:gridSpan w:val="5"/>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年政府性基金预算支出表</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695" w:type="pct"/>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002" w:type="pct"/>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01" w:type="pct"/>
            <w:gridSpan w:val="3"/>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bidi="ar"/>
              </w:rPr>
              <w:t>单位：万元</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695"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科目编码</w:t>
            </w:r>
          </w:p>
        </w:tc>
        <w:tc>
          <w:tcPr>
            <w:tcW w:w="2002" w:type="pct"/>
            <w:vMerge w:val="restart"/>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科目名称</w:t>
            </w:r>
          </w:p>
        </w:tc>
        <w:tc>
          <w:tcPr>
            <w:tcW w:w="2301" w:type="pct"/>
            <w:gridSpan w:val="3"/>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本年政府性基金预算支出</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695"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2002" w:type="pct"/>
            <w:vMerge/>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766"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766"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基本支出</w:t>
            </w:r>
          </w:p>
        </w:tc>
        <w:tc>
          <w:tcPr>
            <w:tcW w:w="769"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项目支出</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69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sz w:val="18"/>
              </w:rPr>
              <w:t>229</w:t>
            </w:r>
          </w:p>
        </w:tc>
        <w:tc>
          <w:tcPr>
            <w:tcW w:w="2002"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sz w:val="20"/>
                <w:szCs w:val="20"/>
                <w:u w:val="none"/>
              </w:rPr>
            </w:pPr>
            <w:r>
              <w:rPr>
                <w:rFonts w:ascii="Times New Roman" w:eastAsia="宋体" w:hAnsi="Times New Roman"/>
                <w:b/>
                <w:sz w:val="18"/>
              </w:rPr>
              <w:t>其他支出</w:t>
            </w:r>
          </w:p>
        </w:tc>
        <w:tc>
          <w:tcPr>
            <w:tcW w:w="76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49.06</w:t>
            </w:r>
          </w:p>
        </w:tc>
        <w:tc>
          <w:tcPr>
            <w:tcW w:w="76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76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sz w:val="18"/>
              </w:rPr>
              <w:t>49.06</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69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b/>
                <w:bCs/>
                <w:i w:val="0"/>
                <w:iCs w:val="0"/>
                <w:color w:val="000000"/>
                <w:sz w:val="20"/>
                <w:szCs w:val="20"/>
                <w:u w:val="none"/>
              </w:rPr>
            </w:pPr>
            <w:r>
              <w:rPr>
                <w:rFonts w:ascii="Times New Roman" w:eastAsia="宋体" w:hAnsi="Times New Roman"/>
                <w:b w:val="0"/>
                <w:sz w:val="18"/>
              </w:rPr>
              <w:t>22960</w:t>
            </w:r>
          </w:p>
        </w:tc>
        <w:tc>
          <w:tcPr>
            <w:tcW w:w="2002"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val="0"/>
                <w:sz w:val="18"/>
              </w:rPr>
              <w:t>　彩票公益金安排的支出</w:t>
            </w:r>
          </w:p>
        </w:tc>
        <w:tc>
          <w:tcPr>
            <w:tcW w:w="76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c>
          <w:tcPr>
            <w:tcW w:w="76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769"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49.06</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1484" w:type="dxa"/>
            <w:tcMar>
              <w:left w:w="20" w:type="dxa"/>
              <w:right w:w="20" w:type="dxa"/>
            </w:tcMar>
            <w:vAlign w:val="center"/>
          </w:tcPr>
          <w:p>
            <w:pPr>
              <w:spacing w:before="0" w:after="0" w:line="240" w:lineRule="auto"/>
            </w:pPr>
            <w:r>
              <w:rPr>
                <w:rFonts w:ascii="Times New Roman" w:eastAsia="宋体" w:hAnsi="Times New Roman"/>
                <w:b w:val="0"/>
                <w:sz w:val="18"/>
              </w:rPr>
              <w:t>2296002</w:t>
            </w:r>
          </w:p>
        </w:tc>
        <w:tc>
          <w:tcPr>
            <w:tcW w:w="4275" w:type="dxa"/>
            <w:tcMar>
              <w:left w:w="20" w:type="dxa"/>
              <w:right w:w="20" w:type="dxa"/>
            </w:tcMar>
            <w:vAlign w:val="center"/>
          </w:tcPr>
          <w:p>
            <w:pPr>
              <w:spacing w:before="0" w:after="0" w:line="240" w:lineRule="auto"/>
            </w:pPr>
            <w:r>
              <w:rPr>
                <w:rFonts w:ascii="Times New Roman" w:eastAsia="宋体" w:hAnsi="Times New Roman"/>
                <w:b w:val="0"/>
                <w:sz w:val="18"/>
              </w:rPr>
              <w:t>　　用于社会福利的彩票公益金支出</w:t>
            </w:r>
          </w:p>
        </w:tc>
        <w:tc>
          <w:tcPr>
            <w:tcW w:w="163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636" w:type="dxa"/>
            <w:tcMar>
              <w:left w:w="20" w:type="dxa"/>
              <w:right w:w="20" w:type="dxa"/>
            </w:tcMar>
            <w:vAlign w:val="center"/>
          </w:tcPr>
          <w:p>
            <w:pPr>
              <w:spacing w:before="0" w:after="0" w:line="240" w:lineRule="auto"/>
              <w:jc w:val="right"/>
            </w:pPr>
          </w:p>
        </w:tc>
        <w:tc>
          <w:tcPr>
            <w:tcW w:w="1647"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r>
      <w:tr>
        <w:tblPrEx>
          <w:tblW w:w="4998" w:type="pct"/>
          <w:jc w:val="center"/>
          <w:tblInd w:w="0" w:type="dxa"/>
          <w:shd w:val="clear" w:color="auto" w:fill="auto"/>
          <w:tblCellMar>
            <w:top w:w="0" w:type="dxa"/>
            <w:left w:w="108" w:type="dxa"/>
            <w:bottom w:w="0" w:type="dxa"/>
            <w:right w:w="108" w:type="dxa"/>
          </w:tblCellMar>
        </w:tblPrEx>
        <w:trPr>
          <w:trHeight w:val="4"/>
          <w:jc w:val="center"/>
        </w:trPr>
        <w:tc>
          <w:tcPr>
            <w:tcW w:w="5759" w:type="dxa"/>
            <w:gridSpan w:val="2"/>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1636"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636" w:type="dxa"/>
            <w:tcMar>
              <w:left w:w="20" w:type="dxa"/>
              <w:right w:w="20" w:type="dxa"/>
            </w:tcMar>
            <w:vAlign w:val="center"/>
          </w:tcPr>
          <w:p>
            <w:pPr>
              <w:spacing w:before="0" w:after="0" w:line="240" w:lineRule="auto"/>
              <w:jc w:val="right"/>
            </w:pPr>
          </w:p>
        </w:tc>
        <w:tc>
          <w:tcPr>
            <w:tcW w:w="1647"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18"/>
          <w:szCs w:val="18"/>
        </w:rPr>
        <w:sectPr>
          <w:pgSz w:w="11906" w:h="16838"/>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注：本表金额转换成万元保留两位小数时，因四舍五入可能存在尾差。</w:t>
      </w:r>
    </w:p>
    <w:tbl>
      <w:tblPr>
        <w:tblStyle w:val="TableNormal"/>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1480"/>
        <w:gridCol w:w="4284"/>
        <w:gridCol w:w="1632"/>
        <w:gridCol w:w="1638"/>
        <w:gridCol w:w="1644"/>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4"/>
          <w:tblHeader/>
          <w:jc w:val="center"/>
        </w:trPr>
        <w:tc>
          <w:tcPr>
            <w:tcW w:w="2699" w:type="pct"/>
            <w:gridSpan w:val="2"/>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00" w:type="pct"/>
            <w:gridSpan w:val="3"/>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公开表8</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5000" w:type="pct"/>
            <w:gridSpan w:val="5"/>
            <w:tcBorders>
              <w:top w:val="nil"/>
              <w:left w:val="nil"/>
              <w:bottom w:val="nil"/>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年国有资本经营预算支出表</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2699" w:type="pct"/>
            <w:gridSpan w:val="2"/>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300" w:type="pct"/>
            <w:gridSpan w:val="3"/>
            <w:tcBorders>
              <w:top w:val="nil"/>
              <w:left w:val="nil"/>
              <w:bottom w:val="single" w:sz="4" w:space="0" w:color="auto"/>
              <w:right w:val="nil"/>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2699" w:type="pct"/>
            <w:gridSpan w:val="2"/>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功能分类科目</w:t>
            </w:r>
          </w:p>
        </w:tc>
        <w:tc>
          <w:tcPr>
            <w:tcW w:w="2300" w:type="pct"/>
            <w:gridSpan w:val="3"/>
            <w:tcBorders>
              <w:top w:val="single" w:sz="4" w:space="0" w:color="auto"/>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国有资本经营预算拨款支出</w:t>
            </w:r>
          </w:p>
        </w:tc>
      </w:tr>
      <w:tr>
        <w:tblPrEx>
          <w:tblW w:w="4998" w:type="pct"/>
          <w:jc w:val="center"/>
          <w:tblInd w:w="0" w:type="dxa"/>
          <w:shd w:val="clear" w:color="auto" w:fill="auto"/>
          <w:tblCellMar>
            <w:top w:w="0" w:type="dxa"/>
            <w:left w:w="108" w:type="dxa"/>
            <w:bottom w:w="0" w:type="dxa"/>
            <w:right w:w="108" w:type="dxa"/>
          </w:tblCellMar>
        </w:tblPrEx>
        <w:trPr>
          <w:trHeight w:val="334"/>
          <w:tblHeader/>
          <w:jc w:val="center"/>
        </w:trPr>
        <w:tc>
          <w:tcPr>
            <w:tcW w:w="693"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科目编码</w:t>
            </w:r>
          </w:p>
        </w:tc>
        <w:tc>
          <w:tcPr>
            <w:tcW w:w="2005"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科目名称</w:t>
            </w:r>
          </w:p>
        </w:tc>
        <w:tc>
          <w:tcPr>
            <w:tcW w:w="764"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767"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基本支出</w:t>
            </w:r>
          </w:p>
        </w:tc>
        <w:tc>
          <w:tcPr>
            <w:tcW w:w="768"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项目支出</w:t>
            </w:r>
          </w:p>
        </w:tc>
      </w:tr>
      <w:tr>
        <w:tblPrEx>
          <w:tblW w:w="4998" w:type="pct"/>
          <w:jc w:val="center"/>
          <w:tblInd w:w="0" w:type="dxa"/>
          <w:shd w:val="clear" w:color="auto" w:fill="auto"/>
          <w:tblCellMar>
            <w:top w:w="0" w:type="dxa"/>
            <w:left w:w="108" w:type="dxa"/>
            <w:bottom w:w="0" w:type="dxa"/>
            <w:right w:w="108" w:type="dxa"/>
          </w:tblCellMar>
        </w:tblPrEx>
        <w:trPr>
          <w:trHeight w:val="336"/>
          <w:jc w:val="center"/>
        </w:trPr>
        <w:tc>
          <w:tcPr>
            <w:tcW w:w="693" w:type="pct"/>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spacing w:before="0" w:after="0"/>
              <w:jc w:val="both"/>
              <w:rPr>
                <w:rFonts w:ascii="宋体" w:eastAsia="宋体" w:hAnsi="宋体" w:cs="宋体" w:hint="eastAsia"/>
                <w:b/>
                <w:bCs/>
                <w:i w:val="0"/>
                <w:iCs w:val="0"/>
                <w:color w:val="000000"/>
                <w:sz w:val="20"/>
                <w:szCs w:val="20"/>
                <w:u w:val="none"/>
              </w:rPr>
            </w:pPr>
          </w:p>
        </w:tc>
        <w:tc>
          <w:tcPr>
            <w:tcW w:w="2005" w:type="pct"/>
            <w:tcBorders>
              <w:tl2br w:val="nil"/>
              <w:tr2bl w:val="nil"/>
            </w:tcBorders>
            <w:shd w:val="clear" w:color="auto" w:fill="auto"/>
            <w:noWrap/>
            <w:vAlign w:val="center"/>
          </w:tcPr>
          <w:p>
            <w:pPr>
              <w:keepNext w:val="0"/>
              <w:keepLines/>
              <w:pageBreakBefore w:val="0"/>
              <w:widowControl/>
              <w:suppressLineNumbers w:val="0"/>
              <w:kinsoku/>
              <w:wordWrap/>
              <w:overflowPunct/>
              <w:topLinePunct w:val="0"/>
              <w:autoSpaceDE/>
              <w:autoSpaceDN/>
              <w:bidi w:val="0"/>
              <w:adjustRightInd/>
              <w:snapToGrid/>
              <w:spacing w:before="0" w:after="0"/>
              <w:jc w:val="both"/>
              <w:textAlignment w:val="center"/>
              <w:rPr>
                <w:rFonts w:ascii="宋体" w:eastAsia="宋体" w:hAnsi="宋体" w:cs="宋体" w:hint="eastAsia"/>
                <w:b/>
                <w:bCs/>
                <w:i w:val="0"/>
                <w:iCs w:val="0"/>
                <w:color w:val="000000"/>
                <w:sz w:val="20"/>
                <w:szCs w:val="20"/>
                <w:u w:val="none"/>
              </w:rPr>
            </w:pPr>
          </w:p>
        </w:tc>
        <w:tc>
          <w:tcPr>
            <w:tcW w:w="764" w:type="pct"/>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spacing w:before="0" w:after="0"/>
              <w:jc w:val="right"/>
              <w:rPr>
                <w:rFonts w:ascii="宋体" w:eastAsia="宋体" w:hAnsi="宋体" w:cs="宋体" w:hint="eastAsia"/>
                <w:i w:val="0"/>
                <w:iCs w:val="0"/>
                <w:color w:val="000000"/>
                <w:sz w:val="20"/>
                <w:szCs w:val="20"/>
                <w:u w:val="none"/>
              </w:rPr>
            </w:pPr>
          </w:p>
        </w:tc>
        <w:tc>
          <w:tcPr>
            <w:tcW w:w="767" w:type="pct"/>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spacing w:before="0" w:after="0"/>
              <w:jc w:val="right"/>
              <w:rPr>
                <w:rFonts w:ascii="宋体" w:eastAsia="宋体" w:hAnsi="宋体" w:cs="宋体" w:hint="eastAsia"/>
                <w:i w:val="0"/>
                <w:iCs w:val="0"/>
                <w:color w:val="000000"/>
                <w:sz w:val="20"/>
                <w:szCs w:val="20"/>
                <w:u w:val="none"/>
              </w:rPr>
            </w:pPr>
          </w:p>
        </w:tc>
        <w:tc>
          <w:tcPr>
            <w:tcW w:w="768" w:type="pct"/>
            <w:tcBorders>
              <w:tl2br w:val="nil"/>
              <w:tr2bl w:val="nil"/>
            </w:tcBorders>
            <w:shd w:val="clear" w:color="auto" w:fill="auto"/>
            <w:noWrap/>
            <w:vAlign w:val="center"/>
          </w:tcPr>
          <w:p>
            <w:pPr>
              <w:keepNext w:val="0"/>
              <w:keepLines/>
              <w:pageBreakBefore w:val="0"/>
              <w:widowControl/>
              <w:kinsoku/>
              <w:wordWrap/>
              <w:overflowPunct/>
              <w:topLinePunct w:val="0"/>
              <w:autoSpaceDE/>
              <w:autoSpaceDN/>
              <w:bidi w:val="0"/>
              <w:adjustRightInd/>
              <w:snapToGrid/>
              <w:spacing w:before="0" w:after="0"/>
              <w:jc w:val="right"/>
              <w:rPr>
                <w:rFonts w:ascii="宋体" w:eastAsia="宋体" w:hAnsi="宋体" w:cs="宋体" w:hint="eastAsia"/>
                <w:i w:val="0"/>
                <w:iCs w:val="0"/>
                <w:color w:val="000000"/>
                <w:sz w:val="20"/>
                <w:szCs w:val="20"/>
                <w:u w:val="none"/>
              </w:rPr>
            </w:pP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4"/>
          <w:szCs w:val="24"/>
          <w:lang w:val="en-US"/>
        </w:rPr>
        <w:sectPr>
          <w:pgSz w:w="11906" w:h="16838"/>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注：铜陵市铜官区民政局没有国有资本经营预算拨款收入，也没有国有资本经营预算拨款安排的支出，故本表无数据。</w:t>
      </w:r>
    </w:p>
    <w:tbl>
      <w:tblPr>
        <w:tblStyle w:val="TableGrid"/>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969"/>
        <w:gridCol w:w="2075"/>
        <w:gridCol w:w="2116"/>
        <w:gridCol w:w="1139"/>
        <w:gridCol w:w="1139"/>
        <w:gridCol w:w="1155"/>
        <w:gridCol w:w="1158"/>
        <w:gridCol w:w="1155"/>
        <w:gridCol w:w="1139"/>
        <w:gridCol w:w="1139"/>
        <w:gridCol w:w="1139"/>
        <w:gridCol w:w="1279"/>
      </w:tblGrid>
      <w:tr>
        <w:tblPrEx>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4"/>
          <w:tblHeader/>
          <w:jc w:val="center"/>
        </w:trPr>
        <w:tc>
          <w:tcPr>
            <w:tcW w:w="311"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65"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78"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365"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106" w:type="pct"/>
            <w:gridSpan w:val="3"/>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873" w:type="pct"/>
            <w:gridSpan w:val="5"/>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公开表9</w:t>
            </w:r>
          </w:p>
        </w:tc>
      </w:tr>
      <w:tr>
        <w:tblPrEx>
          <w:tblW w:w="4996" w:type="pct"/>
          <w:jc w:val="center"/>
          <w:tblInd w:w="0" w:type="dxa"/>
          <w:shd w:val="clear" w:color="auto" w:fill="auto"/>
          <w:tblCellMar>
            <w:top w:w="0" w:type="dxa"/>
            <w:left w:w="108" w:type="dxa"/>
            <w:bottom w:w="0" w:type="dxa"/>
            <w:right w:w="108" w:type="dxa"/>
          </w:tblCellMar>
        </w:tblPrEx>
        <w:trPr>
          <w:trHeight w:val="334"/>
          <w:tblHeader/>
          <w:jc w:val="center"/>
        </w:trPr>
        <w:tc>
          <w:tcPr>
            <w:tcW w:w="5000" w:type="pct"/>
            <w:gridSpan w:val="12"/>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年项目支出表</w:t>
            </w:r>
          </w:p>
        </w:tc>
      </w:tr>
      <w:tr>
        <w:tblPrEx>
          <w:tblW w:w="4996" w:type="pct"/>
          <w:jc w:val="center"/>
          <w:tblInd w:w="0" w:type="dxa"/>
          <w:shd w:val="clear" w:color="auto" w:fill="auto"/>
          <w:tblCellMar>
            <w:top w:w="0" w:type="dxa"/>
            <w:left w:w="108" w:type="dxa"/>
            <w:bottom w:w="0" w:type="dxa"/>
            <w:right w:w="108" w:type="dxa"/>
          </w:tblCellMar>
        </w:tblPrEx>
        <w:trPr>
          <w:trHeight w:val="334"/>
          <w:tblHeader/>
          <w:jc w:val="center"/>
        </w:trPr>
        <w:tc>
          <w:tcPr>
            <w:tcW w:w="311"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65"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678"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365"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106" w:type="pct"/>
            <w:gridSpan w:val="3"/>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873" w:type="pct"/>
            <w:gridSpan w:val="5"/>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4996" w:type="pct"/>
          <w:jc w:val="center"/>
          <w:tblInd w:w="0" w:type="dxa"/>
          <w:shd w:val="clear" w:color="auto" w:fill="auto"/>
          <w:tblCellMar>
            <w:top w:w="0" w:type="dxa"/>
            <w:left w:w="108" w:type="dxa"/>
            <w:bottom w:w="0" w:type="dxa"/>
            <w:right w:w="108" w:type="dxa"/>
          </w:tblCellMar>
        </w:tblPrEx>
        <w:trPr>
          <w:trHeight w:val="334"/>
          <w:tblHeader/>
          <w:jc w:val="center"/>
        </w:trPr>
        <w:tc>
          <w:tcPr>
            <w:tcW w:w="311"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类型</w:t>
            </w:r>
          </w:p>
        </w:tc>
        <w:tc>
          <w:tcPr>
            <w:tcW w:w="665"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项目名称</w:t>
            </w:r>
          </w:p>
        </w:tc>
        <w:tc>
          <w:tcPr>
            <w:tcW w:w="678"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项目单位</w:t>
            </w:r>
          </w:p>
        </w:tc>
        <w:tc>
          <w:tcPr>
            <w:tcW w:w="365"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1106" w:type="pct"/>
            <w:gridSpan w:val="3"/>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本年财政拨款</w:t>
            </w:r>
          </w:p>
        </w:tc>
        <w:tc>
          <w:tcPr>
            <w:tcW w:w="1100" w:type="pct"/>
            <w:gridSpan w:val="3"/>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财政拨款结转结余</w:t>
            </w:r>
          </w:p>
        </w:tc>
        <w:tc>
          <w:tcPr>
            <w:tcW w:w="365"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财政专户管理资金</w:t>
            </w:r>
          </w:p>
        </w:tc>
        <w:tc>
          <w:tcPr>
            <w:tcW w:w="406" w:type="pct"/>
            <w:vMerge w:val="restar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单位资金</w:t>
            </w:r>
          </w:p>
        </w:tc>
      </w:tr>
      <w:tr>
        <w:tblPrEx>
          <w:tblW w:w="4996" w:type="pct"/>
          <w:jc w:val="center"/>
          <w:tblInd w:w="0" w:type="dxa"/>
          <w:shd w:val="clear" w:color="auto" w:fill="auto"/>
          <w:tblCellMar>
            <w:top w:w="0" w:type="dxa"/>
            <w:left w:w="108" w:type="dxa"/>
            <w:bottom w:w="0" w:type="dxa"/>
            <w:right w:w="108" w:type="dxa"/>
          </w:tblCellMar>
        </w:tblPrEx>
        <w:trPr>
          <w:trHeight w:val="1020"/>
          <w:tblHeader/>
          <w:jc w:val="center"/>
        </w:trPr>
        <w:tc>
          <w:tcPr>
            <w:tcW w:w="311"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665"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678"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365"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365"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一般公共预算</w:t>
            </w:r>
          </w:p>
        </w:tc>
        <w:tc>
          <w:tcPr>
            <w:tcW w:w="370"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政府性基金预算</w:t>
            </w:r>
          </w:p>
        </w:tc>
        <w:tc>
          <w:tcPr>
            <w:tcW w:w="371"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w:t>
            </w:r>
            <w:r>
              <w:rPr>
                <w:rFonts w:ascii="宋体" w:eastAsia="宋体" w:hAnsi="宋体" w:cs="宋体" w:hint="eastAsia"/>
                <w:b/>
                <w:bCs/>
                <w:i w:val="0"/>
                <w:iCs w:val="0"/>
                <w:color w:val="000000"/>
                <w:kern w:val="0"/>
                <w:sz w:val="20"/>
                <w:szCs w:val="20"/>
                <w:u w:val="none"/>
                <w:lang w:val="en-US" w:bidi="ar"/>
              </w:rPr>
              <w:t>经营</w:t>
            </w:r>
            <w:r>
              <w:rPr>
                <w:rFonts w:ascii="宋体" w:eastAsia="宋体" w:hAnsi="宋体" w:cs="宋体" w:hint="eastAsia"/>
                <w:b/>
                <w:bCs/>
                <w:i w:val="0"/>
                <w:iCs w:val="0"/>
                <w:color w:val="000000"/>
                <w:kern w:val="0"/>
                <w:sz w:val="20"/>
                <w:szCs w:val="20"/>
                <w:u w:val="none"/>
                <w:lang w:val="en-US" w:eastAsia="zh-CN" w:bidi="ar"/>
              </w:rPr>
              <w:t>预算</w:t>
            </w:r>
          </w:p>
        </w:tc>
        <w:tc>
          <w:tcPr>
            <w:tcW w:w="370"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一般公共预算</w:t>
            </w:r>
          </w:p>
        </w:tc>
        <w:tc>
          <w:tcPr>
            <w:tcW w:w="365"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政府性基金预算</w:t>
            </w:r>
          </w:p>
        </w:tc>
        <w:tc>
          <w:tcPr>
            <w:tcW w:w="365"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国有资本经营预算</w:t>
            </w:r>
          </w:p>
        </w:tc>
        <w:tc>
          <w:tcPr>
            <w:tcW w:w="365"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c>
          <w:tcPr>
            <w:tcW w:w="406" w:type="pct"/>
            <w:vMerge/>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center"/>
              <w:rPr>
                <w:rFonts w:ascii="宋体" w:eastAsia="宋体" w:hAnsi="宋体" w:cs="宋体" w:hint="eastAsia"/>
                <w:b/>
                <w:bCs/>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sz w:val="20"/>
                <w:szCs w:val="20"/>
                <w:u w:val="none"/>
              </w:rPr>
            </w:pPr>
            <w:r>
              <w:rPr>
                <w:rFonts w:ascii="Times New Roman" w:eastAsia="宋体" w:hAnsi="Times New Roman"/>
                <w:b w:val="0"/>
                <w:sz w:val="18"/>
              </w:rPr>
              <w:t>特定目标类</w:t>
            </w:r>
          </w:p>
        </w:tc>
        <w:tc>
          <w:tcPr>
            <w:tcW w:w="6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2023年社会救助市级补助资金</w:t>
            </w:r>
          </w:p>
        </w:tc>
        <w:tc>
          <w:tcPr>
            <w:tcW w:w="67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铜陵市铜官区民政局本级</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117.92</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1"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117.92</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40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336"/>
          <w:jc w:val="center"/>
        </w:trPr>
        <w:tc>
          <w:tcPr>
            <w:tcW w:w="311" w:type="pct"/>
            <w:tcBorders>
              <w:tl2br w:val="nil"/>
              <w:tr2bl w:val="nil"/>
            </w:tcBorders>
            <w:shd w:val="clear" w:color="auto" w:fill="auto"/>
            <w:noWrap/>
            <w:tcMar>
              <w:left w:w="20" w:type="dxa"/>
              <w:right w:w="20" w:type="dxa"/>
            </w:tcMar>
            <w:vAlign w:val="center"/>
          </w:tcPr>
          <w:p>
            <w:pPr>
              <w:keepNext w:val="0"/>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kern w:val="0"/>
                <w:sz w:val="20"/>
                <w:szCs w:val="20"/>
                <w:u w:val="none"/>
                <w:lang w:val="en-US" w:eastAsia="zh-CN" w:bidi="ar"/>
              </w:rPr>
            </w:pPr>
            <w:r>
              <w:rPr>
                <w:rFonts w:ascii="Times New Roman" w:eastAsia="宋体" w:hAnsi="Times New Roman"/>
                <w:b w:val="0"/>
                <w:sz w:val="18"/>
              </w:rPr>
              <w:t>特定目标类</w:t>
            </w:r>
          </w:p>
        </w:tc>
        <w:tc>
          <w:tcPr>
            <w:tcW w:w="6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2024_残疾人补贴_困难残疾人生活补贴资金</w:t>
            </w:r>
          </w:p>
        </w:tc>
        <w:tc>
          <w:tcPr>
            <w:tcW w:w="678"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铜陵市铜官区民政局本级</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6.99</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1"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70"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6.99</w:t>
            </w: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365"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406" w:type="pct"/>
            <w:tcBorders>
              <w:tl2br w:val="nil"/>
              <w:tr2bl w:val="nil"/>
            </w:tcBorders>
            <w:shd w:val="clear" w:color="auto" w:fill="auto"/>
            <w:noWrap/>
            <w:tcMar>
              <w:left w:w="20" w:type="dxa"/>
              <w:right w:w="20" w:type="dxa"/>
            </w:tcMar>
            <w:vAlign w:val="center"/>
          </w:tcPr>
          <w:p>
            <w:pPr>
              <w:keepNext w:val="0"/>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2024_残疾人补贴_重度残疾人护理补贴资金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30.77</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30.77</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2024_困难群众救助_临时救助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25.92</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25.92</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2024_困难群众救助_流浪乞讨人员救助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6.18</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6.18</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2024_困难群众救助_特殊儿童群体基本生活保障资金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3.38</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3.38</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2024_老年人福利补贴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213.28</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213.28</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2025_残疾人补贴_困难残疾人生活补贴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174.84</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174.84</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2025_残疾人补贴_重度残疾人护理补贴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298.92</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298.92</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2025_困难群众救助_临时救助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137.50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137.50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2025_困难群众救助_流浪乞讨人员救助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2025_困难群众救助_特困儿童群体基本生活保障</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85.00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85.00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2025_困难群众救助_特困人员救助供养</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220.00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220.00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2025_困难群众救助_最低生活保障</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2025_老年人福利补贴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298.00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298.00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90周岁以上老年人重阳节慰问</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城市低保</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150.50</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150.50</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城乡社区老年协会规范化建设</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7.60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7.60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慈善超市</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村两委脱产干部生活补助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408.00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408.00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低保边缘家庭春节慰问金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49.00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49.00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孤老、精简、社会救济对象定补</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居家养老</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100.00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100.00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困难老年人救助救急服务</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2.50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困难老年人意外伤害保险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困难老年人助餐补助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2.40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2.40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老年助餐建设补贴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老年助餐运营补贴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80.00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80.00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两节送温暖</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170.00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170.00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区划地名</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其他运转类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社会救助软件平台维护费</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7.50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7.50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社区(村)三级中心运营</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20.00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市级养老服务体系建设资金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14.00</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14.00</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特困供养</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6.31</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6.31</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特困人员护理保险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1.50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1.50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特困照料服务</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5.00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5.00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退养主任工资</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180.00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180.00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养老服务三级中心和老年食堂保险</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1.40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1.40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肇事肇祸精神病监护补贴</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45.00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45.00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中央集中彩票公益金支持社会福利事业专项资金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33.56</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33.56</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中央专项彩票公益金支持居家和社区基本养老服务提升行动项目资金</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1.50</w:t>
            </w:r>
          </w:p>
        </w:tc>
        <w:tc>
          <w:tcPr>
            <w:tcW w:w="1139"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1.50</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969" w:type="dxa"/>
            <w:tcMar>
              <w:left w:w="20" w:type="dxa"/>
              <w:right w:w="20" w:type="dxa"/>
            </w:tcMar>
            <w:vAlign w:val="center"/>
          </w:tcPr>
          <w:p>
            <w:pPr>
              <w:spacing w:before="0" w:after="0" w:line="240" w:lineRule="auto"/>
            </w:pPr>
            <w:r>
              <w:rPr>
                <w:rFonts w:ascii="Times New Roman" w:eastAsia="宋体" w:hAnsi="Times New Roman"/>
                <w:b w:val="0"/>
                <w:sz w:val="18"/>
              </w:rPr>
              <w:t>特定目标类</w:t>
            </w:r>
          </w:p>
        </w:tc>
        <w:tc>
          <w:tcPr>
            <w:tcW w:w="2075" w:type="dxa"/>
            <w:tcMar>
              <w:left w:w="20" w:type="dxa"/>
              <w:right w:w="20" w:type="dxa"/>
            </w:tcMar>
            <w:vAlign w:val="center"/>
          </w:tcPr>
          <w:p>
            <w:pPr>
              <w:spacing w:before="0" w:after="0" w:line="240" w:lineRule="auto"/>
            </w:pPr>
            <w:r>
              <w:rPr>
                <w:rFonts w:ascii="Times New Roman" w:eastAsia="宋体" w:hAnsi="Times New Roman"/>
                <w:b w:val="0"/>
                <w:sz w:val="18"/>
              </w:rPr>
              <w:t>殡葬普惠</w:t>
            </w:r>
          </w:p>
        </w:tc>
        <w:tc>
          <w:tcPr>
            <w:tcW w:w="2116" w:type="dxa"/>
            <w:tcMar>
              <w:left w:w="20" w:type="dxa"/>
              <w:right w:w="20" w:type="dxa"/>
            </w:tcMar>
            <w:vAlign w:val="center"/>
          </w:tcPr>
          <w:p>
            <w:pPr>
              <w:spacing w:before="0" w:after="0" w:line="240" w:lineRule="auto"/>
            </w:pPr>
            <w:r>
              <w:rPr>
                <w:rFonts w:ascii="Times New Roman" w:eastAsia="宋体" w:hAnsi="Times New Roman"/>
                <w:b w:val="0"/>
                <w:sz w:val="18"/>
              </w:rPr>
              <w:t>铜陵市铜官区民政局本级</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38.00</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r>
        <w:tblPrEx>
          <w:tblW w:w="4996" w:type="pct"/>
          <w:jc w:val="center"/>
          <w:tblInd w:w="0" w:type="dxa"/>
          <w:shd w:val="clear" w:color="auto" w:fill="auto"/>
          <w:tblCellMar>
            <w:top w:w="0" w:type="dxa"/>
            <w:left w:w="108" w:type="dxa"/>
            <w:bottom w:w="0" w:type="dxa"/>
            <w:right w:w="108" w:type="dxa"/>
          </w:tblCellMar>
        </w:tblPrEx>
        <w:trPr>
          <w:trHeight w:val="4"/>
          <w:jc w:val="center"/>
        </w:trPr>
        <w:tc>
          <w:tcPr>
            <w:tcW w:w="5160" w:type="dxa"/>
            <w:gridSpan w:val="3"/>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3,630.46</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3,020.16</w:t>
            </w:r>
          </w:p>
        </w:tc>
        <w:tc>
          <w:tcPr>
            <w:tcW w:w="1155" w:type="dxa"/>
            <w:tcMar>
              <w:left w:w="20" w:type="dxa"/>
              <w:right w:w="20" w:type="dxa"/>
            </w:tcMar>
            <w:vAlign w:val="center"/>
          </w:tcPr>
          <w:p>
            <w:pPr>
              <w:spacing w:before="0" w:after="0" w:line="240" w:lineRule="auto"/>
              <w:jc w:val="right"/>
            </w:pPr>
          </w:p>
        </w:tc>
        <w:tc>
          <w:tcPr>
            <w:tcW w:w="1158" w:type="dxa"/>
            <w:tcMar>
              <w:left w:w="20" w:type="dxa"/>
              <w:right w:w="20" w:type="dxa"/>
            </w:tcMar>
            <w:vAlign w:val="center"/>
          </w:tcPr>
          <w:p>
            <w:pPr>
              <w:spacing w:before="0" w:after="0" w:line="240" w:lineRule="auto"/>
              <w:jc w:val="right"/>
            </w:pPr>
          </w:p>
        </w:tc>
        <w:tc>
          <w:tcPr>
            <w:tcW w:w="1155" w:type="dxa"/>
            <w:tcMar>
              <w:left w:w="20" w:type="dxa"/>
              <w:right w:w="20" w:type="dxa"/>
            </w:tcMar>
            <w:vAlign w:val="center"/>
          </w:tcPr>
          <w:p>
            <w:pPr>
              <w:spacing w:before="0" w:after="0" w:line="240" w:lineRule="auto"/>
              <w:jc w:val="right"/>
            </w:pPr>
            <w:r>
              <w:rPr>
                <w:rFonts w:ascii="Times New Roman" w:eastAsia="宋体" w:hAnsi="Times New Roman"/>
                <w:b w:val="0"/>
                <w:sz w:val="18"/>
              </w:rPr>
              <w:t>561.24</w:t>
            </w:r>
          </w:p>
        </w:tc>
        <w:tc>
          <w:tcPr>
            <w:tcW w:w="1139" w:type="dxa"/>
            <w:tcMar>
              <w:left w:w="20" w:type="dxa"/>
              <w:right w:w="20" w:type="dxa"/>
            </w:tcMar>
            <w:vAlign w:val="center"/>
          </w:tcPr>
          <w:p>
            <w:pPr>
              <w:spacing w:before="0" w:after="0" w:line="240" w:lineRule="auto"/>
              <w:jc w:val="right"/>
            </w:pPr>
            <w:r>
              <w:rPr>
                <w:rFonts w:ascii="Times New Roman" w:eastAsia="宋体" w:hAnsi="Times New Roman"/>
                <w:b w:val="0"/>
                <w:sz w:val="18"/>
              </w:rPr>
              <w:t>49.06</w:t>
            </w:r>
          </w:p>
        </w:tc>
        <w:tc>
          <w:tcPr>
            <w:tcW w:w="1139" w:type="dxa"/>
            <w:tcMar>
              <w:left w:w="20" w:type="dxa"/>
              <w:right w:w="20" w:type="dxa"/>
            </w:tcMar>
            <w:vAlign w:val="center"/>
          </w:tcPr>
          <w:p>
            <w:pPr>
              <w:spacing w:before="0" w:after="0" w:line="240" w:lineRule="auto"/>
              <w:jc w:val="right"/>
            </w:pPr>
          </w:p>
        </w:tc>
        <w:tc>
          <w:tcPr>
            <w:tcW w:w="1139" w:type="dxa"/>
            <w:tcMar>
              <w:left w:w="20" w:type="dxa"/>
              <w:right w:w="20" w:type="dxa"/>
            </w:tcMar>
            <w:vAlign w:val="center"/>
          </w:tcPr>
          <w:p>
            <w:pPr>
              <w:spacing w:before="0" w:after="0" w:line="240" w:lineRule="auto"/>
              <w:jc w:val="right"/>
            </w:pPr>
          </w:p>
        </w:tc>
        <w:tc>
          <w:tcPr>
            <w:tcW w:w="1279" w:type="dxa"/>
            <w:tcMar>
              <w:left w:w="20" w:type="dxa"/>
              <w:right w:w="20" w:type="dxa"/>
            </w:tcMar>
            <w:vAlign w:val="center"/>
          </w:tcPr>
          <w:p>
            <w:pPr>
              <w:spacing w:before="0" w:after="0" w:line="240" w:lineRule="auto"/>
              <w:jc w:val="right"/>
            </w:pP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4"/>
          <w:szCs w:val="24"/>
          <w:lang w:val="en-US"/>
        </w:rPr>
        <w:sectPr>
          <w:pgSz w:w="16838" w:h="11906" w:orient="landscape"/>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注：本表金额转换成万元保留两位小数时，因四舍五入可能存在尾差。</w:t>
      </w:r>
    </w:p>
    <w:tbl>
      <w:tblPr>
        <w:tblStyle w:val="TableGrid"/>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2278"/>
        <w:gridCol w:w="1905"/>
        <w:gridCol w:w="1070"/>
        <w:gridCol w:w="1070"/>
        <w:gridCol w:w="1070"/>
        <w:gridCol w:w="1070"/>
        <w:gridCol w:w="1070"/>
        <w:gridCol w:w="1145"/>
      </w:tblGrid>
      <w:tr>
        <w:tblPrEx>
          <w:tblW w:w="4998"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tblHeader/>
          <w:jc w:val="center"/>
        </w:trPr>
        <w:tc>
          <w:tcPr>
            <w:tcW w:w="1067" w:type="pct"/>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92" w:type="pct"/>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501" w:type="pct"/>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501" w:type="pct"/>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2038" w:type="pct"/>
            <w:gridSpan w:val="4"/>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公开表10</w:t>
            </w:r>
          </w:p>
        </w:tc>
      </w:tr>
      <w:tr>
        <w:tblPrEx>
          <w:tblW w:w="4998" w:type="pct"/>
          <w:jc w:val="center"/>
          <w:tblInd w:w="0" w:type="dxa"/>
          <w:shd w:val="clear" w:color="auto" w:fill="auto"/>
          <w:tblCellMar>
            <w:top w:w="0" w:type="dxa"/>
            <w:left w:w="108" w:type="dxa"/>
            <w:bottom w:w="0" w:type="dxa"/>
            <w:right w:w="108" w:type="dxa"/>
          </w:tblCellMar>
        </w:tblPrEx>
        <w:trPr>
          <w:trHeight w:val="0"/>
          <w:tblHeader/>
          <w:jc w:val="center"/>
        </w:trPr>
        <w:tc>
          <w:tcPr>
            <w:tcW w:w="5000" w:type="pct"/>
            <w:gridSpan w:val="8"/>
            <w:tcBorders>
              <w:top w:val="nil"/>
              <w:left w:val="nil"/>
              <w:bottom w:val="nil"/>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年政府采购支出表</w:t>
            </w:r>
          </w:p>
        </w:tc>
      </w:tr>
      <w:tr>
        <w:tblPrEx>
          <w:tblW w:w="4998" w:type="pct"/>
          <w:jc w:val="center"/>
          <w:tblInd w:w="0" w:type="dxa"/>
          <w:shd w:val="clear" w:color="auto" w:fill="auto"/>
          <w:tblCellMar>
            <w:top w:w="0" w:type="dxa"/>
            <w:left w:w="108" w:type="dxa"/>
            <w:bottom w:w="0" w:type="dxa"/>
            <w:right w:w="108" w:type="dxa"/>
          </w:tblCellMar>
        </w:tblPrEx>
        <w:trPr>
          <w:trHeight w:val="0"/>
          <w:tblHeader/>
          <w:jc w:val="center"/>
        </w:trPr>
        <w:tc>
          <w:tcPr>
            <w:tcW w:w="1067" w:type="pct"/>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92" w:type="pct"/>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501" w:type="pct"/>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501" w:type="pct"/>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501" w:type="pct"/>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537" w:type="pct"/>
            <w:gridSpan w:val="3"/>
            <w:tcBorders>
              <w:top w:val="nil"/>
              <w:left w:val="nil"/>
              <w:bottom w:val="single" w:sz="4" w:space="0" w:color="auto"/>
              <w:right w:val="nil"/>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4998" w:type="pct"/>
          <w:jc w:val="center"/>
          <w:tblInd w:w="0" w:type="dxa"/>
          <w:shd w:val="clear" w:color="auto" w:fill="auto"/>
          <w:tblCellMar>
            <w:top w:w="0" w:type="dxa"/>
            <w:left w:w="108" w:type="dxa"/>
            <w:bottom w:w="0" w:type="dxa"/>
            <w:right w:w="108" w:type="dxa"/>
          </w:tblCellMar>
        </w:tblPrEx>
        <w:trPr>
          <w:trHeight w:val="0"/>
          <w:tblHeader/>
          <w:jc w:val="center"/>
        </w:trPr>
        <w:tc>
          <w:tcPr>
            <w:tcW w:w="1067"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项目名称</w:t>
            </w:r>
          </w:p>
        </w:tc>
        <w:tc>
          <w:tcPr>
            <w:tcW w:w="892"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政府采购品目</w:t>
            </w:r>
          </w:p>
        </w:tc>
        <w:tc>
          <w:tcPr>
            <w:tcW w:w="501"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合计</w:t>
            </w:r>
          </w:p>
        </w:tc>
        <w:tc>
          <w:tcPr>
            <w:tcW w:w="501"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一般公共预算</w:t>
            </w:r>
          </w:p>
        </w:tc>
        <w:tc>
          <w:tcPr>
            <w:tcW w:w="501"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政府性基金预算</w:t>
            </w:r>
          </w:p>
        </w:tc>
        <w:tc>
          <w:tcPr>
            <w:tcW w:w="501"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国有资本经营预算</w:t>
            </w:r>
          </w:p>
        </w:tc>
        <w:tc>
          <w:tcPr>
            <w:tcW w:w="501"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财政专户管理资金</w:t>
            </w:r>
          </w:p>
        </w:tc>
        <w:tc>
          <w:tcPr>
            <w:tcW w:w="535" w:type="pct"/>
            <w:tcBorders>
              <w:top w:val="single" w:sz="4" w:space="0" w:color="auto"/>
              <w:tl2br w:val="nil"/>
              <w:tr2bl w:val="nil"/>
            </w:tcBorders>
            <w:shd w:val="clear" w:color="auto" w:fill="auto"/>
            <w:vAlign w:val="center"/>
          </w:tcPr>
          <w:p>
            <w:pPr>
              <w:keepNext/>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单位资金</w:t>
            </w: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1067" w:type="pct"/>
            <w:tcBorders>
              <w:tl2br w:val="nil"/>
              <w:tr2bl w:val="nil"/>
            </w:tcBorders>
            <w:shd w:val="clear" w:color="auto" w:fill="auto"/>
            <w:tcMar>
              <w:left w:w="20" w:type="dxa"/>
              <w:right w:w="20" w:type="dxa"/>
            </w:tcMar>
            <w:vAlign w:val="center"/>
          </w:tcPr>
          <w:p>
            <w:pPr>
              <w:keepNext/>
              <w:keepLines/>
              <w:pageBreakBefore w:val="0"/>
              <w:widowControl/>
              <w:suppressLineNumbers w:val="0"/>
              <w:kinsoku/>
              <w:wordWrap/>
              <w:overflowPunct/>
              <w:topLinePunct w:val="0"/>
              <w:autoSpaceDE/>
              <w:autoSpaceDN/>
              <w:bidi w:val="0"/>
              <w:adjustRightInd/>
              <w:snapToGrid/>
              <w:spacing w:before="0" w:after="0" w:line="240" w:lineRule="auto"/>
              <w:jc w:val="both"/>
              <w:textAlignment w:val="center"/>
              <w:rPr>
                <w:rFonts w:ascii="宋体" w:eastAsia="宋体" w:hAnsi="宋体" w:cs="宋体" w:hint="eastAsia"/>
                <w:b/>
                <w:bCs/>
                <w:i w:val="0"/>
                <w:iCs w:val="0"/>
                <w:color w:val="000000"/>
                <w:sz w:val="20"/>
                <w:szCs w:val="20"/>
                <w:u w:val="none"/>
              </w:rPr>
            </w:pPr>
            <w:r>
              <w:rPr>
                <w:rFonts w:ascii="Times New Roman" w:eastAsia="宋体" w:hAnsi="Times New Roman"/>
                <w:b w:val="0"/>
                <w:sz w:val="18"/>
              </w:rPr>
              <w:t>铜陵市铜官区民政局本级_综合定额支出</w:t>
            </w:r>
          </w:p>
        </w:tc>
        <w:tc>
          <w:tcPr>
            <w:tcW w:w="892"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both"/>
              <w:rPr>
                <w:rFonts w:ascii="宋体" w:eastAsia="宋体" w:hAnsi="宋体" w:cs="宋体" w:hint="eastAsia"/>
                <w:i w:val="0"/>
                <w:iCs w:val="0"/>
                <w:color w:val="000000"/>
                <w:sz w:val="20"/>
                <w:szCs w:val="20"/>
                <w:u w:val="none"/>
              </w:rPr>
            </w:pPr>
            <w:r>
              <w:rPr>
                <w:rFonts w:ascii="Times New Roman" w:eastAsia="宋体" w:hAnsi="Times New Roman"/>
                <w:b w:val="0"/>
                <w:sz w:val="18"/>
              </w:rPr>
              <w:t>台式计算机</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0.80</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0.80</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35"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r>
        <w:tblPrEx>
          <w:tblW w:w="4998" w:type="pct"/>
          <w:jc w:val="center"/>
          <w:tblInd w:w="0" w:type="dxa"/>
          <w:shd w:val="clear" w:color="auto" w:fill="auto"/>
          <w:tblCellMar>
            <w:top w:w="0" w:type="dxa"/>
            <w:left w:w="108" w:type="dxa"/>
            <w:bottom w:w="0" w:type="dxa"/>
            <w:right w:w="108" w:type="dxa"/>
          </w:tblCellMar>
        </w:tblPrEx>
        <w:trPr>
          <w:trHeight w:val="0"/>
          <w:jc w:val="center"/>
        </w:trPr>
        <w:tc>
          <w:tcPr>
            <w:tcW w:w="1067" w:type="pct"/>
            <w:gridSpan w:val="2"/>
            <w:tcBorders>
              <w:tl2br w:val="nil"/>
              <w:tr2bl w:val="nil"/>
            </w:tcBorders>
            <w:shd w:val="clear" w:color="auto" w:fill="auto"/>
            <w:tcMar>
              <w:left w:w="20" w:type="dxa"/>
              <w:right w:w="20" w:type="dxa"/>
            </w:tcMar>
            <w:vAlign w:val="center"/>
          </w:tcPr>
          <w:p>
            <w:pPr>
              <w:spacing w:before="0" w:after="0" w:line="240" w:lineRule="auto"/>
              <w:jc w:val="center"/>
            </w:pPr>
            <w:r>
              <w:rPr>
                <w:rFonts w:ascii="Times New Roman" w:eastAsia="宋体" w:hAnsi="Times New Roman"/>
                <w:b/>
                <w:sz w:val="18"/>
              </w:rPr>
              <w:t>合计</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0.80</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r>
              <w:rPr>
                <w:rFonts w:ascii="Times New Roman" w:eastAsia="宋体" w:hAnsi="Times New Roman"/>
                <w:b w:val="0"/>
                <w:sz w:val="18"/>
              </w:rPr>
              <w:t>0.80</w:t>
            </w: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01"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c>
          <w:tcPr>
            <w:tcW w:w="535" w:type="pct"/>
            <w:tcBorders>
              <w:tl2br w:val="nil"/>
              <w:tr2bl w:val="nil"/>
            </w:tcBorders>
            <w:shd w:val="clear" w:color="auto" w:fill="auto"/>
            <w:tcMar>
              <w:left w:w="20" w:type="dxa"/>
              <w:right w:w="20" w:type="dxa"/>
            </w:tcMar>
            <w:vAlign w:val="center"/>
          </w:tcPr>
          <w:p>
            <w:pPr>
              <w:keepNext/>
              <w:keepLines/>
              <w:pageBreakBefore w:val="0"/>
              <w:widowControl/>
              <w:kinsoku/>
              <w:wordWrap/>
              <w:overflowPunct/>
              <w:topLinePunct w:val="0"/>
              <w:autoSpaceDE/>
              <w:autoSpaceDN/>
              <w:bidi w:val="0"/>
              <w:adjustRightInd/>
              <w:snapToGrid/>
              <w:spacing w:before="0" w:after="0" w:line="240" w:lineRule="auto"/>
              <w:jc w:val="right"/>
              <w:rPr>
                <w:rFonts w:ascii="宋体" w:eastAsia="宋体" w:hAnsi="宋体" w:cs="宋体" w:hint="eastAsia"/>
                <w:i w:val="0"/>
                <w:iCs w:val="0"/>
                <w:color w:val="000000"/>
                <w:sz w:val="20"/>
                <w:szCs w:val="20"/>
                <w:u w:val="none"/>
              </w:rPr>
            </w:pPr>
          </w:p>
        </w:tc>
      </w:tr>
    </w:tbl>
    <w:p>
      <w:pPr>
        <w:keepNext/>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1"/>
          <w:szCs w:val="21"/>
          <w:lang w:val="en-US"/>
        </w:rPr>
        <w:sectPr>
          <w:pgSz w:w="11906" w:h="16838"/>
          <w:pgMar w:top="720" w:right="720" w:bottom="720" w:left="72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注：本表金额转换成万元保留两位小数时，因四舍五入可能存在尾差。</w:t>
      </w:r>
    </w:p>
    <w:tbl>
      <w:tblPr>
        <w:tblStyle w:val="TableNormal"/>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2540"/>
        <w:gridCol w:w="2365"/>
        <w:gridCol w:w="2235"/>
        <w:gridCol w:w="2394"/>
        <w:gridCol w:w="2241"/>
        <w:gridCol w:w="1023"/>
        <w:gridCol w:w="1365"/>
      </w:tblGrid>
      <w:tr>
        <w:tblPrEx>
          <w:tblW w:w="4996"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tblHeader/>
          <w:jc w:val="center"/>
        </w:trPr>
        <w:tc>
          <w:tcPr>
            <w:tcW w:w="897"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35"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789"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45"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632" w:type="pct"/>
            <w:gridSpan w:val="3"/>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公开表11</w:t>
            </w:r>
          </w:p>
        </w:tc>
      </w:tr>
      <w:tr>
        <w:tblPrEx>
          <w:tblW w:w="4996" w:type="pct"/>
          <w:jc w:val="center"/>
          <w:tblInd w:w="0" w:type="dxa"/>
          <w:shd w:val="clear" w:color="auto" w:fill="auto"/>
          <w:tblCellMar>
            <w:top w:w="0" w:type="dxa"/>
            <w:left w:w="108" w:type="dxa"/>
            <w:bottom w:w="0" w:type="dxa"/>
            <w:right w:w="108" w:type="dxa"/>
          </w:tblCellMar>
        </w:tblPrEx>
        <w:trPr>
          <w:trHeight w:val="0"/>
          <w:tblHeader/>
          <w:jc w:val="center"/>
        </w:trPr>
        <w:tc>
          <w:tcPr>
            <w:tcW w:w="5000" w:type="pct"/>
            <w:gridSpan w:val="7"/>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年政府购买服务支出表</w:t>
            </w:r>
          </w:p>
        </w:tc>
      </w:tr>
      <w:tr>
        <w:tblPrEx>
          <w:tblW w:w="4996" w:type="pct"/>
          <w:jc w:val="center"/>
          <w:tblInd w:w="0" w:type="dxa"/>
          <w:shd w:val="clear" w:color="auto" w:fill="auto"/>
          <w:tblCellMar>
            <w:top w:w="0" w:type="dxa"/>
            <w:left w:w="108" w:type="dxa"/>
            <w:bottom w:w="0" w:type="dxa"/>
            <w:right w:w="108" w:type="dxa"/>
          </w:tblCellMar>
        </w:tblPrEx>
        <w:trPr>
          <w:trHeight w:val="0"/>
          <w:tblHeader/>
          <w:jc w:val="center"/>
        </w:trPr>
        <w:tc>
          <w:tcPr>
            <w:tcW w:w="897"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35"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789"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45"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791"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841" w:type="pct"/>
            <w:gridSpan w:val="2"/>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4996" w:type="pct"/>
          <w:jc w:val="center"/>
          <w:tblInd w:w="0" w:type="dxa"/>
          <w:shd w:val="clear" w:color="auto" w:fill="auto"/>
          <w:tblCellMar>
            <w:top w:w="0" w:type="dxa"/>
            <w:left w:w="108" w:type="dxa"/>
            <w:bottom w:w="0" w:type="dxa"/>
            <w:right w:w="108" w:type="dxa"/>
          </w:tblCellMar>
        </w:tblPrEx>
        <w:trPr>
          <w:trHeight w:val="0"/>
          <w:tblHeader/>
          <w:jc w:val="center"/>
        </w:trPr>
        <w:tc>
          <w:tcPr>
            <w:tcW w:w="897"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项目名称</w:t>
            </w:r>
          </w:p>
        </w:tc>
        <w:tc>
          <w:tcPr>
            <w:tcW w:w="835"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一级目录名称</w:t>
            </w:r>
          </w:p>
        </w:tc>
        <w:tc>
          <w:tcPr>
            <w:tcW w:w="789"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二级目录名称</w:t>
            </w:r>
          </w:p>
        </w:tc>
        <w:tc>
          <w:tcPr>
            <w:tcW w:w="845"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三级目录名称</w:t>
            </w:r>
          </w:p>
        </w:tc>
        <w:tc>
          <w:tcPr>
            <w:tcW w:w="791"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政府购买服务内容</w:t>
            </w:r>
          </w:p>
        </w:tc>
        <w:tc>
          <w:tcPr>
            <w:tcW w:w="361"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购买数量</w:t>
            </w:r>
          </w:p>
        </w:tc>
        <w:tc>
          <w:tcPr>
            <w:tcW w:w="480"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购买金额</w:t>
            </w:r>
          </w:p>
        </w:tc>
      </w:tr>
      <w:tr>
        <w:tblPrEx>
          <w:tblW w:w="4996" w:type="pct"/>
          <w:jc w:val="center"/>
          <w:tblInd w:w="0" w:type="dxa"/>
          <w:shd w:val="clear" w:color="auto" w:fill="auto"/>
          <w:tblCellMar>
            <w:top w:w="0" w:type="dxa"/>
            <w:left w:w="108" w:type="dxa"/>
            <w:bottom w:w="0" w:type="dxa"/>
            <w:right w:w="108" w:type="dxa"/>
          </w:tblCellMar>
        </w:tblPrEx>
        <w:trPr>
          <w:trHeight w:val="0"/>
          <w:jc w:val="center"/>
        </w:trPr>
        <w:tc>
          <w:tcPr>
            <w:tcW w:w="897"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spacing w:before="0" w:after="0"/>
              <w:jc w:val="both"/>
              <w:textAlignment w:val="center"/>
              <w:rPr>
                <w:rFonts w:ascii="宋体" w:eastAsia="宋体" w:hAnsi="宋体" w:cs="宋体" w:hint="eastAsia"/>
                <w:b/>
                <w:bCs/>
                <w:i w:val="0"/>
                <w:iCs w:val="0"/>
                <w:color w:val="000000"/>
                <w:sz w:val="20"/>
                <w:szCs w:val="20"/>
                <w:u w:val="none"/>
              </w:rPr>
            </w:pPr>
          </w:p>
        </w:tc>
        <w:tc>
          <w:tcPr>
            <w:tcW w:w="835"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both"/>
              <w:rPr>
                <w:rFonts w:ascii="宋体" w:eastAsia="宋体" w:hAnsi="宋体" w:cs="宋体" w:hint="eastAsia"/>
                <w:i w:val="0"/>
                <w:iCs w:val="0"/>
                <w:color w:val="000000"/>
                <w:sz w:val="20"/>
                <w:szCs w:val="20"/>
                <w:u w:val="none"/>
              </w:rPr>
            </w:pPr>
          </w:p>
        </w:tc>
        <w:tc>
          <w:tcPr>
            <w:tcW w:w="789"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both"/>
              <w:rPr>
                <w:rFonts w:ascii="宋体" w:eastAsia="宋体" w:hAnsi="宋体" w:cs="宋体" w:hint="eastAsia"/>
                <w:i w:val="0"/>
                <w:iCs w:val="0"/>
                <w:color w:val="000000"/>
                <w:sz w:val="20"/>
                <w:szCs w:val="20"/>
                <w:u w:val="none"/>
              </w:rPr>
            </w:pPr>
          </w:p>
        </w:tc>
        <w:tc>
          <w:tcPr>
            <w:tcW w:w="845"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both"/>
              <w:rPr>
                <w:rFonts w:ascii="宋体" w:eastAsia="宋体" w:hAnsi="宋体" w:cs="宋体" w:hint="eastAsia"/>
                <w:i w:val="0"/>
                <w:iCs w:val="0"/>
                <w:color w:val="000000"/>
                <w:sz w:val="20"/>
                <w:szCs w:val="20"/>
                <w:u w:val="none"/>
              </w:rPr>
            </w:pPr>
          </w:p>
        </w:tc>
        <w:tc>
          <w:tcPr>
            <w:tcW w:w="791"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both"/>
              <w:rPr>
                <w:rFonts w:ascii="宋体" w:eastAsia="宋体" w:hAnsi="宋体" w:cs="宋体" w:hint="eastAsia"/>
                <w:i w:val="0"/>
                <w:iCs w:val="0"/>
                <w:color w:val="000000"/>
                <w:sz w:val="20"/>
                <w:szCs w:val="20"/>
                <w:u w:val="none"/>
              </w:rPr>
            </w:pPr>
          </w:p>
        </w:tc>
        <w:tc>
          <w:tcPr>
            <w:tcW w:w="361"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right"/>
              <w:rPr>
                <w:rFonts w:ascii="宋体" w:eastAsia="宋体" w:hAnsi="宋体" w:cs="宋体" w:hint="eastAsia"/>
                <w:i w:val="0"/>
                <w:iCs w:val="0"/>
                <w:color w:val="000000"/>
                <w:sz w:val="20"/>
                <w:szCs w:val="20"/>
                <w:u w:val="none"/>
              </w:rPr>
            </w:pPr>
          </w:p>
        </w:tc>
        <w:tc>
          <w:tcPr>
            <w:tcW w:w="480"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spacing w:before="0" w:after="0"/>
              <w:jc w:val="right"/>
              <w:rPr>
                <w:rFonts w:ascii="宋体" w:eastAsia="宋体" w:hAnsi="宋体" w:cs="宋体" w:hint="eastAsia"/>
                <w:i w:val="0"/>
                <w:iCs w:val="0"/>
                <w:color w:val="000000"/>
                <w:sz w:val="20"/>
                <w:szCs w:val="20"/>
                <w:u w:val="none"/>
              </w:rPr>
            </w:pPr>
          </w:p>
        </w:tc>
      </w:tr>
    </w:tbl>
    <w:p>
      <w:pPr>
        <w:keepNext w:val="0"/>
        <w:keepLines/>
        <w:pageBreakBefore w:val="0"/>
        <w:widowControl/>
        <w:numPr>
          <w:ilvl w:val="0"/>
          <w:numId w:val="0"/>
        </w:numPr>
        <w:kinsoku/>
        <w:wordWrap/>
        <w:overflowPunct/>
        <w:topLinePunct w:val="0"/>
        <w:autoSpaceDE/>
        <w:autoSpaceDN/>
        <w:bidi w:val="0"/>
        <w:adjustRightInd/>
        <w:snapToGrid/>
        <w:jc w:val="both"/>
        <w:rPr>
          <w:rFonts w:ascii="Times New Roman Regular" w:eastAsia="仿宋_GB2312" w:hAnsi="Times New Roman Regular" w:cs="Times New Roman Regular" w:hint="default"/>
          <w:b w:val="0"/>
          <w:bCs w:val="0"/>
          <w:sz w:val="20"/>
          <w:szCs w:val="20"/>
          <w:lang w:val="en-US"/>
        </w:rPr>
        <w:sectPr>
          <w:pgSz w:w="16838" w:h="11906" w:orient="landscape"/>
          <w:pgMar w:top="1800" w:right="1440" w:bottom="1800" w:left="144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注：铜陵市铜官区民政局没有使用一般公共预算拨款、政府性基金预算拨款、国有资本经营预算拨款、财政专户管理资金和单位资金安排的政府购买服务支出，故本表无数据。</w:t>
      </w:r>
    </w:p>
    <w:tbl>
      <w:tblPr>
        <w:tblStyle w:val="TableNormal"/>
        <w:tblW w:w="4996"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4000"/>
        <w:gridCol w:w="4357"/>
        <w:gridCol w:w="3073"/>
        <w:gridCol w:w="2733"/>
      </w:tblGrid>
      <w:tr>
        <w:tblPrEx>
          <w:tblW w:w="4996"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0"/>
          <w:tblHeader/>
        </w:trPr>
        <w:tc>
          <w:tcPr>
            <w:tcW w:w="1412"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538"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085"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963" w:type="pct"/>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right"/>
              <w:textAlignment w:val="center"/>
              <w:rPr>
                <w:rFonts w:ascii="Times New Roman Regular" w:eastAsia="仿宋_GB2312" w:hAnsi="Times New Roman Regular" w:cs="Times New Roman Regular" w:hint="eastAsia"/>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i w:val="0"/>
                <w:iCs w:val="0"/>
                <w:color w:val="000000"/>
                <w:kern w:val="0"/>
                <w:sz w:val="20"/>
                <w:szCs w:val="20"/>
                <w:u w:val="none"/>
                <w:lang w:val="en-US" w:eastAsia="zh-CN" w:bidi="ar"/>
              </w:rPr>
              <w:t>部门</w:t>
            </w:r>
            <w:r>
              <w:rPr>
                <w:rFonts w:ascii="Times New Roman Regular" w:eastAsia="仿宋_GB2312" w:hAnsi="Times New Roman Regular" w:cs="Times New Roman Regular" w:hint="default"/>
                <w:i w:val="0"/>
                <w:iCs w:val="0"/>
                <w:color w:val="000000"/>
                <w:kern w:val="0"/>
                <w:sz w:val="20"/>
                <w:szCs w:val="20"/>
                <w:u w:val="none"/>
                <w:lang w:val="en-US" w:bidi="ar"/>
              </w:rPr>
              <w:t>公开表1</w:t>
            </w:r>
            <w:r>
              <w:rPr>
                <w:rFonts w:ascii="Times New Roman Regular" w:eastAsia="仿宋_GB2312" w:hAnsi="Times New Roman Regular" w:cs="Times New Roman Regular" w:hint="eastAsia"/>
                <w:i w:val="0"/>
                <w:iCs w:val="0"/>
                <w:color w:val="000000"/>
                <w:kern w:val="0"/>
                <w:sz w:val="20"/>
                <w:szCs w:val="20"/>
                <w:u w:val="none"/>
                <w:lang w:val="en-US" w:eastAsia="zh-CN" w:bidi="ar"/>
              </w:rPr>
              <w:t>2</w:t>
            </w:r>
          </w:p>
        </w:tc>
      </w:tr>
      <w:tr>
        <w:tblPrEx>
          <w:tblW w:w="4996" w:type="pct"/>
          <w:tblInd w:w="0" w:type="dxa"/>
          <w:shd w:val="clear" w:color="auto" w:fill="auto"/>
          <w:tblCellMar>
            <w:top w:w="0" w:type="dxa"/>
            <w:left w:w="108" w:type="dxa"/>
            <w:bottom w:w="0" w:type="dxa"/>
            <w:right w:w="108" w:type="dxa"/>
          </w:tblCellMar>
        </w:tblPrEx>
        <w:trPr>
          <w:trHeight w:val="0"/>
          <w:tblHeader/>
        </w:trPr>
        <w:tc>
          <w:tcPr>
            <w:tcW w:w="5000" w:type="pct"/>
            <w:gridSpan w:val="4"/>
            <w:tcBorders>
              <w:top w:val="nil"/>
              <w:left w:val="nil"/>
              <w:bottom w:val="nil"/>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华文中宋" w:hAnsi="Times New Roman Regular" w:cs="Times New Roman Regular" w:hint="default"/>
                <w:b/>
                <w:bCs/>
                <w:kern w:val="0"/>
                <w:sz w:val="32"/>
                <w:szCs w:val="32"/>
                <w:lang w:val="en-US" w:eastAsia="zh-CN"/>
              </w:rPr>
              <w:t>铜陵市铜官区民政局</w:t>
            </w:r>
            <w:r>
              <w:rPr>
                <w:rFonts w:ascii="Times New Roman Regular" w:eastAsia="黑体" w:hAnsi="Times New Roman Regular" w:cs="Times New Roman Regular" w:hint="default"/>
                <w:b/>
                <w:bCs/>
                <w:kern w:val="0"/>
                <w:sz w:val="32"/>
                <w:szCs w:val="32"/>
                <w:lang w:val="en-US" w:eastAsia="zh-CN"/>
              </w:rPr>
              <w:t>2025</w:t>
            </w:r>
            <w:r>
              <w:rPr>
                <w:rFonts w:ascii="Times New Roman Regular" w:eastAsia="华文中宋" w:hAnsi="Times New Roman Regular" w:cs="Times New Roman Regular" w:hint="default"/>
                <w:b/>
                <w:bCs/>
                <w:kern w:val="0"/>
                <w:sz w:val="32"/>
                <w:szCs w:val="32"/>
                <w:lang w:val="en-US"/>
              </w:rPr>
              <w:t>年通用资产配置支出表</w:t>
            </w:r>
          </w:p>
        </w:tc>
      </w:tr>
      <w:tr>
        <w:tblPrEx>
          <w:tblW w:w="4996" w:type="pct"/>
          <w:tblInd w:w="0" w:type="dxa"/>
          <w:shd w:val="clear" w:color="auto" w:fill="auto"/>
          <w:tblCellMar>
            <w:top w:w="0" w:type="dxa"/>
            <w:left w:w="108" w:type="dxa"/>
            <w:bottom w:w="0" w:type="dxa"/>
            <w:right w:w="108" w:type="dxa"/>
          </w:tblCellMar>
        </w:tblPrEx>
        <w:trPr>
          <w:trHeight w:val="0"/>
          <w:tblHeader/>
        </w:trPr>
        <w:tc>
          <w:tcPr>
            <w:tcW w:w="1412"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538"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1085"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p>
        </w:tc>
        <w:tc>
          <w:tcPr>
            <w:tcW w:w="963" w:type="pct"/>
            <w:tcBorders>
              <w:top w:val="nil"/>
              <w:left w:val="nil"/>
              <w:bottom w:val="single" w:sz="4" w:space="0" w:color="auto"/>
              <w:right w:val="nil"/>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right"/>
              <w:textAlignment w:val="center"/>
              <w:rPr>
                <w:rFonts w:ascii="Times New Roman Regular" w:eastAsia="仿宋_GB2312" w:hAnsi="Times New Roman Regular" w:cs="Times New Roman Regular" w:hint="default"/>
                <w:b/>
                <w:bCs/>
                <w:i w:val="0"/>
                <w:iCs w:val="0"/>
                <w:color w:val="000000"/>
                <w:kern w:val="0"/>
                <w:sz w:val="20"/>
                <w:szCs w:val="20"/>
                <w:u w:val="none"/>
                <w:lang w:val="en-US" w:eastAsia="zh-CN" w:bidi="ar"/>
              </w:rPr>
            </w:pPr>
            <w:r>
              <w:rPr>
                <w:rFonts w:ascii="Times New Roman Regular" w:eastAsia="仿宋_GB2312" w:hAnsi="Times New Roman Regular" w:cs="Times New Roman Regular" w:hint="default"/>
                <w:b w:val="0"/>
                <w:bCs w:val="0"/>
                <w:i w:val="0"/>
                <w:iCs w:val="0"/>
                <w:color w:val="000000"/>
                <w:kern w:val="0"/>
                <w:sz w:val="20"/>
                <w:szCs w:val="20"/>
                <w:u w:val="none"/>
                <w:lang w:val="en-US" w:bidi="ar"/>
              </w:rPr>
              <w:t>单位</w:t>
            </w:r>
            <w:r>
              <w:rPr>
                <w:rFonts w:ascii="Times New Roman Regular" w:eastAsia="仿宋_GB2312" w:hAnsi="Times New Roman Regular" w:cs="Times New Roman Regular" w:hint="default"/>
                <w:b w:val="0"/>
                <w:bCs w:val="0"/>
                <w:i w:val="0"/>
                <w:iCs w:val="0"/>
                <w:color w:val="000000"/>
                <w:kern w:val="0"/>
                <w:sz w:val="20"/>
                <w:szCs w:val="20"/>
                <w:u w:val="none"/>
                <w:lang w:bidi="ar"/>
              </w:rPr>
              <w:t>：</w:t>
            </w:r>
            <w:r>
              <w:rPr>
                <w:rFonts w:ascii="Times New Roman Regular" w:eastAsia="仿宋_GB2312" w:hAnsi="Times New Roman Regular" w:cs="Times New Roman Regular" w:hint="default"/>
                <w:b w:val="0"/>
                <w:bCs w:val="0"/>
                <w:i w:val="0"/>
                <w:iCs w:val="0"/>
                <w:color w:val="000000"/>
                <w:kern w:val="0"/>
                <w:sz w:val="20"/>
                <w:szCs w:val="20"/>
                <w:u w:val="none"/>
                <w:lang w:val="en-US" w:bidi="ar"/>
              </w:rPr>
              <w:t>万元</w:t>
            </w:r>
          </w:p>
        </w:tc>
      </w:tr>
      <w:tr>
        <w:tblPrEx>
          <w:tblW w:w="4996" w:type="pct"/>
          <w:tblInd w:w="0" w:type="dxa"/>
          <w:shd w:val="clear" w:color="auto" w:fill="auto"/>
          <w:tblCellMar>
            <w:top w:w="0" w:type="dxa"/>
            <w:left w:w="108" w:type="dxa"/>
            <w:bottom w:w="0" w:type="dxa"/>
            <w:right w:w="108" w:type="dxa"/>
          </w:tblCellMar>
        </w:tblPrEx>
        <w:trPr>
          <w:trHeight w:val="0"/>
          <w:tblHeader/>
        </w:trPr>
        <w:tc>
          <w:tcPr>
            <w:tcW w:w="1412"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资产大类名称</w:t>
            </w:r>
          </w:p>
        </w:tc>
        <w:tc>
          <w:tcPr>
            <w:tcW w:w="1538"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资产分类名称</w:t>
            </w:r>
          </w:p>
        </w:tc>
        <w:tc>
          <w:tcPr>
            <w:tcW w:w="1085"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数量（台、件）</w:t>
            </w:r>
          </w:p>
        </w:tc>
        <w:tc>
          <w:tcPr>
            <w:tcW w:w="963" w:type="pct"/>
            <w:tcBorders>
              <w:top w:val="single" w:sz="4" w:space="0" w:color="auto"/>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
                <w:sz w:val="20"/>
                <w:szCs w:val="20"/>
                <w:u w:val="none"/>
                <w:lang w:val="en-US" w:eastAsia="zh-CN" w:bidi="ar"/>
              </w:rPr>
              <w:t>金额</w:t>
            </w:r>
          </w:p>
        </w:tc>
      </w:tr>
      <w:tr>
        <w:tblPrEx>
          <w:tblW w:w="4996" w:type="pct"/>
          <w:tblInd w:w="0" w:type="dxa"/>
          <w:shd w:val="clear" w:color="auto" w:fill="auto"/>
          <w:tblCellMar>
            <w:top w:w="0" w:type="dxa"/>
            <w:left w:w="108" w:type="dxa"/>
            <w:bottom w:w="0" w:type="dxa"/>
            <w:right w:w="108" w:type="dxa"/>
          </w:tblCellMar>
        </w:tblPrEx>
        <w:trPr>
          <w:trHeight w:val="0"/>
        </w:trPr>
        <w:tc>
          <w:tcPr>
            <w:tcW w:w="1412"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both"/>
              <w:textAlignment w:val="center"/>
              <w:rPr>
                <w:rFonts w:ascii="宋体" w:eastAsia="宋体" w:hAnsi="宋体" w:cs="宋体" w:hint="eastAsia"/>
                <w:b/>
                <w:bCs/>
                <w:i w:val="0"/>
                <w:iCs w:val="0"/>
                <w:color w:val="000000"/>
                <w:sz w:val="20"/>
                <w:szCs w:val="20"/>
                <w:u w:val="none"/>
              </w:rPr>
            </w:pPr>
          </w:p>
        </w:tc>
        <w:tc>
          <w:tcPr>
            <w:tcW w:w="1538"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c>
          <w:tcPr>
            <w:tcW w:w="1085"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c>
          <w:tcPr>
            <w:tcW w:w="963"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r>
      <w:tr>
        <w:tblPrEx>
          <w:tblW w:w="4996" w:type="pct"/>
          <w:tblInd w:w="0" w:type="dxa"/>
          <w:shd w:val="clear" w:color="auto" w:fill="auto"/>
          <w:tblCellMar>
            <w:top w:w="0" w:type="dxa"/>
            <w:left w:w="108" w:type="dxa"/>
            <w:bottom w:w="0" w:type="dxa"/>
            <w:right w:w="108" w:type="dxa"/>
          </w:tblCellMar>
        </w:tblPrEx>
        <w:trPr>
          <w:trHeight w:val="0"/>
        </w:trPr>
        <w:tc>
          <w:tcPr>
            <w:tcW w:w="1412" w:type="pct"/>
            <w:tcBorders>
              <w:tl2br w:val="nil"/>
              <w:tr2bl w:val="nil"/>
            </w:tcBorders>
            <w:shd w:val="clear" w:color="auto" w:fill="auto"/>
            <w:vAlign w:val="center"/>
          </w:tcPr>
          <w:p>
            <w:pPr>
              <w:keepNext w:val="0"/>
              <w:keepLines/>
              <w:pageBreakBefore w:val="0"/>
              <w:widowControl/>
              <w:suppressLineNumbers w:val="0"/>
              <w:kinsoku/>
              <w:wordWrap/>
              <w:overflowPunct/>
              <w:topLinePunct w:val="0"/>
              <w:autoSpaceDE/>
              <w:autoSpaceDN/>
              <w:bidi w:val="0"/>
              <w:adjustRightInd/>
              <w:snapToGrid/>
              <w:jc w:val="both"/>
              <w:textAlignment w:val="center"/>
              <w:rPr>
                <w:rFonts w:ascii="宋体" w:eastAsia="宋体" w:hAnsi="宋体" w:cs="宋体" w:hint="eastAsia"/>
                <w:b/>
                <w:bCs/>
                <w:i w:val="0"/>
                <w:iCs w:val="0"/>
                <w:color w:val="000000"/>
                <w:kern w:val="0"/>
                <w:sz w:val="20"/>
                <w:szCs w:val="20"/>
                <w:u w:val="none"/>
                <w:lang w:val="en-US" w:eastAsia="zh-CN" w:bidi="ar"/>
              </w:rPr>
            </w:pPr>
          </w:p>
        </w:tc>
        <w:tc>
          <w:tcPr>
            <w:tcW w:w="1538"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c>
          <w:tcPr>
            <w:tcW w:w="1085"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c>
          <w:tcPr>
            <w:tcW w:w="963" w:type="pct"/>
            <w:tcBorders>
              <w:tl2br w:val="nil"/>
              <w:tr2bl w:val="nil"/>
            </w:tcBorders>
            <w:shd w:val="clear" w:color="auto" w:fill="auto"/>
            <w:vAlign w:val="center"/>
          </w:tcPr>
          <w:p>
            <w:pPr>
              <w:keepNext w:val="0"/>
              <w:keepLines/>
              <w:pageBreakBefore w:val="0"/>
              <w:widowControl/>
              <w:kinsoku/>
              <w:wordWrap/>
              <w:overflowPunct/>
              <w:topLinePunct w:val="0"/>
              <w:autoSpaceDE/>
              <w:autoSpaceDN/>
              <w:bidi w:val="0"/>
              <w:adjustRightInd/>
              <w:snapToGrid/>
              <w:jc w:val="both"/>
              <w:rPr>
                <w:rFonts w:ascii="宋体" w:eastAsia="宋体" w:hAnsi="宋体" w:cs="宋体" w:hint="eastAsia"/>
                <w:i w:val="0"/>
                <w:iCs w:val="0"/>
                <w:color w:val="000000"/>
                <w:sz w:val="20"/>
                <w:szCs w:val="20"/>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Times New Roman Regular" w:eastAsia="仿宋_GB2312" w:hAnsi="Times New Roman Regular" w:cs="Times New Roman Regular" w:hint="default"/>
          <w:b w:val="0"/>
          <w:bCs w:val="0"/>
          <w:sz w:val="20"/>
          <w:szCs w:val="20"/>
          <w:lang w:val="en-US"/>
        </w:rPr>
        <w:sectPr>
          <w:pgSz w:w="16838" w:h="11906" w:orient="landscape"/>
          <w:pgMar w:top="1800" w:right="1440" w:bottom="1800" w:left="144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r>
        <w:rPr>
          <w:rFonts w:ascii="Times New Roman Regular" w:eastAsia="仿宋_GB2312" w:hAnsi="Times New Roman Regular" w:cs="Times New Roman Regular" w:hint="default"/>
          <w:b w:val="0"/>
          <w:bCs w:val="0"/>
          <w:sz w:val="20"/>
          <w:szCs w:val="20"/>
          <w:lang w:val="en-US"/>
        </w:rPr>
        <w:t>注：铜陵市铜官区民政局没有安排通用资产配置支出，故本表无数据。</w:t>
      </w:r>
    </w:p>
    <w:p>
      <w:pPr>
        <w:keepNext w:val="0"/>
        <w:keepLines w:val="0"/>
        <w:pageBreakBefore/>
        <w:widowControl w:val="0"/>
        <w:numPr>
          <w:ilvl w:val="0"/>
          <w:numId w:val="0"/>
        </w:numPr>
        <w:kinsoku/>
        <w:wordWrap/>
        <w:overflowPunct/>
        <w:topLinePunct w:val="0"/>
        <w:autoSpaceDE/>
        <w:autoSpaceDN/>
        <w:bidi w:val="0"/>
        <w:adjustRightInd/>
        <w:snapToGrid/>
        <w:spacing w:after="312" w:afterLines="100" w:line="360" w:lineRule="auto"/>
        <w:jc w:val="center"/>
        <w:textAlignment w:val="auto"/>
        <w:rPr>
          <w:rFonts w:ascii="Times New Roman Regular" w:eastAsia="黑体" w:hAnsi="Times New Roman Regular" w:cs="Times New Roman Regular" w:hint="default"/>
          <w:bCs/>
          <w:color w:val="000000"/>
          <w:sz w:val="36"/>
          <w:szCs w:val="36"/>
          <w:lang w:val="en-US"/>
        </w:rPr>
      </w:pPr>
      <w:r>
        <w:rPr>
          <w:rFonts w:ascii="Times New Roman Regular" w:eastAsia="黑体" w:hAnsi="Times New Roman Regular" w:cs="Times New Roman Regular" w:hint="default"/>
          <w:bCs/>
          <w:color w:val="000000"/>
          <w:sz w:val="36"/>
          <w:szCs w:val="36"/>
          <w:lang w:val="en-US"/>
        </w:rPr>
        <w:t>第三部分</w:t>
      </w:r>
      <w:r>
        <w:rPr>
          <w:rFonts w:ascii="Times New Roman Regular" w:eastAsia="黑体" w:hAnsi="Times New Roman Regular" w:cs="Times New Roman Regular" w:hint="default"/>
          <w:bCs/>
          <w:color w:val="000000"/>
          <w:sz w:val="36"/>
          <w:szCs w:val="36"/>
        </w:rPr>
        <w:t xml:space="preserve"> 2025</w:t>
      </w:r>
      <w:r>
        <w:rPr>
          <w:rFonts w:ascii="Times New Roman Regular" w:eastAsia="黑体" w:hAnsi="Times New Roman Regular" w:cs="Times New Roman Regular" w:hint="default"/>
          <w:bCs/>
          <w:color w:val="000000"/>
          <w:sz w:val="36"/>
          <w:szCs w:val="36"/>
          <w:lang w:val="en-US"/>
        </w:rPr>
        <w:t>年</w:t>
      </w:r>
      <w:r>
        <w:rPr>
          <w:rFonts w:ascii="Times New Roman Regular" w:eastAsia="黑体" w:hAnsi="Times New Roman Regular" w:cs="Times New Roman Regular" w:hint="default"/>
          <w:bCs/>
          <w:color w:val="000000"/>
          <w:sz w:val="36"/>
          <w:szCs w:val="36"/>
        </w:rPr>
        <w:t>部门</w:t>
      </w:r>
      <w:r>
        <w:rPr>
          <w:rFonts w:ascii="Times New Roman Regular" w:eastAsia="黑体" w:hAnsi="Times New Roman Regular" w:cs="Times New Roman Regular" w:hint="default"/>
          <w:bCs/>
          <w:color w:val="000000"/>
          <w:sz w:val="36"/>
          <w:szCs w:val="36"/>
          <w:lang w:val="en-US"/>
        </w:rPr>
        <w:t>预算情况</w:t>
      </w:r>
      <w:r>
        <w:rPr>
          <w:rFonts w:ascii="Times New Roman Regular" w:eastAsia="黑体" w:hAnsi="Times New Roman Regular" w:cs="Times New Roman Regular" w:hint="default"/>
          <w:bCs/>
          <w:color w:val="000000"/>
          <w:sz w:val="36"/>
          <w:szCs w:val="36"/>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一、</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年收支总表的说明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lang w:val="en-US"/>
        </w:rPr>
        <w:t>按照综合预算的原则</w:t>
      </w:r>
      <w:r>
        <w:rPr>
          <w:rFonts w:ascii="Times New Roman Regular" w:eastAsia="仿宋_GB2312" w:hAnsi="Times New Roman Regular" w:cs="Times New Roman Regular" w:hint="default"/>
          <w:b w:val="0"/>
          <w:bCs w:val="0"/>
          <w:sz w:val="32"/>
          <w:szCs w:val="32"/>
        </w:rPr>
        <w:t>，铜陵市铜官区民政局</w:t>
      </w:r>
      <w:r>
        <w:rPr>
          <w:rFonts w:ascii="Times New Roman Regular" w:eastAsia="仿宋_GB2312" w:hAnsi="Times New Roman Regular" w:cs="Times New Roman Regular" w:hint="default"/>
          <w:b w:val="0"/>
          <w:bCs w:val="0"/>
          <w:sz w:val="32"/>
          <w:szCs w:val="32"/>
          <w:lang w:val="en-US"/>
        </w:rPr>
        <w:t>所有收入和支出均纳入</w:t>
      </w:r>
      <w:r>
        <w:rPr>
          <w:rFonts w:ascii="Times New Roman Regular" w:eastAsia="仿宋_GB2312" w:hAnsi="Times New Roman Regular" w:cs="Times New Roman Regular" w:hint="default"/>
          <w:b w:val="0"/>
          <w:bCs w:val="0"/>
          <w:sz w:val="32"/>
          <w:szCs w:val="32"/>
        </w:rPr>
        <w:t>部门</w:t>
      </w:r>
      <w:r>
        <w:rPr>
          <w:rFonts w:ascii="Times New Roman Regular" w:eastAsia="仿宋_GB2312" w:hAnsi="Times New Roman Regular" w:cs="Times New Roman Regular" w:hint="default"/>
          <w:b w:val="0"/>
          <w:bCs w:val="0"/>
          <w:sz w:val="32"/>
          <w:szCs w:val="32"/>
          <w:lang w:val="en-US"/>
        </w:rPr>
        <w:t>预算管理</w:t>
      </w: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年收支总预算</w:t>
      </w:r>
      <w:r>
        <w:rPr>
          <w:rFonts w:ascii="Times New Roman Regular" w:eastAsia="仿宋_GB2312" w:hAnsi="Times New Roman Regular" w:cs="Times New Roman Regular" w:hint="default"/>
          <w:b w:val="0"/>
          <w:bCs w:val="0"/>
          <w:sz w:val="32"/>
          <w:szCs w:val="32"/>
        </w:rPr>
        <w:t>3908.64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，收入全部是一般公共预算拨款收入，</w:t>
      </w:r>
      <w:r>
        <w:rPr>
          <w:rFonts w:ascii="Times New Roman Regular" w:eastAsia="仿宋_GB2312" w:hAnsi="Times New Roman Regular" w:cs="Times New Roman Regular" w:hint="default"/>
          <w:b w:val="0"/>
          <w:bCs w:val="0"/>
          <w:sz w:val="32"/>
          <w:szCs w:val="32"/>
          <w:lang w:val="en-US"/>
        </w:rPr>
        <w:t>支出包括</w:t>
      </w:r>
      <w:r>
        <w:rPr>
          <w:rFonts w:ascii="Times New Roman Regular" w:eastAsia="仿宋_GB2312" w:hAnsi="Times New Roman Regular" w:cs="Times New Roman Regular" w:hint="default"/>
          <w:b w:val="0"/>
          <w:bCs w:val="0"/>
          <w:sz w:val="32"/>
          <w:szCs w:val="32"/>
        </w:rPr>
        <w:t>：一般公共服务支出、社会保障和就业支出、住房保障支出、其他支出。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二、</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年收入总表的说明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eastAsia"/>
          <w:b w:val="0"/>
          <w:bCs w:val="0"/>
          <w:sz w:val="32"/>
          <w:szCs w:val="32"/>
          <w:lang w:val="en-US"/>
        </w:rPr>
        <w:t>年</w:t>
      </w:r>
      <w:r>
        <w:rPr>
          <w:rFonts w:ascii="Times New Roman Regular" w:eastAsia="仿宋_GB2312" w:hAnsi="Times New Roman Regular" w:cs="Times New Roman Regular" w:hint="default"/>
          <w:b w:val="0"/>
          <w:bCs w:val="0"/>
          <w:sz w:val="32"/>
          <w:szCs w:val="32"/>
          <w:lang w:val="en-US"/>
        </w:rPr>
        <w:t>收入预算</w:t>
      </w:r>
      <w:r>
        <w:rPr>
          <w:rFonts w:ascii="Times New Roman Regular" w:eastAsia="仿宋_GB2312" w:hAnsi="Times New Roman Regular" w:cs="Times New Roman Regular" w:hint="default"/>
          <w:b w:val="0"/>
          <w:bCs w:val="0"/>
          <w:sz w:val="32"/>
          <w:szCs w:val="32"/>
        </w:rPr>
        <w:t>3908.64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其中</w:t>
      </w:r>
      <w:r>
        <w:rPr>
          <w:rFonts w:ascii="Times New Roman Regular" w:eastAsia="仿宋_GB2312" w:hAnsi="Times New Roman Regular" w:cs="Times New Roman Regular" w:hint="eastAsia"/>
          <w:b w:val="0"/>
          <w:bCs w:val="0"/>
          <w:sz w:val="32"/>
          <w:szCs w:val="32"/>
          <w:lang w:val="en-US" w:eastAsia="zh-CN"/>
        </w:rPr>
        <w:t>，</w:t>
      </w:r>
      <w:r>
        <w:rPr>
          <w:rFonts w:ascii="Times New Roman Regular" w:eastAsia="仿宋_GB2312" w:hAnsi="Times New Roman Regular" w:cs="Times New Roman Regular" w:hint="default"/>
          <w:b w:val="0"/>
          <w:bCs w:val="0"/>
          <w:sz w:val="32"/>
          <w:szCs w:val="32"/>
          <w:lang w:val="en-US"/>
        </w:rPr>
        <w:t>本年收入</w:t>
      </w:r>
      <w:r>
        <w:rPr>
          <w:rFonts w:ascii="Times New Roman Regular" w:eastAsia="仿宋_GB2312" w:hAnsi="Times New Roman Regular" w:cs="Times New Roman Regular" w:hint="default"/>
          <w:b w:val="0"/>
          <w:bCs w:val="0"/>
          <w:sz w:val="32"/>
          <w:szCs w:val="32"/>
        </w:rPr>
        <w:t>3298.34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上年结转</w:t>
      </w:r>
      <w:r>
        <w:rPr>
          <w:rFonts w:ascii="Times New Roman Regular" w:eastAsia="仿宋_GB2312" w:hAnsi="Times New Roman Regular" w:cs="Times New Roman Regular" w:hint="eastAsia"/>
          <w:b w:val="0"/>
          <w:bCs w:val="0"/>
          <w:sz w:val="32"/>
          <w:szCs w:val="32"/>
          <w:lang w:val="en-US" w:eastAsia="zh-CN"/>
        </w:rPr>
        <w:t>收入</w:t>
      </w:r>
      <w:r>
        <w:rPr>
          <w:rFonts w:ascii="Times New Roman Regular" w:eastAsia="仿宋_GB2312" w:hAnsi="Times New Roman Regular" w:cs="Times New Roman Regular" w:hint="default"/>
          <w:b w:val="0"/>
          <w:bCs w:val="0"/>
          <w:sz w:val="32"/>
          <w:szCs w:val="32"/>
        </w:rPr>
        <w:t>610.30</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（一）本年收入3298.34万元，收入全部为一般公共预算拨款收入，比2024年预算减少88.15万元，下降2.60%，下降原因主要是上年结转项目减少。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二）上年结转收入610.30万元，主要包括一般公共预算拨款收入561.24万元，占91.96%，比2024年预算增加554.52万元，增长8251.79%，增长原因主要是项目科目调整；政府性基金预算拨款收入49.06万元，占8.04%，比2024年预算减少339.48万元，下降87.37%，下降原因主要是上年结转项目减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三、</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年支出总表的说明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年支出预算</w:t>
      </w:r>
      <w:r>
        <w:rPr>
          <w:rFonts w:ascii="Times New Roman Regular" w:eastAsia="仿宋_GB2312" w:hAnsi="Times New Roman Regular" w:cs="Times New Roman Regular" w:hint="default"/>
          <w:b w:val="0"/>
          <w:bCs w:val="0"/>
          <w:sz w:val="32"/>
          <w:szCs w:val="32"/>
        </w:rPr>
        <w:t>3908.64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比2024年预算增加126.89万元，增长3.36%，增长原因主要是社会救助项目预算增加。其中，基本支出278.18万元，占7.12%，主要用于保障机构正常运转、完成日常工作任务等；项目支出3630.46万元，占92.88%，主要用于完成民政养老服务、社会救助等职能运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四、</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年财政拨款收支总表的说明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年财政拨款收支预算</w:t>
      </w:r>
      <w:r>
        <w:rPr>
          <w:rFonts w:ascii="Times New Roman Regular" w:eastAsia="仿宋_GB2312" w:hAnsi="Times New Roman Regular" w:cs="Times New Roman Regular" w:hint="default"/>
          <w:b w:val="0"/>
          <w:bCs w:val="0"/>
          <w:sz w:val="32"/>
          <w:szCs w:val="32"/>
        </w:rPr>
        <w:t>3908.64</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。收入按资金来源分为：一般公共预算拨款3859.58万元、政府性基金预算拨款49.06万元；按资金年度分为：本年财政拨款收入3298.34万元，上年结转610.30万元。</w:t>
      </w:r>
      <w:r>
        <w:rPr>
          <w:rFonts w:ascii="Times New Roman Regular" w:eastAsia="仿宋_GB2312" w:hAnsi="Times New Roman Regular" w:cs="Times New Roman Regular" w:hint="default"/>
          <w:b w:val="0"/>
          <w:bCs w:val="0"/>
          <w:sz w:val="32"/>
          <w:szCs w:val="32"/>
          <w:lang w:val="en-US"/>
        </w:rPr>
        <w:t>支出按功能分类分为</w:t>
      </w:r>
      <w:r>
        <w:rPr>
          <w:rFonts w:ascii="Times New Roman Regular" w:eastAsia="仿宋_GB2312" w:hAnsi="Times New Roman Regular" w:cs="Times New Roman Regular" w:hint="default"/>
          <w:b w:val="0"/>
          <w:bCs w:val="0"/>
          <w:sz w:val="32"/>
          <w:szCs w:val="32"/>
        </w:rPr>
        <w:t>：一般公共服务支出12.74万元，占0.33%；社会保障和就业支出3831.72万元，占98.03%；住房保障支出15.12万元，占0.39%；其他支出49.06万元，占1.26%。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五、</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年一般公共预算支出表的说明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（一）</w:t>
      </w:r>
      <w:r>
        <w:rPr>
          <w:rFonts w:ascii="Times New Roman Regular" w:eastAsia="楷体_GB2312" w:hAnsi="Times New Roman Regular" w:cs="Times New Roman Regular" w:hint="default"/>
          <w:b/>
          <w:bCs/>
          <w:sz w:val="32"/>
          <w:szCs w:val="32"/>
          <w:lang w:val="en-US"/>
        </w:rPr>
        <w:t>一般公共预算支出规模变化情况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年一般公共预算支出</w:t>
      </w:r>
      <w:r>
        <w:rPr>
          <w:rFonts w:ascii="Times New Roman Regular" w:eastAsia="仿宋_GB2312" w:hAnsi="Times New Roman Regular" w:cs="Times New Roman Regular" w:hint="default"/>
          <w:b w:val="0"/>
          <w:bCs w:val="0"/>
          <w:sz w:val="32"/>
          <w:szCs w:val="32"/>
        </w:rPr>
        <w:t>3859.58</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，比2024年预算增加466.37万元，增长13.74%，主要原因：社会救助项目预算增加。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（二）</w:t>
      </w:r>
      <w:r>
        <w:rPr>
          <w:rFonts w:ascii="Times New Roman Regular" w:eastAsia="楷体_GB2312" w:hAnsi="Times New Roman Regular" w:cs="Times New Roman Regular" w:hint="default"/>
          <w:b/>
          <w:bCs/>
          <w:sz w:val="32"/>
          <w:szCs w:val="32"/>
          <w:lang w:val="en-US"/>
        </w:rPr>
        <w:t>一般公共预算支出结构情况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一般公共服务支出12.74万元，占0.33%；社会保障和就业支出3831.72万元，占99.28%；住房保障支出15.12万元，占0.39%。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楷体_GB2312" w:hAnsi="Times New Roman Regular" w:cs="Times New Roman Regular" w:hint="default"/>
          <w:b/>
          <w:bCs/>
          <w:sz w:val="32"/>
          <w:szCs w:val="32"/>
          <w:lang w:val="en-US"/>
        </w:rPr>
      </w:pPr>
      <w:r>
        <w:rPr>
          <w:rFonts w:ascii="Times New Roman Regular" w:eastAsia="楷体_GB2312" w:hAnsi="Times New Roman Regular" w:cs="Times New Roman Regular" w:hint="eastAsia"/>
          <w:b/>
          <w:bCs/>
          <w:sz w:val="32"/>
          <w:szCs w:val="32"/>
          <w:lang w:val="en-US" w:eastAsia="zh-CN"/>
        </w:rPr>
        <w:t>（三）</w:t>
      </w:r>
      <w:r>
        <w:rPr>
          <w:rFonts w:ascii="Times New Roman Regular" w:eastAsia="楷体_GB2312" w:hAnsi="Times New Roman Regular" w:cs="Times New Roman Regular" w:hint="default"/>
          <w:b/>
          <w:bCs/>
          <w:sz w:val="32"/>
          <w:szCs w:val="32"/>
          <w:lang w:val="en-US"/>
        </w:rPr>
        <w:t>一般公共预算</w:t>
      </w:r>
      <w:r>
        <w:rPr>
          <w:rFonts w:ascii="Times New Roman Regular" w:eastAsia="楷体_GB2312" w:hAnsi="Times New Roman Regular" w:cs="Times New Roman Regular" w:hint="eastAsia"/>
          <w:b/>
          <w:bCs/>
          <w:sz w:val="32"/>
          <w:szCs w:val="32"/>
          <w:lang w:val="en-US" w:eastAsia="zh-CN"/>
        </w:rPr>
        <w:t>支出</w:t>
      </w:r>
      <w:r>
        <w:rPr>
          <w:rFonts w:ascii="Times New Roman Regular" w:eastAsia="楷体_GB2312" w:hAnsi="Times New Roman Regular" w:cs="Times New Roman Regular" w:hint="default"/>
          <w:b/>
          <w:bCs/>
          <w:sz w:val="32"/>
          <w:szCs w:val="32"/>
          <w:lang w:val="en-US"/>
        </w:rPr>
        <w:t>具体使用情况</w:t>
      </w:r>
    </w:p>
    <w:p>
      <w:pPr>
        <w:spacing w:line="360" w:lineRule="auto"/>
        <w:jc w:val="both"/>
      </w:pPr>
      <w:r>
        <w:rPr>
          <w:rFonts w:ascii="Times New Roman" w:eastAsia="仿宋_GB2312" w:hAnsi="Times New Roman"/>
          <w:b/>
          <w:sz w:val="32"/>
        </w:rPr>
        <w:t>　　1.一般公共服务支出（类）群众团体事务（款）其他群众团体事务支出（项）</w:t>
      </w:r>
      <w:r>
        <w:rPr>
          <w:rFonts w:ascii="Times New Roman" w:eastAsia="仿宋_GB2312" w:hAnsi="Times New Roman"/>
          <w:b w:val="0"/>
          <w:sz w:val="32"/>
        </w:rPr>
        <w:t>2025年预算2.23万元，比2024年预算增加0.38万元，增长20.54%，增长原因主要是单位人员增加。</w:t>
      </w:r>
    </w:p>
    <w:p>
      <w:pPr>
        <w:spacing w:line="360" w:lineRule="auto"/>
        <w:jc w:val="both"/>
      </w:pPr>
      <w:r>
        <w:rPr>
          <w:rFonts w:ascii="Times New Roman" w:eastAsia="仿宋_GB2312" w:hAnsi="Times New Roman"/>
          <w:b/>
          <w:sz w:val="32"/>
        </w:rPr>
        <w:t>　　2.一般公共服务支出（类）组织事务（款）其他组织事务支出（项）</w:t>
      </w:r>
      <w:r>
        <w:rPr>
          <w:rFonts w:ascii="Times New Roman" w:eastAsia="仿宋_GB2312" w:hAnsi="Times New Roman"/>
          <w:b w:val="0"/>
          <w:sz w:val="32"/>
        </w:rPr>
        <w:t>2025年预算1.51万元，比2024年预算增加0.18万元，增长13.53%，增长原因主要是单位人员增加。</w:t>
      </w:r>
    </w:p>
    <w:p>
      <w:pPr>
        <w:spacing w:line="360" w:lineRule="auto"/>
        <w:jc w:val="both"/>
      </w:pPr>
      <w:r>
        <w:rPr>
          <w:rFonts w:ascii="Times New Roman" w:eastAsia="仿宋_GB2312" w:hAnsi="Times New Roman"/>
          <w:b/>
          <w:sz w:val="32"/>
        </w:rPr>
        <w:t>　　3.一般公共服务支出（类）其他一般公共服务支出（款）其他一般公共服务支出（项）</w:t>
      </w:r>
      <w:r>
        <w:rPr>
          <w:rFonts w:ascii="Times New Roman" w:eastAsia="仿宋_GB2312" w:hAnsi="Times New Roman"/>
          <w:b w:val="0"/>
          <w:sz w:val="32"/>
        </w:rPr>
        <w:t>2025年预算9.00万元，比2024年预算减少27.14万元，下降75.10%，下降原因主要是项目科目调整。</w:t>
      </w:r>
    </w:p>
    <w:p>
      <w:pPr>
        <w:spacing w:line="360" w:lineRule="auto"/>
        <w:jc w:val="both"/>
      </w:pPr>
      <w:r>
        <w:rPr>
          <w:rFonts w:ascii="Times New Roman" w:eastAsia="仿宋_GB2312" w:hAnsi="Times New Roman"/>
          <w:b/>
          <w:sz w:val="32"/>
        </w:rPr>
        <w:t>　　4.社会保障和就业支出（类）民政管理事务（款）行政运行（项）</w:t>
      </w:r>
      <w:r>
        <w:rPr>
          <w:rFonts w:ascii="Times New Roman" w:eastAsia="仿宋_GB2312" w:hAnsi="Times New Roman"/>
          <w:b w:val="0"/>
          <w:sz w:val="32"/>
        </w:rPr>
        <w:t>2025年预算259.31万元，比2024年预算增加55.57万元，增长27.27%，增长原因主要是单位人员增加。</w:t>
      </w:r>
    </w:p>
    <w:p>
      <w:pPr>
        <w:spacing w:line="360" w:lineRule="auto"/>
        <w:jc w:val="both"/>
      </w:pPr>
      <w:r>
        <w:rPr>
          <w:rFonts w:ascii="Times New Roman" w:eastAsia="仿宋_GB2312" w:hAnsi="Times New Roman"/>
          <w:b/>
          <w:sz w:val="32"/>
        </w:rPr>
        <w:t>　　5.社会保障和就业支出（类）民政管理事务（款）老龄事务（项）</w:t>
      </w:r>
      <w:r>
        <w:rPr>
          <w:rFonts w:ascii="Times New Roman" w:eastAsia="仿宋_GB2312" w:hAnsi="Times New Roman"/>
          <w:b w:val="0"/>
          <w:sz w:val="32"/>
        </w:rPr>
        <w:t>2025年预算20.00万元，比2024年预算增加20.00万元，增长原因主要是增加90周岁以上老年人重阳节慰问项目。</w:t>
      </w:r>
    </w:p>
    <w:p>
      <w:pPr>
        <w:spacing w:line="360" w:lineRule="auto"/>
        <w:jc w:val="both"/>
      </w:pPr>
      <w:r>
        <w:rPr>
          <w:rFonts w:ascii="Times New Roman" w:eastAsia="仿宋_GB2312" w:hAnsi="Times New Roman"/>
          <w:b/>
          <w:sz w:val="32"/>
        </w:rPr>
        <w:t>　　6.社会保障和就业支出（类）民政管理事务（款）其他民政管理事务支出（项）</w:t>
      </w:r>
      <w:r>
        <w:rPr>
          <w:rFonts w:ascii="Times New Roman" w:eastAsia="仿宋_GB2312" w:hAnsi="Times New Roman"/>
          <w:b w:val="0"/>
          <w:sz w:val="32"/>
        </w:rPr>
        <w:t>2025年预算183.00万元，比2024年预算减少0.56万元，下降0.31%，下降原因主要是基层治理经费减少。</w:t>
      </w:r>
    </w:p>
    <w:p>
      <w:pPr>
        <w:spacing w:line="360" w:lineRule="auto"/>
        <w:jc w:val="both"/>
      </w:pPr>
      <w:r>
        <w:rPr>
          <w:rFonts w:ascii="Times New Roman" w:eastAsia="仿宋_GB2312" w:hAnsi="Times New Roman"/>
          <w:b/>
          <w:sz w:val="32"/>
        </w:rPr>
        <w:t>　　7.社会保障和就业支出（类）社会福利（款）儿童福利（项）</w:t>
      </w:r>
      <w:r>
        <w:rPr>
          <w:rFonts w:ascii="Times New Roman" w:eastAsia="仿宋_GB2312" w:hAnsi="Times New Roman"/>
          <w:b w:val="0"/>
          <w:sz w:val="32"/>
        </w:rPr>
        <w:t>2025年预算88.38万元，比2024年预算增加18.38万元，增长26.26%，增长原因主要是孤儿人数增加并且提标。</w:t>
      </w:r>
    </w:p>
    <w:p>
      <w:pPr>
        <w:spacing w:line="360" w:lineRule="auto"/>
        <w:jc w:val="both"/>
      </w:pPr>
      <w:r>
        <w:rPr>
          <w:rFonts w:ascii="Times New Roman" w:eastAsia="仿宋_GB2312" w:hAnsi="Times New Roman"/>
          <w:b/>
          <w:sz w:val="32"/>
        </w:rPr>
        <w:t>　　8.社会保障和就业支出（类）社会福利（款）老年福利（项）</w:t>
      </w:r>
      <w:r>
        <w:rPr>
          <w:rFonts w:ascii="Times New Roman" w:eastAsia="仿宋_GB2312" w:hAnsi="Times New Roman"/>
          <w:b w:val="0"/>
          <w:sz w:val="32"/>
        </w:rPr>
        <w:t>2025年预算407.46万元，比2024年预算减少138.54万元，下降25.37%，下降原因主要是高龄津贴区级预算减少。</w:t>
      </w:r>
    </w:p>
    <w:p>
      <w:pPr>
        <w:spacing w:line="360" w:lineRule="auto"/>
        <w:jc w:val="both"/>
      </w:pPr>
      <w:r>
        <w:rPr>
          <w:rFonts w:ascii="Times New Roman" w:eastAsia="仿宋_GB2312" w:hAnsi="Times New Roman"/>
          <w:b/>
          <w:sz w:val="32"/>
        </w:rPr>
        <w:t>　　9.社会保障和就业支出（类）社会福利（款）殡葬（项）</w:t>
      </w:r>
      <w:r>
        <w:rPr>
          <w:rFonts w:ascii="Times New Roman" w:eastAsia="仿宋_GB2312" w:hAnsi="Times New Roman"/>
          <w:b w:val="0"/>
          <w:sz w:val="32"/>
        </w:rPr>
        <w:t>2025年预算38.00万元，比2024年预算增加8.00万元，增长26.67%，增长原因主要是殡葬使用金额增加。</w:t>
      </w:r>
    </w:p>
    <w:p>
      <w:pPr>
        <w:spacing w:line="360" w:lineRule="auto"/>
        <w:jc w:val="both"/>
      </w:pPr>
      <w:r>
        <w:rPr>
          <w:rFonts w:ascii="Times New Roman" w:eastAsia="仿宋_GB2312" w:hAnsi="Times New Roman"/>
          <w:b/>
          <w:sz w:val="32"/>
        </w:rPr>
        <w:t>　　10.社会保障和就业支出（类）社会福利（款）养老服务（项）</w:t>
      </w:r>
      <w:r>
        <w:rPr>
          <w:rFonts w:ascii="Times New Roman" w:eastAsia="仿宋_GB2312" w:hAnsi="Times New Roman"/>
          <w:b w:val="0"/>
          <w:sz w:val="32"/>
        </w:rPr>
        <w:t>2025年预算7.82万元，比2024年预算增加7.82万元，增长原因主要是增加城乡社区老年协会规范化建设项目。</w:t>
      </w:r>
    </w:p>
    <w:p>
      <w:pPr>
        <w:spacing w:line="360" w:lineRule="auto"/>
        <w:jc w:val="both"/>
      </w:pPr>
      <w:r>
        <w:rPr>
          <w:rFonts w:ascii="Times New Roman" w:eastAsia="仿宋_GB2312" w:hAnsi="Times New Roman"/>
          <w:b/>
          <w:sz w:val="32"/>
        </w:rPr>
        <w:t>　　11.社会保障和就业支出（类）社会福利（款）其他社会福利支出（项）</w:t>
      </w:r>
      <w:r>
        <w:rPr>
          <w:rFonts w:ascii="Times New Roman" w:eastAsia="仿宋_GB2312" w:hAnsi="Times New Roman"/>
          <w:b w:val="0"/>
          <w:sz w:val="32"/>
        </w:rPr>
        <w:t>2025年预算870.90万元，比2024年预算增加426.90万元，增长96.15%，增长原因主要是社会救助项目支出增加。</w:t>
      </w:r>
    </w:p>
    <w:p>
      <w:pPr>
        <w:spacing w:line="360" w:lineRule="auto"/>
        <w:jc w:val="both"/>
      </w:pPr>
      <w:r>
        <w:rPr>
          <w:rFonts w:ascii="Times New Roman" w:eastAsia="仿宋_GB2312" w:hAnsi="Times New Roman"/>
          <w:b/>
          <w:sz w:val="32"/>
        </w:rPr>
        <w:t>　　12.社会保障和就业支出（类）残疾人事业（款）残疾人生活和护理补贴（项）</w:t>
      </w:r>
      <w:r>
        <w:rPr>
          <w:rFonts w:ascii="Times New Roman" w:eastAsia="仿宋_GB2312" w:hAnsi="Times New Roman"/>
          <w:b w:val="0"/>
          <w:sz w:val="32"/>
        </w:rPr>
        <w:t>2025年预算511.52万元，比2024年预算增加324.02万元，增长172.81%，增长原因主要是残补项目提标。</w:t>
      </w:r>
    </w:p>
    <w:p>
      <w:pPr>
        <w:spacing w:line="360" w:lineRule="auto"/>
        <w:jc w:val="both"/>
      </w:pPr>
      <w:r>
        <w:rPr>
          <w:rFonts w:ascii="Times New Roman" w:eastAsia="仿宋_GB2312" w:hAnsi="Times New Roman"/>
          <w:b/>
          <w:sz w:val="32"/>
        </w:rPr>
        <w:t>　　13.社会保障和就业支出（类）最低生活保障（款）城市最低生活保障金支出（项）</w:t>
      </w:r>
      <w:r>
        <w:rPr>
          <w:rFonts w:ascii="Times New Roman" w:eastAsia="仿宋_GB2312" w:hAnsi="Times New Roman"/>
          <w:b w:val="0"/>
          <w:sz w:val="32"/>
        </w:rPr>
        <w:t>2025年预算868.42万元，比2024年预算减少201.58万元，下降18.84%，下降原因主要是低保扣除上级资金使用金额减少。</w:t>
      </w:r>
    </w:p>
    <w:p>
      <w:pPr>
        <w:spacing w:line="360" w:lineRule="auto"/>
        <w:jc w:val="both"/>
      </w:pPr>
      <w:r>
        <w:rPr>
          <w:rFonts w:ascii="Times New Roman" w:eastAsia="仿宋_GB2312" w:hAnsi="Times New Roman"/>
          <w:b/>
          <w:sz w:val="32"/>
        </w:rPr>
        <w:t>　　14.社会保障和就业支出（类）临时救助（款）临时救助支出（项）</w:t>
      </w:r>
      <w:r>
        <w:rPr>
          <w:rFonts w:ascii="Times New Roman" w:eastAsia="仿宋_GB2312" w:hAnsi="Times New Roman"/>
          <w:b w:val="0"/>
          <w:sz w:val="32"/>
        </w:rPr>
        <w:t>2025年预算160.40万元，比2024年预算增加22.90万元，增长16.65%，增长原因主要是临时救助人次增加。</w:t>
      </w:r>
    </w:p>
    <w:p>
      <w:pPr>
        <w:spacing w:line="360" w:lineRule="auto"/>
        <w:jc w:val="both"/>
      </w:pPr>
      <w:r>
        <w:rPr>
          <w:rFonts w:ascii="Times New Roman" w:eastAsia="仿宋_GB2312" w:hAnsi="Times New Roman"/>
          <w:b/>
          <w:sz w:val="32"/>
        </w:rPr>
        <w:t>　　15.社会保障和就业支出（类）临时救助（款）流浪乞讨人员救助支出（项）</w:t>
      </w:r>
      <w:r>
        <w:rPr>
          <w:rFonts w:ascii="Times New Roman" w:eastAsia="仿宋_GB2312" w:hAnsi="Times New Roman"/>
          <w:b w:val="0"/>
          <w:sz w:val="32"/>
        </w:rPr>
        <w:t>2025年预算31.18万元，比2024年预算增加6.18万元，增长24.72%，增长原因主要是流浪乞讨项目预算增加。</w:t>
      </w:r>
    </w:p>
    <w:p>
      <w:pPr>
        <w:spacing w:line="360" w:lineRule="auto"/>
        <w:jc w:val="both"/>
      </w:pPr>
      <w:r>
        <w:rPr>
          <w:rFonts w:ascii="Times New Roman" w:eastAsia="仿宋_GB2312" w:hAnsi="Times New Roman"/>
          <w:b/>
          <w:sz w:val="32"/>
        </w:rPr>
        <w:t>　　16.社会保障和就业支出（类）特困人员救助供养（款）农村特困人员救助供养支出（项）</w:t>
      </w:r>
      <w:r>
        <w:rPr>
          <w:rFonts w:ascii="Times New Roman" w:eastAsia="仿宋_GB2312" w:hAnsi="Times New Roman"/>
          <w:b w:val="0"/>
          <w:sz w:val="32"/>
        </w:rPr>
        <w:t>2025年预算11.31万元，比2024年预算增加11.31万元，增长原因主要是特困项目增加。</w:t>
      </w:r>
    </w:p>
    <w:p>
      <w:pPr>
        <w:spacing w:line="360" w:lineRule="auto"/>
        <w:jc w:val="both"/>
      </w:pPr>
      <w:r>
        <w:rPr>
          <w:rFonts w:ascii="Times New Roman" w:eastAsia="仿宋_GB2312" w:hAnsi="Times New Roman"/>
          <w:b/>
          <w:sz w:val="32"/>
        </w:rPr>
        <w:t>　　17.社会保障和就业支出（类）其他社会保障和就业支出（款）其他社会保障和就业支出（项）</w:t>
      </w:r>
      <w:r>
        <w:rPr>
          <w:rFonts w:ascii="Times New Roman" w:eastAsia="仿宋_GB2312" w:hAnsi="Times New Roman"/>
          <w:b w:val="0"/>
          <w:sz w:val="32"/>
        </w:rPr>
        <w:t>2025年预算374.01万元，比2024年预算减少51.09万元，下降12.02%，下降原因主要是社会救助项目提标。</w:t>
      </w:r>
    </w:p>
    <w:p>
      <w:pPr>
        <w:spacing w:line="360" w:lineRule="auto"/>
        <w:jc w:val="both"/>
      </w:pPr>
      <w:r>
        <w:rPr>
          <w:rFonts w:ascii="Times New Roman" w:eastAsia="仿宋_GB2312" w:hAnsi="Times New Roman"/>
          <w:b/>
          <w:sz w:val="32"/>
        </w:rPr>
        <w:t>　　18.住房保障支出（类）住房改革支出（款）提租补贴（项）</w:t>
      </w:r>
      <w:r>
        <w:rPr>
          <w:rFonts w:ascii="Times New Roman" w:eastAsia="仿宋_GB2312" w:hAnsi="Times New Roman"/>
          <w:b w:val="0"/>
          <w:sz w:val="32"/>
        </w:rPr>
        <w:t>2025年预算7.84万元，比2024年预算增加0.98万元，增长14.29%，增长原因主要是单位人员调整。</w:t>
      </w:r>
    </w:p>
    <w:p>
      <w:pPr>
        <w:spacing w:line="360" w:lineRule="auto"/>
        <w:jc w:val="both"/>
      </w:pPr>
      <w:r>
        <w:rPr>
          <w:rFonts w:ascii="Times New Roman" w:eastAsia="仿宋_GB2312" w:hAnsi="Times New Roman"/>
          <w:b/>
          <w:sz w:val="32"/>
        </w:rPr>
        <w:t>　　19.住房保障支出（类）住房改革支出（款）购房补贴（项）</w:t>
      </w:r>
      <w:r>
        <w:rPr>
          <w:rFonts w:ascii="Times New Roman" w:eastAsia="仿宋_GB2312" w:hAnsi="Times New Roman"/>
          <w:b w:val="0"/>
          <w:sz w:val="32"/>
        </w:rPr>
        <w:t>2025年预算7.28万元，比2024年预算减少7.48万元，下降50.68%，下降原因主要是工资基数减少。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六、</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年一般公共预算基本支出表的说明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w:t>
      </w:r>
      <w:r>
        <w:rPr>
          <w:rFonts w:ascii="Times New Roman Regular" w:eastAsia="仿宋_GB2312" w:hAnsi="Times New Roman Regular" w:cs="Times New Roman Regular" w:hint="default"/>
          <w:b w:val="0"/>
          <w:bCs w:val="0"/>
          <w:sz w:val="32"/>
          <w:szCs w:val="32"/>
          <w:lang w:val="en-US"/>
        </w:rPr>
        <w:t>年一般公共预算基本支出</w:t>
      </w:r>
      <w:r>
        <w:rPr>
          <w:rFonts w:ascii="Times New Roman Regular" w:eastAsia="仿宋_GB2312" w:hAnsi="Times New Roman Regular" w:cs="Times New Roman Regular" w:hint="default"/>
          <w:b w:val="0"/>
          <w:bCs w:val="0"/>
          <w:sz w:val="32"/>
          <w:szCs w:val="32"/>
        </w:rPr>
        <w:t>278.18</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其中</w:t>
      </w:r>
      <w:r>
        <w:rPr>
          <w:rFonts w:ascii="Times New Roman Regular" w:eastAsia="仿宋_GB2312" w:hAnsi="Times New Roman Regular" w:cs="Times New Roman Regular" w:hint="eastAsia"/>
          <w:b w:val="0"/>
          <w:bCs w:val="0"/>
          <w:sz w:val="32"/>
          <w:szCs w:val="32"/>
          <w:lang w:val="en-US" w:eastAsia="zh-CN"/>
        </w:rPr>
        <w:t>，</w:t>
      </w:r>
      <w:r>
        <w:rPr>
          <w:rFonts w:ascii="Times New Roman Regular" w:eastAsia="仿宋_GB2312" w:hAnsi="Times New Roman Regular" w:cs="Times New Roman Regular" w:hint="default"/>
          <w:b w:val="0"/>
          <w:bCs w:val="0"/>
          <w:sz w:val="32"/>
          <w:szCs w:val="32"/>
          <w:lang w:val="en-US"/>
        </w:rPr>
        <w:t>人员经费</w:t>
      </w:r>
      <w:r>
        <w:rPr>
          <w:rFonts w:ascii="Times New Roman Regular" w:eastAsia="仿宋_GB2312" w:hAnsi="Times New Roman Regular" w:cs="Times New Roman Regular" w:hint="default"/>
          <w:b w:val="0"/>
          <w:bCs w:val="0"/>
          <w:sz w:val="32"/>
          <w:szCs w:val="32"/>
        </w:rPr>
        <w:t>248.20</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公用经费</w:t>
      </w:r>
      <w:r>
        <w:rPr>
          <w:rFonts w:ascii="Times New Roman Regular" w:eastAsia="仿宋_GB2312" w:hAnsi="Times New Roman Regular" w:cs="Times New Roman Regular" w:hint="default"/>
          <w:b w:val="0"/>
          <w:bCs w:val="0"/>
          <w:sz w:val="32"/>
          <w:szCs w:val="32"/>
        </w:rPr>
        <w:t>29.98</w:t>
      </w:r>
      <w:r>
        <w:rPr>
          <w:rFonts w:ascii="Times New Roman Regular" w:eastAsia="仿宋_GB2312" w:hAnsi="Times New Roman Regular" w:cs="Times New Roman Regular" w:hint="default"/>
          <w:b w:val="0"/>
          <w:bCs w:val="0"/>
          <w:sz w:val="32"/>
          <w:szCs w:val="32"/>
          <w:lang w:val="en-US"/>
        </w:rPr>
        <w:t>万元</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（一）人员经费248.20万元，主要包括：基本工资、津贴补贴、奖金、绩效工资、其他工资福利支出。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（二）公用经费29.98万元，主要包括：办公费、印刷费、差旅费、培训费、公务接待费、工会经费、办公设备购置。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七、</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年政府性基金预算支出表的说明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铜陵市铜官区民政局2025年政府性基金支出49.06万元，比2024年预算减少339.48万元，下降87.37%，主要原因：中央集中彩票公益金支持社会福利事业专项资金减少。具体情况如下：</w:t>
      </w:r>
    </w:p>
    <w:p>
      <w:pPr>
        <w:spacing w:line="360" w:lineRule="auto"/>
        <w:jc w:val="both"/>
      </w:pPr>
      <w:r>
        <w:rPr>
          <w:rFonts w:ascii="Times New Roman" w:eastAsia="仿宋_GB2312" w:hAnsi="Times New Roman"/>
          <w:b/>
          <w:sz w:val="32"/>
        </w:rPr>
        <w:t>　　其他支出（类）彩票公益金安排的支出（款）用于社会福利的彩票公益金支出（项）</w:t>
      </w:r>
      <w:r>
        <w:rPr>
          <w:rFonts w:ascii="Times New Roman" w:eastAsia="仿宋_GB2312" w:hAnsi="Times New Roman"/>
          <w:b w:val="0"/>
          <w:sz w:val="32"/>
        </w:rPr>
        <w:t>2025年预算49.06万元，比2024年预算减少339.48万元，下降87.37%，下降原因主要是中央集中彩票公益金支持社会福利事业专项资金减少。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八、</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年国有资本经营预算支出表的说明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铜陵市铜官区民政局2025年没有国有资本经营预算拨款收入，也没有使用国有资本经营预算拨款安排的支出。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九、</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年项目支出表的说明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年预算共安排项目支出3630.46万元，比2024年预算增加87.12万元，增长2.46%，增长原因主要是社会救助项目预算增加。主要包括：本年财政拨款安排3020.16万元（其中，一般公共预算拨款安排3020.16万元，政府性基金预算拨款安排0.00万元，国有资本经营预算拨款安排0.00万元），财政拨款上年结转安排610.30万元（其中，一般公共预算拨款安排561.24万元，政府性基金预算拨款安排49.06万元，国有资本经营预算拨款安排0.00万元）、财政专户管理资金安排0.00万元和单位资金安排0.00万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年政府采购支出表的说明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年预算安排政府采购支出0.80万元，比2024年预算减少1.50万元，下降65.22%，下降原因主要是本年度仅计划购买一台电脑。其中，一般公共预算安排0.80万元，占100.00%；政府性基金预算安排0.00万元，占0.00%；国有资本经营预算安排0.00万元，占0.00%；财政专户管理资金安排0.00万元，占0.00%；单位资金安排0.00万元，占0.00%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十一、</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年政府购买服务支出表的说明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default"/>
          <w:b w:val="0"/>
          <w:bCs w:val="0"/>
          <w:sz w:val="32"/>
          <w:szCs w:val="32"/>
        </w:rPr>
        <w:t>铜陵市铜官区民政局2025年没有安排政府购买服务支出。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十二、</w:t>
      </w:r>
      <w:r>
        <w:rPr>
          <w:rFonts w:ascii="Times New Roman Regular" w:eastAsia="黑体" w:hAnsi="Times New Roman Regular" w:cs="Times New Roman Regular" w:hint="default"/>
          <w:b w:val="0"/>
          <w:bCs w:val="0"/>
          <w:sz w:val="32"/>
          <w:szCs w:val="32"/>
          <w:lang w:val="en-US"/>
        </w:rPr>
        <w:t>关于</w:t>
      </w:r>
      <w:r>
        <w:rPr>
          <w:rFonts w:ascii="Times New Roman Regular" w:eastAsia="黑体" w:hAnsi="Times New Roman Regular" w:cs="Times New Roman Regular" w:hint="default"/>
          <w:b w:val="0"/>
          <w:bCs w:val="0"/>
          <w:sz w:val="32"/>
          <w:szCs w:val="32"/>
        </w:rPr>
        <w:t>2025</w:t>
      </w:r>
      <w:r>
        <w:rPr>
          <w:rFonts w:ascii="Times New Roman Regular" w:eastAsia="黑体" w:hAnsi="Times New Roman Regular" w:cs="Times New Roman Regular" w:hint="default"/>
          <w:b w:val="0"/>
          <w:bCs w:val="0"/>
          <w:sz w:val="32"/>
          <w:szCs w:val="32"/>
          <w:lang w:val="en-US"/>
        </w:rPr>
        <w:t>年通用资产配置支出表的说明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仿宋_GB2312" w:hAnsi="Times New Roman Regular" w:cs="Times New Roman Regular" w:hint="default"/>
          <w:b w:val="0"/>
          <w:bCs w:val="0"/>
          <w:sz w:val="32"/>
          <w:szCs w:val="32"/>
        </w:rPr>
        <w:t>铜陵市铜官区民政局2025年没有安排通用资产配置支出。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黑体" w:hAnsi="Times New Roman Regular" w:cs="Times New Roman Regular" w:hint="default"/>
          <w:b w:val="0"/>
          <w:bCs w:val="0"/>
          <w:sz w:val="32"/>
          <w:szCs w:val="32"/>
          <w:lang w:val="en-US"/>
        </w:rPr>
      </w:pPr>
      <w:r>
        <w:rPr>
          <w:rFonts w:ascii="Times New Roman Regular" w:eastAsia="黑体" w:hAnsi="Times New Roman Regular" w:cs="Times New Roman Regular" w:hint="eastAsia"/>
          <w:b w:val="0"/>
          <w:bCs w:val="0"/>
          <w:sz w:val="32"/>
          <w:szCs w:val="32"/>
          <w:lang w:val="en-US" w:eastAsia="zh-CN"/>
        </w:rPr>
        <w:t>十三</w:t>
      </w:r>
      <w:r>
        <w:rPr>
          <w:rFonts w:ascii="Times New Roman Regular" w:eastAsia="黑体" w:hAnsi="Times New Roman Regular" w:cs="Times New Roman Regular" w:hint="eastAsia"/>
          <w:b w:val="0"/>
          <w:bCs w:val="0"/>
          <w:sz w:val="32"/>
          <w:szCs w:val="32"/>
          <w:lang w:val="en-US" w:eastAsia="zh-CN"/>
        </w:rPr>
        <w:t>、</w:t>
      </w:r>
      <w:r>
        <w:rPr>
          <w:rFonts w:ascii="Times New Roman Regular" w:eastAsia="黑体" w:hAnsi="Times New Roman Regular" w:cs="Times New Roman Regular" w:hint="default"/>
          <w:b w:val="0"/>
          <w:bCs w:val="0"/>
          <w:sz w:val="32"/>
          <w:szCs w:val="32"/>
          <w:lang w:val="en-US"/>
        </w:rPr>
        <w:t>其他重要事项情况说明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ascii="Times New Roman Regular" w:eastAsia="仿宋_GB2312" w:hAnsi="Times New Roman Regular" w:cs="Times New Roman Regular" w:hint="default"/>
          <w:b/>
          <w:bCs/>
          <w:sz w:val="32"/>
          <w:szCs w:val="32"/>
        </w:rPr>
      </w:pPr>
      <w:r>
        <w:rPr>
          <w:rFonts w:ascii="Times New Roman Regular" w:eastAsia="仿宋_GB2312" w:hAnsi="Times New Roman Regular" w:cs="Times New Roman Regular" w:hint="default"/>
          <w:b/>
          <w:bCs/>
          <w:sz w:val="32"/>
          <w:szCs w:val="32"/>
        </w:rPr>
        <w:t>（一）项目及绩效目标情况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bCs w:val="0"/>
          <w:sz w:val="32"/>
          <w:szCs w:val="32"/>
        </w:rPr>
      </w:pPr>
      <w:r>
        <w:rPr>
          <w:rFonts w:ascii="Times New Roman Regular" w:eastAsia="仿宋_GB2312" w:hAnsi="Times New Roman Regular" w:cs="Times New Roman Regular" w:hint="default"/>
          <w:b/>
          <w:bCs w:val="0"/>
          <w:sz w:val="32"/>
          <w:szCs w:val="32"/>
        </w:rPr>
        <w:t>1.</w:t>
      </w:r>
      <w:r>
        <w:rPr>
          <w:rFonts w:ascii="Times New Roman Regular" w:eastAsia="仿宋_GB2312" w:hAnsi="Times New Roman Regular" w:cs="Times New Roman Regular" w:hint="eastAsia"/>
          <w:b/>
          <w:bCs w:val="0"/>
          <w:sz w:val="32"/>
          <w:szCs w:val="32"/>
          <w:lang w:eastAsia="zh-CN"/>
        </w:rPr>
        <w:t>“</w:t>
      </w:r>
      <w:r>
        <w:rPr>
          <w:rFonts w:ascii="Times New Roman Regular" w:eastAsia="仿宋_GB2312" w:hAnsi="Times New Roman Regular" w:cs="Times New Roman Regular" w:hint="default"/>
          <w:b/>
          <w:bCs w:val="0"/>
          <w:sz w:val="32"/>
          <w:szCs w:val="32"/>
        </w:rPr>
        <w:t>2025_困难群众救助_最低生活保障</w:t>
      </w:r>
      <w:r>
        <w:rPr>
          <w:rFonts w:ascii="Times New Roman Regular" w:eastAsia="仿宋_GB2312" w:hAnsi="Times New Roman Regular" w:cs="Times New Roman Regular" w:hint="eastAsia"/>
          <w:b/>
          <w:bCs w:val="0"/>
          <w:sz w:val="32"/>
          <w:szCs w:val="32"/>
          <w:lang w:eastAsia="zh-CN"/>
        </w:rPr>
        <w:t>”</w:t>
      </w:r>
      <w:r>
        <w:rPr>
          <w:rFonts w:ascii="Times New Roman Regular" w:eastAsia="仿宋_GB2312" w:hAnsi="Times New Roman Regular" w:cs="Times New Roman Regular" w:hint="eastAsia"/>
          <w:b/>
          <w:bCs w:val="0"/>
          <w:sz w:val="32"/>
          <w:szCs w:val="32"/>
          <w:lang w:val="en-US" w:eastAsia="zh-CN"/>
        </w:rPr>
        <w:t>项目</w:t>
      </w:r>
      <w:r>
        <w:rPr>
          <w:rFonts w:ascii="Times New Roman Regular" w:eastAsia="仿宋_GB2312" w:hAnsi="Times New Roman Regular" w:cs="Times New Roman Regular" w:hint="default"/>
          <w:b/>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（1）</w:t>
      </w:r>
      <w:r>
        <w:rPr>
          <w:rFonts w:ascii="Times New Roman Regular" w:eastAsia="仿宋_GB2312" w:hAnsi="Times New Roman Regular" w:cs="Times New Roman Regular" w:hint="default"/>
          <w:b w:val="0"/>
          <w:bCs w:val="0"/>
          <w:sz w:val="32"/>
          <w:szCs w:val="32"/>
          <w:lang w:val="en-US"/>
        </w:rPr>
        <w:t>项目概述</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rPr>
        <w:t>是一项由政府组织实施的社会救助制度，旨在保障城市贫困人口的基本生活需求。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（2）</w:t>
      </w:r>
      <w:r>
        <w:rPr>
          <w:rFonts w:ascii="Times New Roman Regular" w:eastAsia="仿宋_GB2312" w:hAnsi="Times New Roman Regular" w:cs="Times New Roman Regular" w:hint="default"/>
          <w:b w:val="0"/>
          <w:bCs w:val="0"/>
          <w:sz w:val="32"/>
          <w:szCs w:val="32"/>
          <w:lang w:val="en-US"/>
        </w:rPr>
        <w:t>立项依据</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rPr>
        <w:t>《铜官区低保操作规程》。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（3）</w:t>
      </w:r>
      <w:r>
        <w:rPr>
          <w:rFonts w:ascii="Times New Roman Regular" w:eastAsia="仿宋_GB2312" w:hAnsi="Times New Roman Regular" w:cs="Times New Roman Regular" w:hint="default"/>
          <w:b w:val="0"/>
          <w:bCs w:val="0"/>
          <w:sz w:val="32"/>
          <w:szCs w:val="32"/>
          <w:lang w:val="en-US"/>
        </w:rPr>
        <w:t>实施主体</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rPr>
        <w:t>铜陵市铜官区民政局。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（4）</w:t>
      </w:r>
      <w:r>
        <w:rPr>
          <w:rFonts w:ascii="Times New Roman Regular" w:eastAsia="仿宋_GB2312" w:hAnsi="Times New Roman Regular" w:cs="Times New Roman Regular" w:hint="default"/>
          <w:b w:val="0"/>
          <w:bCs w:val="0"/>
          <w:sz w:val="32"/>
          <w:szCs w:val="32"/>
          <w:lang w:val="en-US"/>
        </w:rPr>
        <w:t>起止时间</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lang w:val="en-US"/>
        </w:rPr>
        <w:t>2025</w:t>
      </w:r>
      <w:r>
        <w:rPr>
          <w:rFonts w:ascii="Times New Roman Regular" w:eastAsia="仿宋_GB2312" w:hAnsi="Times New Roman Regular" w:cs="Times New Roman Regular" w:hint="eastAsia"/>
          <w:b w:val="0"/>
          <w:bCs w:val="0"/>
          <w:sz w:val="32"/>
          <w:szCs w:val="32"/>
          <w:lang w:val="en-US" w:eastAsia="zh-CN"/>
        </w:rPr>
        <w:t>年1月-</w:t>
      </w:r>
      <w:r>
        <w:rPr>
          <w:rFonts w:ascii="Times New Roman Regular" w:eastAsia="仿宋_GB2312" w:hAnsi="Times New Roman Regular" w:cs="Times New Roman Regular" w:hint="default"/>
          <w:b w:val="0"/>
          <w:bCs w:val="0"/>
          <w:sz w:val="32"/>
          <w:szCs w:val="32"/>
          <w:lang w:val="en-US"/>
        </w:rPr>
        <w:t>2025</w:t>
      </w:r>
      <w:r>
        <w:rPr>
          <w:rFonts w:ascii="Times New Roman Regular" w:eastAsia="仿宋_GB2312" w:hAnsi="Times New Roman Regular" w:cs="Times New Roman Regular" w:hint="eastAsia"/>
          <w:b w:val="0"/>
          <w:bCs w:val="0"/>
          <w:sz w:val="32"/>
          <w:szCs w:val="32"/>
          <w:lang w:val="en-US" w:eastAsia="zh-CN"/>
        </w:rPr>
        <w:t>年12月</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（5）</w:t>
      </w:r>
      <w:r>
        <w:rPr>
          <w:rFonts w:ascii="Times New Roman Regular" w:eastAsia="仿宋_GB2312" w:hAnsi="Times New Roman Regular" w:cs="Times New Roman Regular" w:hint="default"/>
          <w:b w:val="0"/>
          <w:bCs w:val="0"/>
          <w:sz w:val="32"/>
          <w:szCs w:val="32"/>
          <w:lang w:val="en-US"/>
        </w:rPr>
        <w:t>项目内容</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rPr>
        <w:t>保障基本生活：低保制度为贫困人口提供了最基本的生活费用补贴，确保他们能够维持最低生活水平。这对于那些因失业、疾病或其他原因导致收入锐减的家庭尤为重要，可以帮助他们度过难关。维护社会稳定：通过及时解决城市居民的生活困难，低保制度有助于理顺群众情绪，消除社会不安定因素。这对于维护社会稳定，促进经济和社会事业健康发展具有重要作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ascii="Times New Roman Regular" w:eastAsia="仿宋_GB2312" w:hAnsi="Times New Roman Regular" w:cs="Times New Roman Regular" w:hint="default"/>
          <w:b w:val="0"/>
          <w:bCs w:val="0"/>
          <w:sz w:val="32"/>
          <w:szCs w:val="32"/>
        </w:rPr>
      </w:pPr>
      <w:r>
        <w:rPr>
          <w:rFonts w:ascii="Times New Roman Regular" w:eastAsia="仿宋_GB2312" w:hAnsi="Times New Roman Regular" w:cs="Times New Roman Regular" w:hint="eastAsia"/>
          <w:b w:val="0"/>
          <w:bCs w:val="0"/>
          <w:sz w:val="32"/>
          <w:szCs w:val="32"/>
          <w:lang w:val="en-US" w:eastAsia="zh-CN"/>
        </w:rPr>
        <w:t>（6）</w:t>
      </w:r>
      <w:r>
        <w:rPr>
          <w:rFonts w:ascii="Times New Roman Regular" w:eastAsia="仿宋_GB2312" w:hAnsi="Times New Roman Regular" w:cs="Times New Roman Regular" w:hint="default"/>
          <w:b w:val="0"/>
          <w:bCs w:val="0"/>
          <w:sz w:val="32"/>
          <w:szCs w:val="32"/>
          <w:lang w:val="en-US"/>
        </w:rPr>
        <w:t>年度预算安排</w:t>
      </w:r>
      <w:r>
        <w:rPr>
          <w:rFonts w:ascii="Times New Roman Regular" w:eastAsia="仿宋_GB2312" w:hAnsi="Times New Roman Regular" w:cs="Times New Roman Regular" w:hint="default"/>
          <w:b w:val="0"/>
          <w:bCs w:val="0"/>
          <w:sz w:val="32"/>
          <w:szCs w:val="32"/>
        </w:rPr>
        <w:t>。</w:t>
      </w:r>
      <w:r>
        <w:rPr>
          <w:rFonts w:ascii="Times New Roman Regular" w:eastAsia="仿宋_GB2312" w:hAnsi="Times New Roman Regular" w:cs="Times New Roman Regular" w:hint="default"/>
          <w:b w:val="0"/>
          <w:bCs w:val="0"/>
          <w:sz w:val="32"/>
          <w:szCs w:val="32"/>
        </w:rPr>
        <w:t>600</w:t>
      </w:r>
      <w:r>
        <w:rPr>
          <w:rFonts w:ascii="Times New Roman Regular" w:eastAsia="仿宋_GB2312" w:hAnsi="Times New Roman Regular" w:cs="Times New Roman Regular" w:hint="eastAsia"/>
          <w:b w:val="0"/>
          <w:bCs w:val="0"/>
          <w:sz w:val="32"/>
          <w:szCs w:val="32"/>
          <w:lang w:val="en-US" w:eastAsia="zh-CN"/>
        </w:rPr>
        <w:t>万元</w:t>
      </w:r>
      <w:r>
        <w:rPr>
          <w:rFonts w:ascii="Times New Roman Regular" w:eastAsia="仿宋_GB2312" w:hAnsi="Times New Roman Regular" w:cs="Times New Roman Regular" w:hint="default"/>
          <w:b w:val="0"/>
          <w:bCs w:val="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jc w:val="both"/>
        <w:textAlignment w:val="auto"/>
        <w:rPr>
          <w:rFonts w:ascii="Times New Roman Regular" w:eastAsia="仿宋_GB2312" w:hAnsi="Times New Roman Regular" w:cs="Times New Roman Regular" w:hint="default"/>
          <w:b w:val="0"/>
          <w:bCs w:val="0"/>
          <w:sz w:val="32"/>
          <w:szCs w:val="32"/>
        </w:rPr>
        <w:sectPr>
          <w:pgSz w:w="11906" w:h="16838"/>
          <w:pgMar w:top="1440" w:right="1800" w:bottom="1440" w:left="1800" w:header="851" w:footer="992" w:gutter="0"/>
          <w:cols w:num="1" w:space="425"/>
          <w:docGrid w:type="lines" w:linePitch="312" w:charSpace="0"/>
        </w:sectPr>
      </w:pPr>
      <w:r>
        <w:rPr>
          <w:rFonts w:ascii="Times New Roman Regular" w:eastAsia="仿宋_GB2312" w:hAnsi="Times New Roman Regular" w:cs="Times New Roman Regular" w:hint="eastAsia"/>
          <w:b w:val="0"/>
          <w:bCs w:val="0"/>
          <w:sz w:val="32"/>
          <w:szCs w:val="32"/>
          <w:lang w:val="en-US" w:eastAsia="zh-CN"/>
        </w:rPr>
        <w:t>（7）</w:t>
      </w:r>
      <w:r>
        <w:rPr>
          <w:rFonts w:ascii="Times New Roman Regular" w:eastAsia="仿宋_GB2312" w:hAnsi="Times New Roman Regular" w:cs="Times New Roman Regular" w:hint="default"/>
          <w:b w:val="0"/>
          <w:bCs w:val="0"/>
          <w:sz w:val="32"/>
          <w:szCs w:val="32"/>
          <w:lang w:val="en-US"/>
        </w:rPr>
        <w:t>绩效目标</w:t>
      </w:r>
      <w:r>
        <w:rPr>
          <w:rFonts w:ascii="Times New Roman Regular" w:eastAsia="仿宋_GB2312" w:hAnsi="Times New Roman Regular" w:cs="Times New Roman Regular" w:hint="default"/>
          <w:b w:val="0"/>
          <w:bCs w:val="0"/>
          <w:sz w:val="32"/>
          <w:szCs w:val="32"/>
        </w:rPr>
        <w:t>。</w:t>
      </w:r>
    </w:p>
    <w:p>
      <w:pPr>
        <w:sectPr>
          <w:pgSz w:w="11906" w:h="16838"/>
          <w:pgMar w:top="1440" w:right="1800" w:bottom="1440" w:left="1800" w:header="851" w:footer="992" w:gutter="0"/>
          <w:cols w:num="1" w:space="425"/>
          <w:docGrid w:type="lines" w:linePitch="312" w:charSpace="0"/>
        </w:sect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2025_困难群众救助_最低生活保障</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1200.00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1200.00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保障困难群众权益</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＞6200人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低保金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≥700元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楷体_GB2312" w:hAnsi="Times New Roman" w:cs="楷体_GB2312" w:hint="eastAsia"/>
          <w:b/>
          <w:bCs/>
          <w:sz w:val="32"/>
          <w:szCs w:val="32"/>
        </w:rPr>
      </w:pPr>
      <w:r>
        <w:rPr>
          <w:rFonts w:ascii="Times New Roman" w:eastAsia="楷体_GB2312" w:hAnsi="Times New Roman" w:cs="楷体_GB2312" w:hint="eastAsia"/>
          <w:b/>
          <w:bCs/>
          <w:sz w:val="32"/>
          <w:szCs w:val="32"/>
        </w:rPr>
        <w:t>（二）机关运行经费。</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仿宋_GB2312" w:hAnsi="Times New Roman" w:cs="仿宋_GB2312" w:hint="eastAsia"/>
          <w:sz w:val="32"/>
          <w:szCs w:val="32"/>
        </w:rPr>
      </w:pPr>
      <w:r>
        <w:rPr>
          <w:rFonts w:ascii="Times New Roman" w:eastAsia="仿宋_GB2312" w:hAnsi="Times New Roman" w:cs="仿宋_GB2312" w:hint="eastAsia"/>
          <w:sz w:val="32"/>
          <w:szCs w:val="32"/>
        </w:rPr>
        <w:t>铜陵市铜官区民政局2025年机关运行经费财政拨款预算29.18万元，比2024年预算增加7.22万元，增长32.88%，增长主要原因是人员增加。</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楷体_GB2312" w:hAnsi="Times New Roman" w:cs="楷体_GB2312" w:hint="eastAsia"/>
          <w:b/>
          <w:bCs/>
        </w:rPr>
      </w:pPr>
      <w:r>
        <w:rPr>
          <w:rFonts w:ascii="Times New Roman" w:eastAsia="楷体_GB2312" w:hAnsi="Times New Roman" w:cs="楷体_GB2312" w:hint="eastAsia"/>
          <w:b/>
          <w:bCs/>
          <w:sz w:val="32"/>
          <w:szCs w:val="32"/>
        </w:rPr>
        <w:t>（三）政府采购情况。</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仿宋_GB2312" w:hAnsi="Times New Roman" w:cs="仿宋_GB2312" w:hint="eastAsia"/>
          <w:sz w:val="32"/>
          <w:szCs w:val="32"/>
        </w:rPr>
      </w:pPr>
      <w:r>
        <w:rPr>
          <w:rFonts w:ascii="Times New Roman" w:eastAsia="仿宋_GB2312" w:hAnsi="Times New Roman" w:cs="仿宋_GB2312" w:hint="eastAsia"/>
          <w:sz w:val="32"/>
          <w:szCs w:val="32"/>
        </w:rPr>
        <w:t>铜陵市铜官区民政局2025年政府采购预算0.80万元。其中：政府采购货物预算0.80万元，政府采购工程预算0.00万元，政府采购服务预算0.00万元。</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楷体_GB2312" w:hAnsi="Times New Roman" w:cs="楷体_GB2312" w:hint="eastAsia"/>
          <w:b/>
          <w:bCs/>
          <w:sz w:val="32"/>
          <w:szCs w:val="32"/>
        </w:rPr>
      </w:pPr>
      <w:r>
        <w:rPr>
          <w:rFonts w:ascii="Times New Roman" w:eastAsia="楷体_GB2312" w:hAnsi="Times New Roman" w:cs="楷体_GB2312" w:hint="eastAsia"/>
          <w:b/>
          <w:bCs/>
          <w:sz w:val="32"/>
          <w:szCs w:val="32"/>
        </w:rPr>
        <w:t>（四）国有资产占有使用情况。</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仿宋_GB2312" w:hAnsi="Times New Roman" w:cs="仿宋_GB2312" w:hint="eastAsia"/>
          <w:sz w:val="32"/>
          <w:szCs w:val="32"/>
        </w:rPr>
      </w:pPr>
      <w:r>
        <w:rPr>
          <w:rFonts w:ascii="Times New Roman" w:eastAsia="仿宋_GB2312" w:hAnsi="Times New Roman" w:cs="仿宋_GB2312" w:hint="eastAsia"/>
          <w:sz w:val="32"/>
          <w:szCs w:val="32"/>
        </w:rPr>
        <w:t>截至2024年12月31日，铜陵市铜官区民政局共有车辆0辆。单价100万元以上的设备</w:t>
      </w:r>
      <w:r>
        <w:rPr>
          <w:rFonts w:ascii="Times New Roman" w:eastAsia="仿宋_GB2312" w:hAnsi="Times New Roman" w:cs="仿宋_GB2312" w:hint="eastAsia"/>
          <w:sz w:val="32"/>
          <w:szCs w:val="32"/>
          <w:lang w:eastAsia="zh-CN"/>
        </w:rPr>
        <w:t>（</w:t>
      </w:r>
      <w:r>
        <w:rPr>
          <w:rFonts w:ascii="Times New Roman" w:eastAsia="仿宋_GB2312" w:hAnsi="Times New Roman" w:cs="仿宋_GB2312" w:hint="eastAsia"/>
          <w:sz w:val="32"/>
          <w:szCs w:val="32"/>
          <w:lang w:val="en-US" w:eastAsia="zh-CN"/>
        </w:rPr>
        <w:t>不含车辆</w:t>
      </w:r>
      <w:r>
        <w:rPr>
          <w:rFonts w:ascii="Times New Roman" w:eastAsia="仿宋_GB2312" w:hAnsi="Times New Roman" w:cs="仿宋_GB2312" w:hint="eastAsia"/>
          <w:sz w:val="32"/>
          <w:szCs w:val="32"/>
          <w:lang w:eastAsia="zh-CN"/>
        </w:rPr>
        <w:t>）</w:t>
      </w:r>
      <w:r>
        <w:rPr>
          <w:rFonts w:ascii="Times New Roman" w:eastAsia="仿宋_GB2312" w:hAnsi="Times New Roman" w:cs="仿宋_GB2312" w:hint="eastAsia"/>
          <w:sz w:val="32"/>
          <w:szCs w:val="32"/>
        </w:rPr>
        <w:t>0台（套）。</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仿宋_GB2312" w:hAnsi="Times New Roman" w:cs="仿宋_GB2312" w:hint="eastAsia"/>
          <w:sz w:val="32"/>
          <w:szCs w:val="32"/>
        </w:rPr>
      </w:pPr>
      <w:r>
        <w:rPr>
          <w:rFonts w:ascii="Times New Roman" w:eastAsia="仿宋_GB2312" w:hAnsi="Times New Roman" w:cs="仿宋_GB2312" w:hint="eastAsia"/>
          <w:sz w:val="32"/>
          <w:szCs w:val="32"/>
        </w:rPr>
        <w:t>2025年部门预算安排购置公务用车0辆，购置费0.00万元；</w:t>
      </w:r>
      <w:r>
        <w:rPr>
          <w:rFonts w:ascii="Times New Roman" w:eastAsia="仿宋_GB2312" w:hAnsi="Times New Roman" w:cs="仿宋_GB2312" w:hint="eastAsia"/>
          <w:sz w:val="32"/>
          <w:szCs w:val="32"/>
        </w:rPr>
        <w:t>安排购置单价100万元以上设备</w:t>
      </w:r>
      <w:r>
        <w:rPr>
          <w:rFonts w:ascii="Times New Roman" w:eastAsia="仿宋_GB2312" w:hAnsi="Times New Roman" w:cs="仿宋_GB2312" w:hint="eastAsia"/>
          <w:sz w:val="32"/>
          <w:szCs w:val="32"/>
          <w:lang w:eastAsia="zh-CN"/>
        </w:rPr>
        <w:t>（</w:t>
      </w:r>
      <w:r>
        <w:rPr>
          <w:rFonts w:ascii="Times New Roman" w:eastAsia="仿宋_GB2312" w:hAnsi="Times New Roman" w:cs="仿宋_GB2312" w:hint="eastAsia"/>
          <w:sz w:val="32"/>
          <w:szCs w:val="32"/>
          <w:lang w:val="en-US" w:eastAsia="zh-CN"/>
        </w:rPr>
        <w:t>不含车辆</w:t>
      </w:r>
      <w:r>
        <w:rPr>
          <w:rFonts w:ascii="Times New Roman" w:eastAsia="仿宋_GB2312" w:hAnsi="Times New Roman" w:cs="仿宋_GB2312" w:hint="eastAsia"/>
          <w:sz w:val="32"/>
          <w:szCs w:val="32"/>
          <w:lang w:eastAsia="zh-CN"/>
        </w:rPr>
        <w:t>）</w:t>
      </w:r>
      <w:r>
        <w:rPr>
          <w:rFonts w:ascii="Times New Roman" w:eastAsia="仿宋_GB2312" w:hAnsi="Times New Roman" w:cs="仿宋_GB2312" w:hint="eastAsia"/>
          <w:sz w:val="32"/>
          <w:szCs w:val="32"/>
        </w:rPr>
        <w:t>0台（套），购置费0.00万元。</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楷体_GB2312" w:hAnsi="Times New Roman" w:cs="楷体_GB2312" w:hint="eastAsia"/>
          <w:b/>
          <w:bCs/>
          <w:sz w:val="32"/>
          <w:szCs w:val="32"/>
        </w:rPr>
      </w:pPr>
      <w:r>
        <w:rPr>
          <w:rFonts w:ascii="Times New Roman" w:eastAsia="楷体_GB2312" w:hAnsi="Times New Roman" w:cs="楷体_GB2312" w:hint="eastAsia"/>
          <w:b/>
          <w:bCs/>
          <w:sz w:val="32"/>
          <w:szCs w:val="32"/>
        </w:rPr>
        <w:t>（五）绩效目标设置情况。</w:t>
      </w:r>
    </w:p>
    <w:p>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rFonts w:ascii="Times New Roman" w:eastAsia="仿宋_GB2312" w:hAnsi="Times New Roman" w:cs="仿宋_GB2312" w:hint="eastAsia"/>
          <w:sz w:val="32"/>
          <w:szCs w:val="32"/>
        </w:rPr>
        <w:sectPr>
          <w:pgSz w:w="11906" w:h="16838"/>
          <w:pgMar w:top="1440" w:right="1800" w:bottom="1440" w:left="1800" w:header="851" w:footer="992" w:gutter="0"/>
          <w:cols w:num="1" w:space="425"/>
          <w:docGrid w:type="lines" w:linePitch="312" w:charSpace="0"/>
        </w:sectPr>
      </w:pPr>
      <w:r>
        <w:rPr>
          <w:rFonts w:ascii="Times New Roman" w:eastAsia="仿宋_GB2312" w:hAnsi="Times New Roman" w:cs="仿宋_GB2312" w:hint="eastAsia"/>
          <w:sz w:val="32"/>
          <w:szCs w:val="32"/>
        </w:rPr>
        <w:t>2025年，铜陵市铜官区民政局42个项目实行了绩效目标管理，涉及一般公共预算当年财政拨款3020.16万元、政府性基金预算当年财政拨款0.00万元、国有资本经营预算当年财政拨款0.00万元、财政专户管理资金当年安排0.00万元和单位资金</w:t>
      </w:r>
      <w:r>
        <w:rPr>
          <w:rFonts w:ascii="Times New Roman" w:eastAsia="仿宋_GB2312" w:hAnsi="Times New Roman" w:cs="仿宋_GB2312" w:hint="eastAsia"/>
          <w:sz w:val="32"/>
          <w:szCs w:val="32"/>
          <w:lang w:val="en-US" w:eastAsia="zh-CN"/>
        </w:rPr>
        <w:t>当年</w:t>
      </w:r>
      <w:r>
        <w:rPr>
          <w:rFonts w:ascii="Times New Roman" w:eastAsia="仿宋_GB2312" w:hAnsi="Times New Roman" w:cs="仿宋_GB2312" w:hint="eastAsia"/>
          <w:sz w:val="32"/>
          <w:szCs w:val="32"/>
        </w:rPr>
        <w:t>安排0.00万元。</w:t>
      </w:r>
    </w:p>
    <w:p>
      <w:pPr>
        <w:sectPr>
          <w:pgSz w:w="11906" w:h="16838"/>
          <w:pgMar w:top="1440" w:right="1800" w:bottom="1440" w:left="1800" w:header="851" w:footer="992" w:gutter="0"/>
          <w:cols w:num="1" w:space="425"/>
          <w:docGrid w:type="lines" w:linePitch="312" w:charSpace="0"/>
        </w:sectPr>
      </w:pPr>
    </w:p>
    <w:p>
      <w:pPr>
        <w:keepNext w:val="0"/>
        <w:keepLines w:val="0"/>
        <w:pageBreakBefore w:val="0"/>
        <w:widowControl w:val="0"/>
        <w:numPr>
          <w:numId w:val="0"/>
        </w:numPr>
        <w:kinsoku/>
        <w:wordWrap/>
        <w:overflowPunct/>
        <w:topLinePunct w:val="0"/>
        <w:autoSpaceDE/>
        <w:autoSpaceDN/>
        <w:bidi w:val="0"/>
        <w:adjustRightInd/>
        <w:snapToGrid/>
        <w:spacing w:after="312" w:afterLines="100" w:line="360" w:lineRule="auto"/>
        <w:jc w:val="center"/>
        <w:textAlignment w:val="auto"/>
        <w:rPr>
          <w:rFonts w:ascii="Times New Roman Regular" w:eastAsia="黑体" w:hAnsi="Times New Roman Regular" w:cs="Times New Roman Regular" w:hint="default"/>
          <w:sz w:val="36"/>
          <w:szCs w:val="36"/>
          <w:lang w:val="en-US"/>
        </w:rPr>
      </w:pPr>
      <w:r>
        <w:rPr>
          <w:rFonts w:ascii="Times New Roman Regular" w:eastAsia="黑体" w:hAnsi="Times New Roman Regular" w:cs="Times New Roman Regular" w:hint="eastAsia"/>
          <w:sz w:val="36"/>
          <w:szCs w:val="36"/>
          <w:lang w:val="en-US" w:eastAsia="zh-CN"/>
        </w:rPr>
        <w:t xml:space="preserve">第四部分 </w:t>
      </w:r>
      <w:r>
        <w:rPr>
          <w:rFonts w:ascii="Times New Roman Regular" w:eastAsia="黑体" w:hAnsi="Times New Roman Regular" w:cs="Times New Roman Regular" w:hint="default"/>
          <w:sz w:val="36"/>
          <w:szCs w:val="36"/>
          <w:lang w:val="en-US"/>
        </w:rPr>
        <w:t>名</w:t>
      </w:r>
      <w:r>
        <w:rPr>
          <w:rFonts w:ascii="Times New Roman Regular" w:eastAsia="黑体" w:hAnsi="Times New Roman Regular" w:cs="Times New Roman Regular" w:hint="eastAsia"/>
          <w:sz w:val="36"/>
          <w:szCs w:val="36"/>
          <w:lang w:val="en-US"/>
        </w:rPr>
        <w:t>词</w:t>
      </w:r>
      <w:r>
        <w:rPr>
          <w:rFonts w:ascii="Times New Roman Regular" w:eastAsia="黑体" w:hAnsi="Times New Roman Regular" w:cs="Times New Roman Regular" w:hint="default"/>
          <w:sz w:val="36"/>
          <w:szCs w:val="36"/>
          <w:lang w:val="en-US"/>
        </w:rPr>
        <w:t>解释</w:t>
      </w:r>
    </w:p>
    <w:p>
      <w:pPr>
        <w:jc w:val="both"/>
      </w:pPr>
      <w:r>
        <w:rPr>
          <w:rFonts w:ascii="Times New Roman" w:eastAsia="仿宋_GB2312" w:hAnsi="Times New Roman"/>
          <w:b/>
          <w:sz w:val="32"/>
        </w:rPr>
        <w:t>　　一、财政拨款收入：</w:t>
      </w:r>
      <w:r>
        <w:rPr>
          <w:rFonts w:ascii="Times New Roman" w:eastAsia="仿宋_GB2312" w:hAnsi="Times New Roman"/>
          <w:b w:val="0"/>
          <w:sz w:val="32"/>
        </w:rPr>
        <w:t>指部门或单位从同级财政部门取得的财政预算资金。</w:t>
      </w:r>
    </w:p>
    <w:p>
      <w:pPr>
        <w:jc w:val="both"/>
      </w:pPr>
      <w:r>
        <w:rPr>
          <w:rFonts w:ascii="Times New Roman" w:eastAsia="仿宋_GB2312" w:hAnsi="Times New Roman"/>
          <w:b/>
          <w:sz w:val="32"/>
        </w:rPr>
        <w:t>　　二、事业收入：</w:t>
      </w:r>
      <w:r>
        <w:rPr>
          <w:rFonts w:ascii="Times New Roman" w:eastAsia="仿宋_GB2312" w:hAnsi="Times New Roman"/>
          <w:b w:val="0"/>
          <w:sz w:val="32"/>
        </w:rPr>
        <w:t>指事业单位开展专业业务活动及辅助活动所取得的收入。</w:t>
      </w:r>
    </w:p>
    <w:p>
      <w:pPr>
        <w:jc w:val="both"/>
      </w:pPr>
      <w:r>
        <w:rPr>
          <w:rFonts w:ascii="Times New Roman" w:eastAsia="仿宋_GB2312" w:hAnsi="Times New Roman"/>
          <w:b/>
          <w:sz w:val="32"/>
        </w:rPr>
        <w:t>　　三、财政专户管理资金：</w:t>
      </w:r>
      <w:r>
        <w:rPr>
          <w:rFonts w:ascii="Times New Roman" w:eastAsia="仿宋_GB2312" w:hAnsi="Times New Roman"/>
          <w:b w:val="0"/>
          <w:sz w:val="32"/>
        </w:rPr>
        <w:t>指按照非税收入管理相关规定，纳入财政专户管理的教育收费等。</w:t>
      </w:r>
    </w:p>
    <w:p>
      <w:pPr>
        <w:jc w:val="both"/>
      </w:pPr>
      <w:r>
        <w:rPr>
          <w:rFonts w:ascii="Times New Roman" w:eastAsia="仿宋_GB2312" w:hAnsi="Times New Roman"/>
          <w:b/>
          <w:sz w:val="32"/>
        </w:rPr>
        <w:t>　　四、事业单位经营收入：</w:t>
      </w:r>
      <w:r>
        <w:rPr>
          <w:rFonts w:ascii="Times New Roman" w:eastAsia="仿宋_GB2312" w:hAnsi="Times New Roman"/>
          <w:b w:val="0"/>
          <w:sz w:val="32"/>
        </w:rPr>
        <w:t>指事业单位在专业业务活动及其辅助活动之外开展非独立核算经营活动取得的收入。</w:t>
      </w:r>
    </w:p>
    <w:p>
      <w:pPr>
        <w:jc w:val="both"/>
      </w:pPr>
      <w:r>
        <w:rPr>
          <w:rFonts w:ascii="Times New Roman" w:eastAsia="仿宋_GB2312" w:hAnsi="Times New Roman"/>
          <w:b/>
          <w:sz w:val="32"/>
        </w:rPr>
        <w:t>　　五、附属单位上缴收入：</w:t>
      </w:r>
      <w:r>
        <w:rPr>
          <w:rFonts w:ascii="Times New Roman" w:eastAsia="仿宋_GB2312" w:hAnsi="Times New Roman"/>
          <w:b w:val="0"/>
          <w:sz w:val="32"/>
        </w:rPr>
        <w:t>指单位所属下级单位上缴给本单位的全部收入。</w:t>
      </w:r>
    </w:p>
    <w:p>
      <w:pPr>
        <w:jc w:val="both"/>
      </w:pPr>
      <w:r>
        <w:rPr>
          <w:rFonts w:ascii="Times New Roman" w:eastAsia="仿宋_GB2312" w:hAnsi="Times New Roman"/>
          <w:b/>
          <w:sz w:val="32"/>
        </w:rPr>
        <w:t>　　六、上年结转：</w:t>
      </w:r>
      <w:r>
        <w:rPr>
          <w:rFonts w:ascii="Times New Roman" w:eastAsia="仿宋_GB2312" w:hAnsi="Times New Roman"/>
          <w:b w:val="0"/>
          <w:sz w:val="32"/>
        </w:rPr>
        <w:t>指以前年度安排、结转到本年仍按原用途继续使用的资金。</w:t>
      </w:r>
    </w:p>
    <w:p>
      <w:pPr>
        <w:jc w:val="both"/>
      </w:pPr>
      <w:r>
        <w:rPr>
          <w:rFonts w:ascii="Times New Roman" w:eastAsia="仿宋_GB2312" w:hAnsi="Times New Roman"/>
          <w:b/>
          <w:sz w:val="32"/>
        </w:rPr>
        <w:t>　　七、结转下年：</w:t>
      </w:r>
      <w:r>
        <w:rPr>
          <w:rFonts w:ascii="Times New Roman" w:eastAsia="仿宋_GB2312" w:hAnsi="Times New Roman"/>
          <w:b w:val="0"/>
          <w:sz w:val="32"/>
        </w:rPr>
        <w:t>指以前年度预算安排、因客观条件发生变化无法按原计划实施，需以后年度按原用途继续使用的资金。</w:t>
      </w:r>
    </w:p>
    <w:p>
      <w:pPr>
        <w:jc w:val="both"/>
      </w:pPr>
      <w:r>
        <w:rPr>
          <w:rFonts w:ascii="Times New Roman" w:eastAsia="仿宋_GB2312" w:hAnsi="Times New Roman"/>
          <w:b/>
          <w:sz w:val="32"/>
        </w:rPr>
        <w:t>　　八、基本支出：</w:t>
      </w:r>
      <w:r>
        <w:rPr>
          <w:rFonts w:ascii="Times New Roman" w:eastAsia="仿宋_GB2312" w:hAnsi="Times New Roman"/>
          <w:b w:val="0"/>
          <w:sz w:val="32"/>
        </w:rPr>
        <w:t>指为保障机构正常运转、完成日常工作任务而发生的人员支出和公用支出。</w:t>
      </w:r>
    </w:p>
    <w:p>
      <w:pPr>
        <w:jc w:val="both"/>
      </w:pPr>
      <w:r>
        <w:rPr>
          <w:rFonts w:ascii="Times New Roman" w:eastAsia="仿宋_GB2312" w:hAnsi="Times New Roman"/>
          <w:b/>
          <w:sz w:val="32"/>
        </w:rPr>
        <w:t>　　九、项目支出：</w:t>
      </w:r>
      <w:r>
        <w:rPr>
          <w:rFonts w:ascii="Times New Roman" w:eastAsia="仿宋_GB2312" w:hAnsi="Times New Roman"/>
          <w:b w:val="0"/>
          <w:sz w:val="32"/>
        </w:rPr>
        <w:t>指在除基本支出之外的支出，主要用于完成特定的工作任务和事业发展目标。</w:t>
      </w:r>
    </w:p>
    <w:p>
      <w:pPr>
        <w:jc w:val="both"/>
        <w:sectPr>
          <w:pgSz w:w="11906" w:h="16838"/>
          <w:pgMar w:top="1440" w:right="1800" w:bottom="1440" w:left="1800" w:header="851" w:footer="992" w:gutter="0"/>
          <w:cols w:num="1" w:space="425"/>
          <w:docGrid w:type="lines" w:linePitch="312" w:charSpace="0"/>
        </w:sectPr>
      </w:pPr>
      <w:r>
        <w:rPr>
          <w:rFonts w:ascii="Times New Roman" w:eastAsia="仿宋_GB2312" w:hAnsi="Times New Roman"/>
          <w:b/>
          <w:sz w:val="32"/>
        </w:rPr>
        <w:t>　　十、机关运行经费：</w:t>
      </w:r>
      <w:r>
        <w:rPr>
          <w:rFonts w:ascii="Times New Roman" w:eastAsia="仿宋_GB2312" w:hAnsi="Times New Roman"/>
          <w:b w:val="0"/>
          <w:sz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pPr>
        <w:pStyle w:val="Normal0"/>
        <w:jc w:val="center"/>
        <w:rPr>
          <w:rFonts w:ascii="宋体" w:eastAsia="宋体" w:hAnsi="宋体" w:cs="宋体" w:hint="eastAsia"/>
          <w:b/>
          <w:bCs/>
          <w:sz w:val="32"/>
          <w:szCs w:val="32"/>
          <w:lang w:val="en-US"/>
        </w:rPr>
      </w:pPr>
      <w:r>
        <w:rPr>
          <w:rFonts w:ascii="宋体" w:eastAsia="宋体" w:hAnsi="宋体" w:cs="宋体" w:hint="eastAsia"/>
          <w:b/>
          <w:bCs/>
          <w:sz w:val="32"/>
          <w:szCs w:val="32"/>
          <w:lang w:val="en-US" w:eastAsia="zh-CN"/>
        </w:rPr>
        <w:t>铜陵市铜官区民政局</w:t>
      </w:r>
      <w:r>
        <w:rPr>
          <w:rFonts w:ascii="宋体" w:eastAsia="宋体" w:hAnsi="宋体" w:cs="宋体" w:hint="default"/>
          <w:b/>
          <w:bCs/>
          <w:sz w:val="32"/>
          <w:szCs w:val="32"/>
          <w:lang w:val="en-US" w:eastAsia="zh-CN"/>
        </w:rPr>
        <w:t>2025</w:t>
      </w:r>
      <w:r>
        <w:rPr>
          <w:rFonts w:ascii="宋体" w:eastAsia="宋体" w:hAnsi="宋体" w:cs="宋体" w:hint="eastAsia"/>
          <w:b/>
          <w:bCs/>
          <w:sz w:val="32"/>
          <w:szCs w:val="32"/>
          <w:lang w:val="en-US"/>
        </w:rPr>
        <w:t>年度项目支出</w:t>
      </w:r>
      <w:r>
        <w:rPr>
          <w:rFonts w:ascii="宋体" w:eastAsia="宋体" w:hAnsi="宋体" w:cs="宋体" w:hint="eastAsia"/>
          <w:b/>
          <w:bCs/>
          <w:sz w:val="32"/>
          <w:szCs w:val="32"/>
          <w:lang w:val="en-US" w:eastAsia="zh-CN"/>
        </w:rPr>
        <w:t>绩效</w:t>
      </w:r>
      <w:r>
        <w:rPr>
          <w:rFonts w:ascii="宋体" w:eastAsia="宋体" w:hAnsi="宋体" w:cs="宋体" w:hint="eastAsia"/>
          <w:b/>
          <w:bCs/>
          <w:sz w:val="32"/>
          <w:szCs w:val="32"/>
          <w:lang w:val="en-US"/>
        </w:rPr>
        <w:t>目标</w:t>
      </w:r>
    </w:p>
    <w:p>
      <w:pPr>
        <w:pStyle w:val="Normal0"/>
        <w:jc w:val="center"/>
        <w:rPr>
          <w:rFonts w:hint="eastAsia"/>
          <w:lang w:val="en-US" w:eastAsia="zh-CN"/>
        </w:rPr>
      </w:pPr>
    </w:p>
    <w:tbl>
      <w:tblPr>
        <w:tblStyle w:val="TableGrid0"/>
        <w:tblW w:w="100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48"/>
        <w:gridCol w:w="6029"/>
        <w:gridCol w:w="2523"/>
      </w:tblGrid>
      <w:tr>
        <w:tblPrEx>
          <w:tblW w:w="100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0000" w:type="dxa"/>
            <w:gridSpan w:val="3"/>
          </w:tcPr>
          <w:p>
            <w:pPr>
              <w:pStyle w:val="Normal0"/>
              <w:jc w:val="center"/>
              <w:rPr>
                <w:rFonts w:eastAsiaTheme="minorEastAsia" w:hint="default"/>
                <w:b/>
                <w:bCs/>
                <w:sz w:val="24"/>
                <w:szCs w:val="24"/>
                <w:vertAlign w:val="baseline"/>
                <w:lang w:val="en-US"/>
              </w:rPr>
            </w:pPr>
            <w:r>
              <w:rPr>
                <w:rFonts w:hint="eastAsia"/>
                <w:b/>
                <w:bCs/>
                <w:sz w:val="24"/>
                <w:szCs w:val="24"/>
                <w:vertAlign w:val="baseline"/>
                <w:lang w:val="en-US"/>
              </w:rPr>
              <w:t>项目支出绩效目标公开清单</w:t>
            </w:r>
          </w:p>
        </w:tc>
      </w:tr>
      <w:tr>
        <w:tblPrEx>
          <w:tblW w:w="10000" w:type="dxa"/>
          <w:tblInd w:w="-459" w:type="dxa"/>
          <w:tblCellMar>
            <w:top w:w="0" w:type="dxa"/>
            <w:left w:w="108" w:type="dxa"/>
            <w:bottom w:w="0" w:type="dxa"/>
            <w:right w:w="108" w:type="dxa"/>
          </w:tblCellMar>
        </w:tblPrEx>
        <w:tc>
          <w:tcPr>
            <w:tcW w:w="1448" w:type="dxa"/>
          </w:tcPr>
          <w:p>
            <w:pPr>
              <w:pStyle w:val="Normal0"/>
              <w:jc w:val="center"/>
              <w:rPr>
                <w:rFonts w:hint="default"/>
                <w:b/>
                <w:bCs/>
                <w:sz w:val="24"/>
                <w:szCs w:val="24"/>
                <w:vertAlign w:val="baseline"/>
                <w:lang w:val="en-US" w:eastAsia="zh-CN"/>
              </w:rPr>
            </w:pPr>
            <w:r>
              <w:rPr>
                <w:rFonts w:hint="eastAsia"/>
                <w:b/>
                <w:bCs/>
                <w:sz w:val="24"/>
                <w:szCs w:val="24"/>
                <w:vertAlign w:val="baseline"/>
                <w:lang w:val="en-US" w:eastAsia="zh-CN"/>
              </w:rPr>
              <w:t>序号</w:t>
            </w:r>
          </w:p>
        </w:tc>
        <w:tc>
          <w:tcPr>
            <w:tcW w:w="6029" w:type="dxa"/>
          </w:tcPr>
          <w:p>
            <w:pPr>
              <w:pStyle w:val="Normal0"/>
              <w:jc w:val="center"/>
              <w:rPr>
                <w:rFonts w:hint="default"/>
                <w:b/>
                <w:bCs/>
                <w:sz w:val="24"/>
                <w:szCs w:val="24"/>
                <w:vertAlign w:val="baseline"/>
                <w:lang w:val="en-US" w:eastAsia="zh-CN"/>
              </w:rPr>
            </w:pPr>
            <w:r>
              <w:rPr>
                <w:rFonts w:hint="eastAsia"/>
                <w:b/>
                <w:bCs/>
                <w:sz w:val="24"/>
                <w:szCs w:val="24"/>
                <w:vertAlign w:val="baseline"/>
                <w:lang w:val="en-US" w:eastAsia="zh-CN"/>
              </w:rPr>
              <w:t>项目名称</w:t>
            </w:r>
          </w:p>
        </w:tc>
        <w:tc>
          <w:tcPr>
            <w:tcW w:w="2523" w:type="dxa"/>
          </w:tcPr>
          <w:p>
            <w:pPr>
              <w:pStyle w:val="Normal0"/>
              <w:jc w:val="center"/>
              <w:rPr>
                <w:rFonts w:hint="default"/>
                <w:b/>
                <w:bCs/>
                <w:sz w:val="24"/>
                <w:szCs w:val="24"/>
                <w:vertAlign w:val="baseline"/>
                <w:lang w:eastAsia="zh-CN"/>
              </w:rPr>
            </w:pPr>
            <w:r>
              <w:rPr>
                <w:rFonts w:hint="eastAsia"/>
                <w:b/>
                <w:bCs/>
                <w:sz w:val="24"/>
                <w:szCs w:val="24"/>
                <w:vertAlign w:val="baseline"/>
                <w:lang w:val="en-US"/>
              </w:rPr>
              <w:t>预算</w:t>
            </w:r>
            <w:r>
              <w:rPr>
                <w:rFonts w:hint="eastAsia"/>
                <w:b/>
                <w:bCs/>
                <w:sz w:val="24"/>
                <w:szCs w:val="24"/>
                <w:vertAlign w:val="baseline"/>
                <w:lang w:val="en-US" w:eastAsia="zh-CN"/>
              </w:rPr>
              <w:t>金额</w:t>
            </w:r>
            <w:r>
              <w:rPr>
                <w:rFonts w:hint="default"/>
                <w:b/>
                <w:bCs/>
                <w:sz w:val="24"/>
                <w:szCs w:val="24"/>
                <w:vertAlign w:val="baseline"/>
                <w:lang w:eastAsia="zh-CN"/>
              </w:rPr>
              <w:t>（</w:t>
            </w:r>
            <w:r>
              <w:rPr>
                <w:rFonts w:hint="eastAsia"/>
                <w:b/>
                <w:bCs/>
                <w:sz w:val="24"/>
                <w:szCs w:val="24"/>
                <w:vertAlign w:val="baseline"/>
                <w:lang w:val="en-US"/>
              </w:rPr>
              <w:t>单位</w:t>
            </w:r>
            <w:r>
              <w:rPr>
                <w:rFonts w:hint="default"/>
                <w:b/>
                <w:bCs/>
                <w:sz w:val="24"/>
                <w:szCs w:val="24"/>
                <w:vertAlign w:val="baseline"/>
              </w:rPr>
              <w:t>：</w:t>
            </w:r>
            <w:r>
              <w:rPr>
                <w:rFonts w:hint="eastAsia"/>
                <w:b/>
                <w:bCs/>
                <w:sz w:val="24"/>
                <w:szCs w:val="24"/>
                <w:vertAlign w:val="baseline"/>
                <w:lang w:val="en-US"/>
              </w:rPr>
              <w:t>万元</w:t>
            </w:r>
            <w:r>
              <w:rPr>
                <w:rFonts w:hint="default"/>
                <w:b/>
                <w:bCs/>
                <w:sz w:val="24"/>
                <w:szCs w:val="24"/>
                <w:vertAlign w:val="baseline"/>
                <w:lang w:eastAsia="zh-CN"/>
              </w:rPr>
              <w:t>）</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rPr>
                <w:rFonts w:hint="default"/>
                <w:vertAlign w:val="baseline"/>
                <w:lang w:val="en-US" w:eastAsia="zh-CN"/>
              </w:rPr>
            </w:pPr>
            <w:r>
              <w:rPr>
                <w:rFonts w:ascii="Times New Roman" w:eastAsia="仿宋_GB2312" w:hAnsi="Times New Roman"/>
                <w:b w:val="0"/>
                <w:sz w:val="32"/>
              </w:rPr>
              <w:t>1</w:t>
            </w:r>
          </w:p>
        </w:tc>
        <w:tc>
          <w:tcPr>
            <w:tcW w:w="6029" w:type="dxa"/>
            <w:tcMar>
              <w:left w:w="20" w:type="dxa"/>
              <w:right w:w="20" w:type="dxa"/>
            </w:tcMar>
            <w:vAlign w:val="center"/>
          </w:tcPr>
          <w:p>
            <w:pPr>
              <w:pStyle w:val="Normal0"/>
              <w:spacing w:before="57" w:after="57" w:line="240" w:lineRule="auto"/>
              <w:jc w:val="left"/>
              <w:rPr>
                <w:rFonts w:hint="default"/>
                <w:vertAlign w:val="baseline"/>
                <w:lang w:val="en-US" w:eastAsia="zh-CN"/>
              </w:rPr>
            </w:pPr>
            <w:r>
              <w:rPr>
                <w:rFonts w:ascii="Times New Roman" w:eastAsia="仿宋_GB2312" w:hAnsi="Times New Roman"/>
                <w:b w:val="0"/>
                <w:sz w:val="32"/>
              </w:rPr>
              <w:t>2025_残疾人补贴_困难残疾人生活补贴</w:t>
            </w:r>
          </w:p>
        </w:tc>
        <w:tc>
          <w:tcPr>
            <w:tcW w:w="2523" w:type="dxa"/>
            <w:tcMar>
              <w:left w:w="20" w:type="dxa"/>
              <w:right w:w="20" w:type="dxa"/>
            </w:tcMar>
            <w:vAlign w:val="center"/>
          </w:tcPr>
          <w:p>
            <w:pPr>
              <w:pStyle w:val="Normal0"/>
              <w:spacing w:before="57" w:after="57" w:line="240" w:lineRule="auto"/>
              <w:jc w:val="right"/>
              <w:rPr>
                <w:rFonts w:hint="default"/>
                <w:vertAlign w:val="baseline"/>
                <w:lang w:val="en-US" w:eastAsia="zh-CN"/>
              </w:rPr>
            </w:pPr>
            <w:r>
              <w:rPr>
                <w:rFonts w:ascii="Times New Roman" w:eastAsia="仿宋_GB2312" w:hAnsi="Times New Roman"/>
                <w:b w:val="0"/>
                <w:sz w:val="32"/>
              </w:rPr>
              <w:t>174.84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2025_残疾人补贴_重度残疾人护理补贴</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298.92</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3</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2025_困难群众救助_临时救助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137.5</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4</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2025_困难群众救助_流浪乞讨人员救助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5</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2025_困难群众救助_特困儿童群体基本生活保障</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85.0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6</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2025_困难群众救助_特困人员救助供养</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220.0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7</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2025_困难群众救助_最低生活保障</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600.0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8</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2025_老年人福利补贴</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298.0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9</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90周岁以上老年人重阳节慰问</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10</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城乡社区老年协会规范化建设</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7.6</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11</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慈善超市</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3.0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12</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村两委脱产干部生活补助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408.0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13</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低保边缘家庭春节慰问金</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49.0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14</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孤老、精简、社会救济对象定补</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15</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居家养老</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100.0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16</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困难老年人救助救急服务</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2.5</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17</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困难老年人意外伤害保险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6.0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18</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困难老年人助餐补助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19</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老年助餐建设补贴</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6.0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20</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老年助餐运营补贴</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80.0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21</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两节送温暖</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170.0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22</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区划地名</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3.0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23</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社会救助软件平台维护费</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7.5</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24</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社区(村)三级中心运营</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20.0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25</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特困人员护理保险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1.5</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26</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特困照料服务</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27</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退养主任工资</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180.0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28</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养老服务三级中心和老年食堂保险</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1.4</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29</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肇事肇祸精神病监护补贴</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45.0</w:t>
            </w:r>
          </w:p>
        </w:tc>
      </w:tr>
      <w:tr>
        <w:tblPrEx>
          <w:tblW w:w="10000" w:type="dxa"/>
          <w:tblInd w:w="-459" w:type="dxa"/>
          <w:tblCellMar>
            <w:top w:w="0" w:type="dxa"/>
            <w:left w:w="108" w:type="dxa"/>
            <w:bottom w:w="0" w:type="dxa"/>
            <w:right w:w="108" w:type="dxa"/>
          </w:tblCellMar>
        </w:tblPrEx>
        <w:tc>
          <w:tcPr>
            <w:tcW w:w="1448" w:type="dxa"/>
            <w:tcMar>
              <w:left w:w="20" w:type="dxa"/>
              <w:right w:w="20" w:type="dxa"/>
            </w:tcMar>
            <w:vAlign w:val="center"/>
          </w:tcPr>
          <w:p>
            <w:pPr>
              <w:pStyle w:val="Normal0"/>
              <w:spacing w:before="57" w:after="57" w:line="240" w:lineRule="auto"/>
              <w:jc w:val="center"/>
            </w:pPr>
            <w:r>
              <w:rPr>
                <w:rFonts w:ascii="Times New Roman" w:eastAsia="仿宋_GB2312" w:hAnsi="Times New Roman"/>
                <w:b w:val="0"/>
                <w:sz w:val="32"/>
              </w:rPr>
              <w:t>30</w:t>
            </w:r>
          </w:p>
        </w:tc>
        <w:tc>
          <w:tcPr>
            <w:tcW w:w="6029" w:type="dxa"/>
            <w:tcMar>
              <w:left w:w="20" w:type="dxa"/>
              <w:right w:w="20" w:type="dxa"/>
            </w:tcMar>
            <w:vAlign w:val="center"/>
          </w:tcPr>
          <w:p>
            <w:pPr>
              <w:pStyle w:val="Normal0"/>
              <w:spacing w:before="57" w:after="57" w:line="240" w:lineRule="auto"/>
            </w:pPr>
            <w:r>
              <w:rPr>
                <w:rFonts w:ascii="Times New Roman" w:eastAsia="仿宋_GB2312" w:hAnsi="Times New Roman"/>
                <w:b w:val="0"/>
                <w:sz w:val="32"/>
              </w:rPr>
              <w:t>殡葬普惠</w:t>
            </w:r>
          </w:p>
        </w:tc>
        <w:tc>
          <w:tcPr>
            <w:tcW w:w="2523" w:type="dxa"/>
            <w:tcMar>
              <w:left w:w="20" w:type="dxa"/>
              <w:right w:w="20" w:type="dxa"/>
            </w:tcMar>
            <w:vAlign w:val="center"/>
          </w:tcPr>
          <w:p>
            <w:pPr>
              <w:pStyle w:val="Normal0"/>
              <w:spacing w:before="57" w:after="57" w:line="240" w:lineRule="auto"/>
              <w:jc w:val="right"/>
            </w:pPr>
            <w:r>
              <w:rPr>
                <w:rFonts w:ascii="Times New Roman" w:eastAsia="仿宋_GB2312" w:hAnsi="Times New Roman"/>
                <w:b w:val="0"/>
                <w:sz w:val="32"/>
              </w:rPr>
              <w:t>38.0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2025_残疾人补贴_困难残疾人生活补贴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2025_残疾人补贴_困难残疾人生活补贴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174.84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174.84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2025_残疾人补贴_困难残疾人生活补贴</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86元/月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2025_残疾人补贴_重度残疾人护理补贴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2025_残疾人补贴_重度残疾人护理补贴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298.92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298.92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2025_残疾人补贴_重度残疾人护理补贴</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≥5200人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≥86元/月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3</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2025_困难群众救助_临时救助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2025_困难群众救助_临时救助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137.50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137.50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2025_困难群众救助_临时救助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补贴人次</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≥200人次</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≥500元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维护社会和谐稳定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4</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2025_困难群众救助_流浪乞讨人员救助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2025_困难群众救助_流浪乞讨人员救助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2025_困难群众救助_流浪乞讨人员救助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入院人数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≥20万元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5</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2025_困难群众救助_特困儿童群体基本生活保障</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2025_困难群众救助_特困儿童群体基本生活保障</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85.00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85.00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2025_困难群众救助_特困儿童群体基本生活保障</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≥55人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≥1210元/月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保障弱势群体群益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6</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2025_困难群众救助_特困人员救助供养</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2025_困难群众救助_特困人员救助供养</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困难群众救助_特困人员救助供养</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保障弱势群体群益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7</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2025_困难群众救助_最低生活保障</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2025_困难群众救助_最低生活保障</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1200.00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1200.00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保障困难群众权益</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＞6200人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低保金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≥700元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8</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2025_老年人福利补贴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6"/>
        <w:gridCol w:w="417"/>
        <w:gridCol w:w="533"/>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2025_老年人福利补贴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99年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4"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2025_老年人福利补贴</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≥12000人</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支付率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半年发放</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提高铜官区养老服务水平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9</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90周岁以上老年人重阳节慰问</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90周岁以上老年人重阳节慰问</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90周岁以上老年人重阳节慰问</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≥14000人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资金发放率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今年发放完毕</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可以完成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≤180000元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提高养老水平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10</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城乡社区老年协会规范化建设</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城乡社区老年协会规范化建设</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7.60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7.60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城乡社区老年协会规范化建设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补贴户数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≥30户</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提高铜官区老年事业发展</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2000元/户</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提升老年协会发展水平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11</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慈善超市</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慈善超市</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5年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慈善超市</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补贴人次</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≥900人次</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支付率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当年使用</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支付金额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30000元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提高困难群众生活水平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较大</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≥90百分比</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12</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村两委脱产干部生活补助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村两委脱产干部生活补助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408.00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408.00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村两委脱产干部生活补助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≥80人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≥3000元/月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保障工作人员权益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13</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低保边缘家庭春节慰问金</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低保边缘家庭春节慰问金</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49.00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49.00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低保边缘家庭春节慰问金</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春节前</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保障困难群众权益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14</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孤老、精简、社会救济对象定补</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6"/>
        <w:gridCol w:w="417"/>
        <w:gridCol w:w="533"/>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孤老、精简、社会救济对象定补</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4"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对孤老、精简、社会救济对象进行生活补贴</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≤40人</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≥90元</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维护社会和谐稳定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≥90百分比</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15</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居家养老</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居家养老</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100.00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居家养老</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≥260元/月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提高养老事业水平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较大</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16</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困难老年人救助救急服务</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困难老年人救助救急服务</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给予65周岁以上低保、分散供养的特困人员、计划生育特殊困难家庭中的生活自理老年人生活关怀</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完成时间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给予可能老年人关怀</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较高</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17</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困难老年人意外伤害保险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困难老年人意外伤害保险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6.00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6.00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困难老年人意外伤害保险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≥2600人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资金时效性</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1年</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保险金额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40元/人</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提高铜官区养老服务水平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保障弱势老年人权益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18</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困难老年人助餐补助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困难老年人助餐补助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2.40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2.40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困难老年人助餐补助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老年人人次</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≥1000人次</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保障老年人权益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≥1元次</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提高铜官区养老水平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19</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老年助餐建设补贴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6"/>
        <w:gridCol w:w="417"/>
        <w:gridCol w:w="533"/>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老年助餐建设补贴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6.00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6.00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4"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提高铜官区养老服务业水平</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补贴户数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≥2个</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完成时间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≥15000元</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提高养老产业水平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较高</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20</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老年助餐运营补贴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老年助餐运营补贴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5年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80.00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80.00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88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根据就餐人次拨付老年食堂（助餐点）1.5-4万元／年运营补贴，2023年支付32个老年食堂（助餐点）建设补贴114万元,2024年支付44个老年食堂（助餐点）建设补贴138万元</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补贴户数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≥4户</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完成时间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≥15000元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提高铜官区养老服务业发展水平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较高</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21</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两节送温暖</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两节送温暖</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170.00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170.00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两节送温暖</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≥2800人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发放时间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春节前</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400元</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保障困难群众顺利过年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22</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区划地名</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6"/>
        <w:gridCol w:w="417"/>
        <w:gridCol w:w="533"/>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区划地名</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4"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根据区域新增、变更地名实际，通过社会购买服务更新“国家地名信息库”，对辖区范围内不合规范地名限期整治，对铜官区行政区域界线开展勘定工作。</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更新数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≥3个</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保障地名更新工作顺利进行</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更新“国家地名信息库”</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当年完成</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不合规范地名整治</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当年完成</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行政区域界线勘定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当年完成</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扫描打印费用</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≥5元</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保障铜官区地名工作有效进行</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促进铜官区地名事业长效发展</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23</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社会救助软件平台维护费</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1263"/>
        <w:gridCol w:w="1263"/>
        <w:gridCol w:w="1217"/>
        <w:gridCol w:w="1384"/>
        <w:gridCol w:w="564"/>
        <w:gridCol w:w="566"/>
        <w:gridCol w:w="564"/>
        <w:gridCol w:w="566"/>
        <w:gridCol w:w="564"/>
        <w:gridCol w:w="571"/>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10"/>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2803" w:type="pct"/>
            <w:gridSpan w:val="7"/>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社会救助软件平台维护费</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475"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663"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664" w:type="pct"/>
            <w:gridSpan w:val="2"/>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475"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66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475"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7.50 </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75"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7.50 </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75"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2196"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75"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741"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258" w:type="pct"/>
            <w:gridSpan w:val="9"/>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社会救助软件平台维护费</w:t>
            </w:r>
          </w:p>
        </w:tc>
      </w:tr>
      <w:tr>
        <w:tblPrEx>
          <w:tblW w:w="5000" w:type="pct"/>
          <w:tblInd w:w="0" w:type="dxa"/>
          <w:shd w:val="clear" w:color="auto" w:fill="auto"/>
          <w:tblCellMar>
            <w:top w:w="0" w:type="dxa"/>
            <w:left w:w="108" w:type="dxa"/>
            <w:bottom w:w="0" w:type="dxa"/>
            <w:right w:w="108" w:type="dxa"/>
          </w:tblCellMar>
        </w:tblPrEx>
        <w:trPr>
          <w:trHeight w:val="480"/>
        </w:trPr>
        <w:tc>
          <w:tcPr>
            <w:tcW w:w="74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741"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平台数</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1个</w:t>
            </w:r>
          </w:p>
        </w:tc>
      </w:tr>
      <w:tr>
        <w:tblPrEx>
          <w:tblW w:w="5000" w:type="pct"/>
          <w:tblInd w:w="0" w:type="dxa"/>
          <w:shd w:val="clear" w:color="auto" w:fill="auto"/>
          <w:tblCellMar>
            <w:top w:w="0" w:type="dxa"/>
            <w:left w:w="108" w:type="dxa"/>
            <w:bottom w:w="0" w:type="dxa"/>
            <w:right w:w="108" w:type="dxa"/>
          </w:tblCellMar>
        </w:tblPrEx>
        <w:trPr>
          <w:trHeight w:val="48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保障平台正常运行</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按年发放</w:t>
            </w:r>
          </w:p>
        </w:tc>
      </w:tr>
      <w:tr>
        <w:tblPrEx>
          <w:tblW w:w="5000" w:type="pct"/>
          <w:tblInd w:w="0" w:type="dxa"/>
          <w:shd w:val="clear" w:color="auto" w:fill="auto"/>
          <w:tblCellMar>
            <w:top w:w="0" w:type="dxa"/>
            <w:left w:w="108" w:type="dxa"/>
            <w:bottom w:w="0" w:type="dxa"/>
            <w:right w:w="108" w:type="dxa"/>
          </w:tblCellMar>
        </w:tblPrEx>
        <w:trPr>
          <w:trHeight w:val="48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金额</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≤75000元</w:t>
            </w:r>
          </w:p>
        </w:tc>
      </w:tr>
      <w:tr>
        <w:tblPrEx>
          <w:tblW w:w="5000" w:type="pct"/>
          <w:tblInd w:w="0" w:type="dxa"/>
          <w:shd w:val="clear" w:color="auto" w:fill="auto"/>
          <w:tblCellMar>
            <w:top w:w="0" w:type="dxa"/>
            <w:left w:w="108" w:type="dxa"/>
            <w:bottom w:w="0" w:type="dxa"/>
            <w:right w:w="108" w:type="dxa"/>
          </w:tblCellMar>
        </w:tblPrEx>
        <w:trPr>
          <w:trHeight w:val="72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社会救助正常运行</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74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741"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524"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63"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132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r>
        <w:tblPrEx>
          <w:tblW w:w="5000" w:type="pct"/>
          <w:tblInd w:w="0" w:type="dxa"/>
          <w:shd w:val="clear" w:color="auto" w:fill="auto"/>
          <w:tblCellMar>
            <w:top w:w="0" w:type="dxa"/>
            <w:left w:w="108" w:type="dxa"/>
            <w:bottom w:w="0" w:type="dxa"/>
            <w:right w:w="108" w:type="dxa"/>
          </w:tblCellMar>
        </w:tblPrEx>
        <w:trPr>
          <w:trHeight w:val="240"/>
        </w:trPr>
        <w:tc>
          <w:tcPr>
            <w:tcW w:w="741"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741"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712"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812"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1"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2"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1"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2"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1"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c>
          <w:tcPr>
            <w:tcW w:w="333" w:type="pct"/>
            <w:tcBorders>
              <w:top w:val="nil"/>
              <w:left w:val="nil"/>
              <w:bottom w:val="nil"/>
              <w:right w:val="nil"/>
            </w:tcBorders>
            <w:shd w:val="clear" w:color="auto" w:fill="auto"/>
            <w:noWrap/>
            <w:vAlign w:val="bottom"/>
          </w:tcPr>
          <w:p>
            <w:pPr>
              <w:rPr>
                <w:rFonts w:ascii="宋体" w:eastAsia="宋体" w:hAnsi="宋体" w:cs="宋体" w:hint="eastAsia"/>
                <w:i w:val="0"/>
                <w:iCs w:val="0"/>
                <w:color w:val="000000"/>
                <w:sz w:val="20"/>
                <w:szCs w:val="20"/>
                <w:u w:val="none"/>
              </w:rPr>
            </w:pP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24</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社区(村)三级中心运营</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6"/>
        <w:gridCol w:w="417"/>
        <w:gridCol w:w="533"/>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社区(村)三级中心运营</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5年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20.00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4"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5"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社区（村）三级中心运营</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补贴户数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≥20户</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保障三级中心正常运营</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当年发放</w:t>
            </w:r>
          </w:p>
        </w:tc>
      </w:tr>
      <w:tr>
        <w:tblPrEx>
          <w:tblW w:w="5000" w:type="pct"/>
          <w:tblInd w:w="0" w:type="dxa"/>
          <w:shd w:val="clear" w:color="auto" w:fill="auto"/>
          <w:tblCellMar>
            <w:top w:w="0" w:type="dxa"/>
            <w:left w:w="108" w:type="dxa"/>
            <w:bottom w:w="0" w:type="dxa"/>
            <w:right w:w="108" w:type="dxa"/>
          </w:tblCellMar>
        </w:tblPrEx>
        <w:trPr>
          <w:trHeight w:val="48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≥2万元</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社区（村）三级中心运营</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按标准发放</w:t>
            </w: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8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机构满意度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25</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特困人员护理保险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特困人员护理保险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1.50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特困人员护理保险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保险人数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保险费用</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＞90元/人</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维护社会和谐稳定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26</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特困照料服务</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特困照料服务</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特困照料服务</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服务对象</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≥60户</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保障困难群体权益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按计划完成</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全能</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≥62元/月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全失能</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≥721元/月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半失能</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≥412元/月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维护社会和谐稳定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群众满意度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27</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退养主任工资</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退养主任工资</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180.00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180.00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退养主任工资</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≥80人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覆盖率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按月发放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≥1200元/月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保障退养主任基本权益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28</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养老服务三级中心和老年食堂保险</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养老服务三级中心和老年食堂保险</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5年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1.40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1.40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养老服务三级中心和老年食堂保险</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保险户数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≥38户</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保障三级中心和老年食堂正常运营</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使用时间</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按年使用</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保险金额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280元/户</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提高养老服务水平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29</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肇事肇祸精神病监护补贴</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肇事肇祸精神病监护补贴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45.00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肇事肇祸精神病监护补贴</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保障弱势群体群益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按年发放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250元/月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维护社会和谐稳定</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pPr>
        <w:sectPr>
          <w:pgSz w:w="11906" w:h="16838"/>
          <w:pgMar w:top="1440" w:right="1800" w:bottom="1440" w:left="1800" w:header="851" w:footer="992" w:gutter="0"/>
          <w:cols w:num="1" w:space="425"/>
          <w:docGrid w:type="lines" w:linePitch="312" w:charSpace="0"/>
        </w:sectPr>
      </w:pP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textAlignment w:val="auto"/>
        <w:rPr>
          <w:rFonts w:ascii="宋体" w:eastAsia="宋体" w:hAnsi="宋体" w:cs="宋体" w:hint="eastAsia"/>
          <w:b/>
          <w:bCs/>
          <w:sz w:val="28"/>
          <w:szCs w:val="28"/>
          <w:lang w:val="en-US" w:eastAsia="zh-CN"/>
        </w:rPr>
      </w:pPr>
      <w:r>
        <w:rPr>
          <w:rFonts w:ascii="宋体" w:eastAsia="宋体" w:hAnsi="宋体" w:cs="宋体" w:hint="eastAsia"/>
          <w:b/>
          <w:bCs/>
          <w:sz w:val="28"/>
          <w:szCs w:val="28"/>
          <w:lang w:val="en-US" w:eastAsia="zh-CN"/>
        </w:rPr>
        <w:t>30</w:t>
      </w:r>
      <w:r>
        <w:rPr>
          <w:rFonts w:ascii="宋体" w:eastAsia="宋体" w:hAnsi="宋体" w:cs="宋体" w:hint="default"/>
          <w:b/>
          <w:bCs/>
          <w:sz w:val="28"/>
          <w:szCs w:val="28"/>
          <w:lang w:val="en-US" w:eastAsia="zh-CN"/>
        </w:rPr>
        <w:t>.</w:t>
      </w:r>
      <w:r>
        <w:rPr>
          <w:rFonts w:ascii="宋体" w:eastAsia="宋体" w:hAnsi="宋体" w:cs="宋体" w:hint="eastAsia"/>
          <w:b/>
          <w:bCs/>
          <w:sz w:val="28"/>
          <w:szCs w:val="28"/>
          <w:lang w:val="en-US" w:eastAsia="zh-CN"/>
        </w:rPr>
        <w:t>殡葬普惠</w:t>
      </w:r>
    </w:p>
    <w:p>
      <w:pPr>
        <w:pStyle w:val="HTMLPreformatted"/>
        <w:keepNext w:val="0"/>
        <w:keepLines w:val="0"/>
        <w:pageBreakBefore w:val="0"/>
        <w:widowControl/>
        <w:suppressLineNumbers w:val="0"/>
        <w:shd w:val="clear" w:color="auto" w:fill="FFFFFF"/>
        <w:kinsoku/>
        <w:wordWrap/>
        <w:overflowPunct/>
        <w:topLinePunct w:val="0"/>
        <w:autoSpaceDE/>
        <w:autoSpaceDN/>
        <w:bidi w:val="0"/>
        <w:adjustRightInd/>
        <w:snapToGrid/>
        <w:spacing w:line="20" w:lineRule="exact"/>
        <w:textAlignment w:val="auto"/>
        <w:rPr>
          <w:rFonts w:ascii="宋体" w:eastAsia="宋体" w:hAnsi="宋体" w:cs="宋体" w:hint="default"/>
          <w:b/>
          <w:bCs/>
          <w:sz w:val="28"/>
          <w:szCs w:val="28"/>
          <w:lang w:val="en-US" w:eastAsia="zh-CN"/>
        </w:rPr>
      </w:pPr>
    </w:p>
    <w:tbl>
      <w:tblPr>
        <w:tblStyle w:val="TableNormal"/>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417"/>
        <w:gridCol w:w="417"/>
        <w:gridCol w:w="532"/>
        <w:gridCol w:w="626"/>
        <w:gridCol w:w="2528"/>
        <w:gridCol w:w="1750"/>
        <w:gridCol w:w="2252"/>
      </w:tblGrid>
      <w:tr>
        <w:tblPrEx>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39"/>
        </w:trPr>
        <w:tc>
          <w:tcPr>
            <w:tcW w:w="5000" w:type="pct"/>
            <w:gridSpan w:val="7"/>
            <w:tcBorders>
              <w:top w:val="nil"/>
              <w:left w:val="nil"/>
              <w:bottom w:val="nil"/>
              <w:right w:val="nil"/>
            </w:tcBorders>
            <w:shd w:val="clear" w:color="auto" w:fill="auto"/>
            <w:noWrap/>
            <w:vAlign w:val="center"/>
          </w:tcPr>
          <w:p>
            <w:pPr>
              <w:jc w:val="left"/>
              <w:rPr>
                <w:rFonts w:ascii="宋体" w:eastAsia="宋体" w:hAnsi="宋体" w:cs="宋体" w:hint="eastAsia"/>
                <w:i w:val="0"/>
                <w:iCs w:val="0"/>
                <w:color w:val="000000"/>
                <w:sz w:val="22"/>
                <w:szCs w:val="22"/>
                <w:u w:val="none"/>
              </w:rPr>
            </w:pPr>
          </w:p>
        </w:tc>
      </w:tr>
      <w:tr>
        <w:tblPrEx>
          <w:tblW w:w="5000" w:type="pct"/>
          <w:tblInd w:w="0" w:type="dxa"/>
          <w:shd w:val="clear" w:color="auto" w:fill="auto"/>
          <w:tblCellMar>
            <w:top w:w="0" w:type="dxa"/>
            <w:left w:w="108" w:type="dxa"/>
            <w:bottom w:w="0" w:type="dxa"/>
            <w:right w:w="108" w:type="dxa"/>
          </w:tblCellMar>
        </w:tblPrEx>
        <w:trPr>
          <w:trHeight w:val="681"/>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b/>
                <w:bCs/>
                <w:i w:val="0"/>
                <w:iCs w:val="0"/>
                <w:color w:val="000000"/>
                <w:sz w:val="32"/>
                <w:szCs w:val="32"/>
                <w:u w:val="none"/>
              </w:rPr>
            </w:pPr>
            <w:r>
              <w:rPr>
                <w:rFonts w:ascii="宋体" w:eastAsia="宋体" w:hAnsi="宋体" w:cs="宋体" w:hint="eastAsia"/>
                <w:b/>
                <w:bCs/>
                <w:i w:val="0"/>
                <w:iCs w:val="0"/>
                <w:color w:val="000000"/>
                <w:kern w:val="0"/>
                <w:sz w:val="32"/>
                <w:szCs w:val="32"/>
                <w:u w:val="none"/>
                <w:bdr w:val="none" w:sz="0" w:space="0" w:color="auto"/>
                <w:lang w:val="en-US" w:eastAsia="zh-CN" w:bidi="ar"/>
              </w:rPr>
              <w:t>项目支出绩效目标表</w:t>
            </w:r>
          </w:p>
        </w:tc>
      </w:tr>
      <w:tr>
        <w:tblPrEx>
          <w:tblW w:w="5000" w:type="pct"/>
          <w:tblInd w:w="0" w:type="dxa"/>
          <w:shd w:val="clear" w:color="auto" w:fill="auto"/>
          <w:tblCellMar>
            <w:top w:w="0" w:type="dxa"/>
            <w:left w:w="108" w:type="dxa"/>
            <w:bottom w:w="0" w:type="dxa"/>
            <w:right w:w="108" w:type="dxa"/>
          </w:tblCellMar>
        </w:tblPrEx>
        <w:trPr>
          <w:trHeight w:val="279"/>
        </w:trPr>
        <w:tc>
          <w:tcPr>
            <w:tcW w:w="5000" w:type="pct"/>
            <w:gridSpan w:val="7"/>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（2025年度）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项目名称</w:t>
            </w:r>
          </w:p>
        </w:tc>
        <w:tc>
          <w:tcPr>
            <w:tcW w:w="419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殡葬普惠</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主管部门及代码</w:t>
            </w:r>
          </w:p>
        </w:tc>
        <w:tc>
          <w:tcPr>
            <w:tcW w:w="1850" w:type="pct"/>
            <w:gridSpan w:val="2"/>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[017]铜陵市铜官区民政局</w:t>
            </w:r>
          </w:p>
        </w:tc>
        <w:tc>
          <w:tcPr>
            <w:tcW w:w="1027" w:type="pct"/>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实施单位</w:t>
            </w:r>
          </w:p>
        </w:tc>
        <w:tc>
          <w:tcPr>
            <w:tcW w:w="1319" w:type="pct"/>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铜陵市铜官区民政局本级</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项目来源</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本级申报项目</w:t>
            </w:r>
          </w:p>
        </w:tc>
        <w:tc>
          <w:tcPr>
            <w:tcW w:w="1027"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项目期</w:t>
            </w:r>
          </w:p>
        </w:tc>
        <w:tc>
          <w:tcPr>
            <w:tcW w:w="1319" w:type="pc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10年</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val="restar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项目资金</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（万元）</w:t>
            </w: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年度资金总额：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38.00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其中：财政拨款</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38.00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上年结转</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441"/>
        </w:trPr>
        <w:tc>
          <w:tcPr>
            <w:tcW w:w="802" w:type="pct"/>
            <w:gridSpan w:val="3"/>
            <w:vMerge/>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1850"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 xml:space="preserve">         其他资金</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righ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 xml:space="preserve">      0.00 </w:t>
            </w:r>
          </w:p>
        </w:tc>
      </w:tr>
      <w:tr>
        <w:tblPrEx>
          <w:tblW w:w="5000" w:type="pct"/>
          <w:tblInd w:w="0" w:type="dxa"/>
          <w:shd w:val="clear" w:color="auto" w:fill="auto"/>
          <w:tblCellMar>
            <w:top w:w="0" w:type="dxa"/>
            <w:left w:w="108" w:type="dxa"/>
            <w:bottom w:w="0" w:type="dxa"/>
            <w:right w:w="108" w:type="dxa"/>
          </w:tblCellMar>
        </w:tblPrEx>
        <w:trPr>
          <w:trHeight w:val="660"/>
        </w:trPr>
        <w:tc>
          <w:tcPr>
            <w:tcW w:w="245"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年度</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目标</w:t>
            </w:r>
          </w:p>
        </w:tc>
        <w:tc>
          <w:tcPr>
            <w:tcW w:w="4754"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left"/>
              <w:textAlignment w:val="center"/>
              <w:rPr>
                <w:rFonts w:ascii="宋体" w:eastAsia="宋体" w:hAnsi="宋体" w:cs="宋体" w:hint="eastAsia"/>
                <w:i w:val="0"/>
                <w:iCs w:val="0"/>
                <w:color w:val="000000"/>
                <w:sz w:val="18"/>
                <w:szCs w:val="18"/>
                <w:u w:val="none"/>
              </w:rPr>
            </w:pPr>
            <w:r>
              <w:rPr>
                <w:rFonts w:ascii="宋体" w:eastAsia="宋体" w:hAnsi="宋体" w:cs="宋体" w:hint="eastAsia"/>
                <w:i w:val="0"/>
                <w:iCs w:val="0"/>
                <w:color w:val="000000"/>
                <w:kern w:val="0"/>
                <w:sz w:val="18"/>
                <w:szCs w:val="18"/>
                <w:u w:val="none"/>
                <w:bdr w:val="none" w:sz="0" w:space="0" w:color="auto"/>
                <w:lang w:val="en-US" w:eastAsia="zh-CN" w:bidi="ar"/>
              </w:rPr>
              <w:t>殡葬普惠</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绩</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效</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标</w:t>
            </w: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一级</w:t>
            </w:r>
            <w:r>
              <w:rPr>
                <w:rFonts w:ascii="宋体" w:eastAsia="宋体" w:hAnsi="宋体" w:cs="宋体" w:hint="eastAsia"/>
                <w:i w:val="0"/>
                <w:iCs w:val="0"/>
                <w:color w:val="000000"/>
                <w:kern w:val="0"/>
                <w:sz w:val="20"/>
                <w:szCs w:val="20"/>
                <w:u w:val="none"/>
                <w:bdr w:val="none" w:sz="0" w:space="0" w:color="auto"/>
                <w:lang w:val="en-US" w:eastAsia="zh-CN" w:bidi="ar"/>
              </w:rPr>
              <w:br/>
            </w:r>
            <w:r>
              <w:rPr>
                <w:rFonts w:ascii="宋体" w:eastAsia="宋体" w:hAnsi="宋体" w:cs="宋体" w:hint="eastAsia"/>
                <w:i w:val="0"/>
                <w:iCs w:val="0"/>
                <w:color w:val="000000"/>
                <w:kern w:val="0"/>
                <w:sz w:val="20"/>
                <w:szCs w:val="20"/>
                <w:u w:val="none"/>
                <w:bdr w:val="none" w:sz="0" w:space="0" w:color="auto"/>
                <w:lang w:val="en-US" w:eastAsia="zh-CN" w:bidi="ar"/>
              </w:rPr>
              <w:t>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二级指标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三级指标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指标值</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产出指标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数量指标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生态殡葬补贴人数</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≥20人</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质量指标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保障铜官区居民权益</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时效指标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使用频率</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按季度发放</w:t>
            </w:r>
          </w:p>
        </w:tc>
      </w:tr>
      <w:tr>
        <w:tblPrEx>
          <w:tblW w:w="5000" w:type="pct"/>
          <w:tblInd w:w="0" w:type="dxa"/>
          <w:shd w:val="clear" w:color="auto" w:fill="auto"/>
          <w:tblCellMar>
            <w:top w:w="0" w:type="dxa"/>
            <w:left w:w="108" w:type="dxa"/>
            <w:bottom w:w="0" w:type="dxa"/>
            <w:right w:w="108" w:type="dxa"/>
          </w:tblCellMar>
        </w:tblPrEx>
        <w:trPr>
          <w:trHeight w:val="48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成本指标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补贴金额</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1000元/月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val="restar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效益指标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经济效益指标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社会效益指标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提高铜官区社会保障水平</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有效</w:t>
            </w: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生态效益指标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96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vMerge/>
            <w:tcBorders>
              <w:top w:val="single" w:sz="4" w:space="0" w:color="000000"/>
              <w:left w:val="nil"/>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可持续影响指标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r>
      <w:tr>
        <w:tblPrEx>
          <w:tblW w:w="5000" w:type="pct"/>
          <w:tblInd w:w="0" w:type="dxa"/>
          <w:shd w:val="clear" w:color="auto" w:fill="auto"/>
          <w:tblCellMar>
            <w:top w:w="0" w:type="dxa"/>
            <w:left w:w="108" w:type="dxa"/>
            <w:bottom w:w="0" w:type="dxa"/>
            <w:right w:w="108" w:type="dxa"/>
          </w:tblCellMar>
        </w:tblPrEx>
        <w:trPr>
          <w:trHeight w:val="720"/>
        </w:trPr>
        <w:tc>
          <w:tcPr>
            <w:tcW w:w="24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pPr>
              <w:jc w:val="center"/>
              <w:rPr>
                <w:rFonts w:ascii="宋体" w:eastAsia="宋体" w:hAnsi="宋体" w:cs="宋体" w:hint="eastAsia"/>
                <w:i w:val="0"/>
                <w:iCs w:val="0"/>
                <w:color w:val="000000"/>
                <w:sz w:val="20"/>
                <w:szCs w:val="20"/>
                <w:u w:val="none"/>
              </w:rPr>
            </w:pPr>
          </w:p>
        </w:tc>
        <w:tc>
          <w:tcPr>
            <w:tcW w:w="245" w:type="pct"/>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679" w:type="pct"/>
            <w:gridSpan w:val="2"/>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满意度指标</w:t>
            </w:r>
          </w:p>
        </w:tc>
        <w:tc>
          <w:tcPr>
            <w:tcW w:w="1483" w:type="pct"/>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满意度</w:t>
            </w:r>
          </w:p>
        </w:tc>
        <w:tc>
          <w:tcPr>
            <w:tcW w:w="234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
                <w:sz w:val="20"/>
                <w:szCs w:val="20"/>
                <w:u w:val="none"/>
                <w:bdr w:val="none" w:sz="0" w:space="0" w:color="auto"/>
                <w:lang w:val="en-US" w:eastAsia="zh-CN" w:bidi="ar"/>
              </w:rPr>
              <w:t>≥90%</w:t>
            </w:r>
          </w:p>
        </w:tc>
      </w:tr>
    </w:tbl>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Regular">
    <w:panose1 w:val="02020603050405020304"/>
    <w:charset w:val="00"/>
    <w:family w:val="auto"/>
    <w:pitch w:val="default"/>
    <w:sig w:usb0="E0002AEF" w:usb1="C0007841" w:usb2="00000009" w:usb3="00000000" w:csb0="400001FF" w:csb1="FFFF0000"/>
  </w:font>
  <w:font w:name="方正小标宋_GBK">
    <w:panose1 w:val="03000509000000000000"/>
    <w:charset w:val="86"/>
    <w:family w:val="auto"/>
    <w:pitch w:val="default"/>
    <w:sig w:usb0="00000001" w:usb1="080E0000" w:usb2="00000000" w:usb3="00000000" w:csb0="00040000" w:csb1="00000000"/>
  </w:font>
  <w:font w:name="华文中宋">
    <w:altName w:val="汉仪书宋二KW"/>
    <w:panose1 w:val="02010600040101010101"/>
    <w:charset w:val="00"/>
    <w:family w:val="auto"/>
    <w:pitch w:val="default"/>
    <w:sig w:usb0="00000000" w:usb1="00000000" w:usb2="00000010" w:usb3="00000000" w:csb0="0004009F" w:csb1="00000000"/>
  </w:font>
  <w:font w:name="仿宋_GB2312">
    <w:altName w:val="方正仿宋_GBK"/>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楷体_GB2312">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PingFang SC">
    <w:panose1 w:val="020B0400000000000000"/>
    <w:charset w:val="86"/>
    <w:family w:val="auto"/>
    <w:pitch w:val="default"/>
    <w:sig w:usb0="A00002FF" w:usb1="7ACFFDFB" w:usb2="00000017"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BA5F946"/>
    <w:multiLevelType w:val="singleLevel"/>
    <w:tmpl w:val="BBA5F946"/>
    <w:lvl w:ilvl="0">
      <w:start w:val="1"/>
      <w:numFmt w:val="chineseCounting"/>
      <w:suff w:val="space"/>
      <w:lvlText w:val="第%1部分"/>
      <w:lvlJc w:val="left"/>
      <w:pPr>
        <w:ind w:left="630"/>
      </w:pPr>
      <w:rPr>
        <w:rFonts w:ascii="仿宋_GB2312" w:eastAsia="仿宋_GB2312" w:hAnsi="仿宋_GB2312" w:cs="仿宋_GB2312" w:hint="eastAsia"/>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autoRedefine/>
    <w:qFormat/>
    <w:pPr>
      <w:widowControl w:val="0"/>
      <w:jc w:val="both"/>
    </w:pPr>
    <w:rPr>
      <w:rFonts w:asciiTheme="minorHAnsi" w:eastAsiaTheme="minorEastAsia" w:hAnsiTheme="minorHAnsi" w:cstheme="minorBidi"/>
      <w:kern w:val="2"/>
      <w:sz w:val="21"/>
      <w:szCs w:val="24"/>
      <w:lang w:val="en-US" w:eastAsia="zh-CN" w:bidi="ar-SA"/>
    </w:rPr>
  </w:style>
  <w:style w:type="table" w:customStyle="1" w:styleId="TableGrid0">
    <w:name w:val="Table Grid_0"/>
    <w:basedOn w:val="TableNormal"/>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no"?><Relationships xmlns="http://schemas.openxmlformats.org/package/2006/relationships"><Relationship Id="rId1" Target="settings.xml" Type="http://schemas.openxmlformats.org/officeDocument/2006/relationships/settings"/><Relationship Id="rId2" Target="webSettings.xml" Type="http://schemas.openxmlformats.org/officeDocument/2006/relationships/webSettings"/><Relationship Id="rId3" Target="fontTable.xml" Type="http://schemas.openxmlformats.org/officeDocument/2006/relationships/fontTable"/><Relationship Id="rId4" Target="theme/theme1.xml" Type="http://schemas.openxmlformats.org/officeDocument/2006/relationships/theme"/><Relationship Id="rId5" Target="numbering.xml" Type="http://schemas.openxmlformats.org/officeDocument/2006/relationships/numbering"/><Relationship Id="rId6" Target="styles.xml" Type="http://schemas.openxmlformats.org/officeDocument/2006/relationships/styles"/></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2022-12-28T23:09:00Z</dcterms:created>
  <dc:creator>瘾</dc:creator>
  <cp:lastModifiedBy>小小小梦想</cp:lastModifiedBy>
  <dcterms:modified xsi:type="dcterms:W3CDTF">2025-02-06T16:53:50Z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13986BB21243E0B12573A46318DFA49D</vt:lpwstr>
  </property>
  <property fmtid="{D5CDD505-2E9C-101B-9397-08002B2CF9AE}" pid="3" name="KSOProductBuildVer">
    <vt:lpwstr>2052-6.7.1.8828</vt:lpwstr>
  </property>
</Properties>
</file>