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F4AB0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6049588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6C646E2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</w:p>
    <w:p w14:paraId="09D97FD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right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212529"/>
          <w:spacing w:val="0"/>
          <w:sz w:val="44"/>
          <w:szCs w:val="44"/>
        </w:rPr>
      </w:pPr>
      <w:r>
        <w:rPr>
          <w:rFonts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铜官区教育局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年政府信息公开</w:t>
      </w:r>
    </w:p>
    <w:p w14:paraId="6B49BCC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工作年度报告</w:t>
      </w:r>
    </w:p>
    <w:p w14:paraId="0EBF232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2024年，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铜官区教育局在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区委区政府和市教体局的坚强领导下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，全面贯彻落实党的二十大精神，深入推进基础教育综合改革，努力提升教育质量和服务水平。</w:t>
      </w:r>
      <w:r>
        <w:rPr>
          <w:rFonts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根据《中华人民共和国政府信息公开条例》（国务院令第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711号）和《国务院办公厅政府信息与政务公开办公室关于印发〈中华人民共和国政府信息公开工作年度报告格式〉的通知》（国办公开办函〔2021〕30号）要求，编制本年度报告。</w:t>
      </w:r>
    </w:p>
    <w:p w14:paraId="1467282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一、总体情况</w:t>
      </w:r>
    </w:p>
    <w:p w14:paraId="25CD376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（一）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主动公开情况</w:t>
      </w:r>
    </w:p>
    <w:p w14:paraId="64A8685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2024 年，铜官区教育局在政务公开平台上积极主动公开各类信息，涵盖教育政策法规、招生入学、学校建设、教育经费使用、教师招聘等多个领域，主动公开信息4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35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条，为公众提供了全面、及时的教育信息服务。发布了《关于公布铜官区 2024 年中小学学区的通知》《铜官区 2024 年中小学招生通告》等招生相关信息，方便了家长和学生了解招生政策和学区划分情况。</w:t>
      </w:r>
    </w:p>
    <w:p w14:paraId="7095B8B6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（二）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依申请公开情况</w:t>
      </w:r>
    </w:p>
    <w:p w14:paraId="27D2643D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申请受理与答复：建立健全依申请公开登记、审核、办理、答复、归档等全流程管理制度，确保申请渠道畅通、办理程序合法、答复内容规范。2024年，共收到依申请公开事项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1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件，均在规定时限内按规范予以答复，未发生行政复议、行政诉讼等情况。</w:t>
      </w:r>
    </w:p>
    <w:p w14:paraId="10F2383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申请</w:t>
      </w:r>
      <w:bookmarkStart w:id="0" w:name="_GoBack"/>
      <w:bookmarkEnd w:id="0"/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内容与处理：依申请公开的内容主要涉及教育政策文件、学校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招生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等方面。对于每一件申请，都严格按照相关规定进行处理，在答复过程中，注重与申请人的沟通交流，确保申请人能够及时、准确地获取所需信息。</w:t>
      </w:r>
    </w:p>
    <w:p w14:paraId="559C7B0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（三）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政府信息管理情况</w:t>
      </w:r>
    </w:p>
    <w:p w14:paraId="3AB6101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信息审核与发布机制：严格执行信息发布审核制度，明确信息发布的流程和责任，确保公开的信息真实、准确、完整。在信息发布前，由专人负责对信息进行初审，再由科室负责人和分管领导进行审核把关，最后由专人进行发布，形成了层层审核的工作机制，有效避免了信息错误和泄密等情况的发生。</w:t>
      </w:r>
    </w:p>
    <w:p w14:paraId="3B361B75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信息更新与维护：定期对已公开的信息进行梳理和更新，及时删除失效信息，确保信息的时效性和有效性。同时，加强对信息的分类管理，方便公众查询和获取。</w:t>
      </w:r>
    </w:p>
    <w:p w14:paraId="1BB7E45E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（四）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政府信息公开平台建设情况</w:t>
      </w:r>
    </w:p>
    <w:p w14:paraId="1B320AB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除了政府信息公开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平台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外，还积极拓展其他公开渠道，如利用微信公众号、微博等新媒体平台及时发布教育信息，提高信息的传播速度和覆盖面。例如，通过微信公众号发布教育政策解读、学校活动报道等内容，受到了公众的广泛关注和好评。</w:t>
      </w:r>
    </w:p>
    <w:p w14:paraId="2840018F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val="en-US" w:eastAsia="zh-CN"/>
        </w:rPr>
        <w:t>（五）制度</w:t>
      </w: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保障情况</w:t>
      </w:r>
    </w:p>
    <w:p w14:paraId="2038961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组织领导与制度建设：成立了政务公开工作领导小组，由局主要领导担任组长负总责，分管领导任副组长具体抓落实，各科室负责人作为领导小组成员，为本部门信息公开第一责任人，为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政务公开工作高效运行提供了坚强组织保障。同时，完善了政务公开工作制度，明确了信息公开的范围、内容、程序和要求，确保政务公开工作有章可循、有据可依。</w:t>
      </w:r>
    </w:p>
    <w:p w14:paraId="2679C488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业务培训与能力提升：积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极组织机关工作人员参加政务公开业务培训，提高工作人员的业务水平和责任意识。通过培训，使工作人员熟悉了政务公开的法律法规、政策要求和</w:t>
      </w:r>
      <w:r>
        <w:rPr>
          <w:rFonts w:hint="eastAsia" w:ascii="仿宋_GB2312" w:hAnsi="微软雅黑" w:eastAsia="仿宋_GB2312" w:cs="仿宋_GB2312"/>
          <w:b w:val="0"/>
          <w:bCs w:val="0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操作实务，为做好政务公开工作奠定了坚实的基础。</w:t>
      </w:r>
    </w:p>
    <w:p w14:paraId="7977AEC2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二、主动公开政府信息情况</w:t>
      </w:r>
    </w:p>
    <w:tbl>
      <w:tblPr>
        <w:tblStyle w:val="5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348D03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71B88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第二十条第（一）项</w:t>
            </w:r>
          </w:p>
        </w:tc>
      </w:tr>
      <w:tr w14:paraId="69253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43DC1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CAE8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3075E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33C50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现行有效件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数</w:t>
            </w:r>
          </w:p>
        </w:tc>
      </w:tr>
      <w:tr w14:paraId="57474C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04242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15F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EFC04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5C488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BC76B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339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FCAD9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560F7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F783E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FA4DA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AB7C0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第二十条第（五）项</w:t>
            </w:r>
          </w:p>
        </w:tc>
      </w:tr>
      <w:tr w14:paraId="0F9A25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544C6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1BBE1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1BCC6D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FA785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262EB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418</w:t>
            </w:r>
          </w:p>
        </w:tc>
      </w:tr>
      <w:tr w14:paraId="3AF72F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1695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第二十条第（六）项</w:t>
            </w:r>
          </w:p>
        </w:tc>
      </w:tr>
      <w:tr w14:paraId="4ED5D3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B34C4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8387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本年处理决定数量</w:t>
            </w:r>
          </w:p>
        </w:tc>
      </w:tr>
      <w:tr w14:paraId="75B9E1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1166C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27C06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24</w:t>
            </w:r>
          </w:p>
        </w:tc>
      </w:tr>
      <w:tr w14:paraId="5B7832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DD4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B12D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001F96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92D2E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第二十条第（八）项</w:t>
            </w:r>
          </w:p>
        </w:tc>
      </w:tr>
      <w:tr w14:paraId="6B1A3C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834A6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253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本年收费金额（单位：万元）</w:t>
            </w:r>
          </w:p>
        </w:tc>
      </w:tr>
      <w:tr w14:paraId="691F40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70D6D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702524">
            <w:pPr>
              <w:keepNext w:val="0"/>
              <w:keepLines w:val="0"/>
              <w:widowControl/>
              <w:suppressLineNumbers w:val="0"/>
              <w:spacing w:before="0" w:beforeAutospacing="0" w:after="0" w:afterAutospacing="1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06216EF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right="0" w:firstLine="321" w:firstLineChars="1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三、收到和处理政府信息公开申请情况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75"/>
        <w:gridCol w:w="959"/>
        <w:gridCol w:w="3191"/>
        <w:gridCol w:w="689"/>
        <w:gridCol w:w="689"/>
        <w:gridCol w:w="689"/>
        <w:gridCol w:w="689"/>
        <w:gridCol w:w="689"/>
        <w:gridCol w:w="689"/>
        <w:gridCol w:w="689"/>
      </w:tblGrid>
      <w:tr w14:paraId="6E3FE65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8CCD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C2B5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申请人情况</w:t>
            </w:r>
          </w:p>
        </w:tc>
      </w:tr>
      <w:tr w14:paraId="2C4E67E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99D0E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0A461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7E4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35C7A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0C1F9A9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85E56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5279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08C9F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商业</w:t>
            </w:r>
          </w:p>
          <w:p w14:paraId="0A89C3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C102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科研</w:t>
            </w:r>
          </w:p>
          <w:p w14:paraId="4A7AF80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744733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33D1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81CC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67DBE3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3C08A31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3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6E13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8DC6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3054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C196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8FF5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E85D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55B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C9E7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  <w:tr w14:paraId="6828751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45" w:hRule="atLeast"/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80E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47EC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D273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2D8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0F4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863F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5E40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B21C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704143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09F4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ACBB0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082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D059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91A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56AA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155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CD8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14AF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  <w:tr w14:paraId="4CD7F8E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F4290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1AA36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（二）部分公开（区分处理的，只计这一情形，不计其他情形）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ACF3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67CDC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3885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6557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93D12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60A46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6AB7D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593EDB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EBE98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5A3A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71F0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23440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0544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7193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5CB2E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01CD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2395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C29D2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D4DE2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4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65B43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369C0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CF852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91AE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134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9385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2C89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15CF1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96FA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954B6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BF92D5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BB1C1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88AC4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9FFB5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061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0219E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CF99B1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E6B7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1A4D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6F0C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C10B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148DAE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1E38A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27592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34E0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1E183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6980E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BBB98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1EA56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B26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9558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7C85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23B90C2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94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47E65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691E4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6D9E8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BB4B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E9665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9150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7BE3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BE16A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1EB862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D757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3D30CD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9D4B6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48774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F22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9D5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83B1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3BF9D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DABD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7ED43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EF08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8B9C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45F984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69F3B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0AE71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EC2E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BEAD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45FE93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58C5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562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7D68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CA58B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A11C49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DA28C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822E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1567D9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F195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3A77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C6F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116D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0F998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03500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A179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2FD2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C3BDD5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2234C1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F9A2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FEB9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957F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F0F86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2CD5D4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C9C1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E3F9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B1669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7904F7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723DC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7F12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710AE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B3CC7E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5013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3186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A7CC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F810B5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85CC2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11A4A6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4B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ADBCDE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1AF8C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4B111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9EBDA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02F0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2EFE3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8803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9FD92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E29D1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D079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D744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9A93F3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4995F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05FC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D8E01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CFC3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7F64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412D7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5240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0D61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7874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68BED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D6CFFE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B114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BE99D6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37C84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6F4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ED2F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EB00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6C3505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6A8E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FB13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01F99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01E321B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8E2FA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48D92C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F6B3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49E9A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B90C7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C5599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D630B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7AA0D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E0AB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20293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5501AE8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901EF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F7C7FD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AEDBC8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1FBDAA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68D06D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8F52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A6A8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468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0C4C1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FCE7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17B91F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5FAF9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6F23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03B7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8AE3B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B5B50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F462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C404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3594C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BB19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FAE92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375C593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596D8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635F7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73C9E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2FC8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C2022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131C6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419FB2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B3369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AB776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327D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4F913A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956DFD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5A87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A6A1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both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3D0849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ADFE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41A9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501EF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6C8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DD11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316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4ACB41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9BC25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3025F0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740A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9F071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C86DA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20435C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8ABC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9A38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A067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D985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  <w:tr w14:paraId="658E900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9F732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063CE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1524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4BE50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EDD09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9D9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B1248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A686C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D0AB2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eastAsia" w:ascii="仿宋_GB2312" w:eastAsia="仿宋_GB2312" w:cs="仿宋_GB2312"/>
                <w:kern w:val="0"/>
                <w:sz w:val="28"/>
                <w:szCs w:val="28"/>
                <w:lang w:val="en-US" w:eastAsia="zh-CN" w:bidi="ar"/>
              </w:rPr>
              <w:t>1</w:t>
            </w:r>
          </w:p>
        </w:tc>
      </w:tr>
      <w:tr w14:paraId="2EDCE11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1C3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left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0430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8333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D89C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101C2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095B9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FC68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F4A4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623B90CB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right="0" w:firstLine="321" w:firstLineChars="1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四、政府信息公开行政复议、行政诉讼情况</w:t>
      </w:r>
    </w:p>
    <w:tbl>
      <w:tblPr>
        <w:tblStyle w:val="5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049258B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B4E4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D1717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行政诉讼</w:t>
            </w:r>
          </w:p>
        </w:tc>
      </w:tr>
      <w:tr w14:paraId="663A7D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DE4F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C530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6B84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2477A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3A98BF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0FF8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1DF1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复议后起诉</w:t>
            </w:r>
          </w:p>
        </w:tc>
      </w:tr>
      <w:tr w14:paraId="73A74A7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EE39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9D2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DAD8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6E1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34241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BA88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0F4F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F07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CBDB6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2E7D4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1C9B4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EBF1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结果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82CBA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其他</w:t>
            </w: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8C4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尚未</w:t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br w:type="textWrapping"/>
            </w: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5374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0"/>
              <w:jc w:val="center"/>
            </w:pPr>
            <w:r>
              <w:rPr>
                <w:rFonts w:hint="default" w:ascii="仿宋_GB2312" w:eastAsia="仿宋_GB2312" w:cs="仿宋_GB2312" w:hAnsiTheme="minorHAnsi"/>
                <w:color w:val="000000"/>
                <w:kern w:val="0"/>
                <w:sz w:val="28"/>
                <w:szCs w:val="28"/>
                <w:lang w:val="en-US" w:eastAsia="zh-CN" w:bidi="ar"/>
              </w:rPr>
              <w:t>总计</w:t>
            </w:r>
          </w:p>
        </w:tc>
      </w:tr>
      <w:tr w14:paraId="0E92F5F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0CBA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7DF8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0123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A089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D34FE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DD4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F620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C95CB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F2EC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6C3B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455C9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548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B29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A3718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071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10" w:lineRule="atLeast"/>
              <w:ind w:left="0" w:right="0"/>
              <w:jc w:val="center"/>
            </w:pPr>
            <w:r>
              <w:rPr>
                <w:rFonts w:hint="default" w:ascii="仿宋_GB2312" w:eastAsia="仿宋_GB2312" w:cs="仿宋_GB2312" w:hAnsiTheme="minorHAnsi"/>
                <w:kern w:val="0"/>
                <w:sz w:val="28"/>
                <w:szCs w:val="28"/>
                <w:lang w:val="en-US" w:eastAsia="zh-CN" w:bidi="ar"/>
              </w:rPr>
              <w:t>0</w:t>
            </w:r>
          </w:p>
        </w:tc>
      </w:tr>
    </w:tbl>
    <w:p w14:paraId="5112DD37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right="0" w:firstLine="321" w:firstLineChars="1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五、存在的主要问题及改进情况</w:t>
      </w:r>
    </w:p>
    <w:p w14:paraId="41E2AE5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存在问题：信息公开的深度和广度有待进一步拓展，部分信息公开的内容还不够详细；政策解读的形式和质量还需进一步提高，解读内容不够通俗易懂；政务公开工作的创新意识不够强，公开方式和手段还比较单一。</w:t>
      </w:r>
    </w:p>
    <w:p w14:paraId="6B41C5E4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改进措施：进一步拓展信息公开的深度和广度，加强对教育重点领域和热点问题的信息公开，增加信息公开的内容和细节；丰富政策解读的形式和内容，采用图文并茂、案例分析等方式进行解读，提高政策解读的质量和效果；加强对政务公开工作的创新，积极探索新的公开方式和手段，提高政务公开的工作水平和效率。</w:t>
      </w:r>
    </w:p>
    <w:p w14:paraId="7225DBDC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3" w:firstLineChars="200"/>
        <w:jc w:val="both"/>
        <w:textAlignment w:val="auto"/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eastAsia" w:ascii="仿宋_GB2312" w:hAnsi="微软雅黑" w:eastAsia="仿宋_GB2312" w:cs="仿宋_GB2312"/>
          <w:b/>
          <w:bCs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六、其他需要报告的事项</w:t>
      </w:r>
    </w:p>
    <w:p w14:paraId="174357A0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按照《国务院办公厅关于印发〈政府信息公开信息处理费管理办法〉的通知》（国办函〔2020〕109号）规定的按件、按量收费标准，本年度没有产生信息公开处理费</w:t>
      </w:r>
      <w:r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  <w:lang w:eastAsia="zh-CN"/>
        </w:rPr>
        <w:t>。</w:t>
      </w:r>
    </w:p>
    <w:p w14:paraId="4E33D519">
      <w:pPr>
        <w:pStyle w:val="4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atLeast"/>
        <w:ind w:left="0" w:right="0" w:firstLine="640" w:firstLineChars="200"/>
        <w:jc w:val="both"/>
        <w:textAlignment w:val="auto"/>
        <w:rPr>
          <w:rFonts w:hint="eastAsia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 </w:t>
      </w:r>
    </w:p>
    <w:p w14:paraId="55DC976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 w14:paraId="0E7A3A3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 </w:t>
      </w:r>
    </w:p>
    <w:p w14:paraId="7F89F04B">
      <w:pPr>
        <w:keepNext w:val="0"/>
        <w:keepLines w:val="0"/>
        <w:widowControl/>
        <w:suppressLineNumbers w:val="0"/>
        <w:shd w:val="clear" w:fill="FFFFFF"/>
        <w:wordWrap w:val="0"/>
        <w:spacing w:before="0" w:beforeAutospacing="0" w:after="0" w:afterAutospacing="1" w:line="560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212529"/>
          <w:spacing w:val="0"/>
          <w:sz w:val="16"/>
          <w:szCs w:val="16"/>
        </w:rPr>
      </w:pPr>
      <w:r>
        <w:rPr>
          <w:rFonts w:hint="default" w:ascii="仿宋_GB2312" w:hAnsi="微软雅黑" w:eastAsia="仿宋_GB2312" w:cs="仿宋_GB2312"/>
          <w:b w:val="0"/>
          <w:bCs w:val="0"/>
          <w:i w:val="0"/>
          <w:iCs w:val="0"/>
          <w:caps w:val="0"/>
          <w:color w:val="212529"/>
          <w:spacing w:val="0"/>
          <w:kern w:val="0"/>
          <w:sz w:val="32"/>
          <w:szCs w:val="32"/>
          <w:shd w:val="clear" w:fill="FFFFFF"/>
          <w:lang w:val="en-US" w:eastAsia="zh-CN" w:bidi="ar"/>
        </w:rPr>
        <w:t>2024年1月19日</w:t>
      </w:r>
    </w:p>
    <w:p w14:paraId="275C78F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E8A8108-8D1A-400A-856A-0EC0071B530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16B95387-B7CE-427E-B071-6B48C2C85220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3" w:fontKey="{27B06CD3-1DFC-47A0-B60E-1E2AA5F410EF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FB4418E-37C0-46F5-8D71-E11503EC1E2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8A42B9"/>
    <w:rsid w:val="1D031D39"/>
    <w:rsid w:val="1F047B3B"/>
    <w:rsid w:val="29C975D0"/>
    <w:rsid w:val="3B550268"/>
    <w:rsid w:val="527F4960"/>
    <w:rsid w:val="578A42B9"/>
    <w:rsid w:val="57BA5800"/>
    <w:rsid w:val="57D64D26"/>
    <w:rsid w:val="64954151"/>
    <w:rsid w:val="6998433F"/>
    <w:rsid w:val="6E4D3049"/>
    <w:rsid w:val="7BA60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1397</Words>
  <Characters>1426</Characters>
  <Lines>0</Lines>
  <Paragraphs>0</Paragraphs>
  <TotalTime>221</TotalTime>
  <ScaleCrop>false</ScaleCrop>
  <LinksUpToDate>false</LinksUpToDate>
  <CharactersWithSpaces>1431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2025-01-14T02:52:00Z</dcterms:created>
  <dc:creator>Jannie王倩</dc:creator>
  <cp:lastModifiedBy>Jannie王倩</cp:lastModifiedBy>
  <cp:lastPrinted>2025-02-14T01:44:05Z</cp:lastPrinted>
  <dcterms:modified xsi:type="dcterms:W3CDTF">2025-02-14T01:53:45Z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1198006FE7C84B44AE27A8453E2428F3_13</vt:lpwstr>
  </property>
  <property fmtid="{D5CDD505-2E9C-101B-9397-08002B2CF9AE}" pid="4" name="KSOTemplateDocerSaveRecord">
    <vt:lpwstr>eyJoZGlkIjoiOWMyYjNjMTczYjNmM2M5MjkyZDkyYzJmMGViMjAwNWMiLCJ1c2VySWQiOiIxMjE3Mjc4MDY1In0=</vt:lpwstr>
  </property>
</Properties>
</file>