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2384D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center"/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</w:p>
    <w:p w14:paraId="142496E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center"/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</w:p>
    <w:p w14:paraId="3888427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center"/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</w:p>
    <w:p w14:paraId="62EBFAFE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铜官区住建局202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年政府信息公开</w:t>
      </w:r>
    </w:p>
    <w:p w14:paraId="4946E03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工作年度报告</w:t>
      </w:r>
    </w:p>
    <w:p w14:paraId="3DFFBEE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 </w:t>
      </w:r>
    </w:p>
    <w:p w14:paraId="1F6AA1E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根据《中华人民共和国政府信息公开条例》（国务院令第711号）和《国务院办公厅政府信息与政务公开办公室关于印发〈中华人民共和国政府信息公开工作年度报告格式〉的通知》（国办公开办函〔2021〕30号）要求，编制本年度报告。</w:t>
      </w:r>
    </w:p>
    <w:p w14:paraId="1E6C22B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640"/>
        <w:jc w:val="both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ascii="黑体" w:hAnsi="宋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一、总体情况</w:t>
      </w:r>
    </w:p>
    <w:p w14:paraId="5332751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left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年，我局严格落实《中华人民共和国政府信息公开条例》（国务院令第711号）的有关规定，我局根据市委、市政府要求，在市政务公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eastAsia="zh-CN"/>
        </w:rPr>
        <w:t>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的具体指导下，切实加强组织领导，夯实基础工作，建立健全政府信息公开制度，深入推进行政权力公开透明运行，推动政府信息公开工作取得新突破。截至202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年底，我单位政府信息公开工作运行正常。</w:t>
      </w:r>
    </w:p>
    <w:p w14:paraId="441444B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643"/>
        <w:jc w:val="both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（一）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政府信息主动公开情况</w:t>
      </w:r>
    </w:p>
    <w:p w14:paraId="653B4A1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left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年，我局主动公开和更新各类信息3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val="en-US" w:eastAsia="zh-CN"/>
        </w:rPr>
        <w:t>27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条，其中招标采购1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条；人大代表、政协委员提案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val="en-US" w:eastAsia="zh-CN"/>
        </w:rPr>
        <w:t>46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条；财政资金1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条；两化领域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val="en-US" w:eastAsia="zh-CN"/>
        </w:rPr>
        <w:t>104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条；其他信息1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val="en-US" w:eastAsia="zh-CN"/>
        </w:rPr>
        <w:t>53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条。</w:t>
      </w:r>
    </w:p>
    <w:p w14:paraId="4567751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643"/>
        <w:jc w:val="both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（二）依申请政府信息公开情况</w:t>
      </w:r>
    </w:p>
    <w:p w14:paraId="1BA2E94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left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eastAsia="zh-CN"/>
        </w:rPr>
        <w:t>我局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遵循“全面、真实、及时、便民”的原则，加大政务公开范围，深化公开内容，逐步规范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信息公开程序和形式，提高信息公开水平，真正做到了公开化、透明化、公正化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eastAsia="zh-CN"/>
        </w:rPr>
        <w:t>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年我单位收到依申请公开申请数量为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，办理数量为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，均在规定时限内依法予以答复。</w:t>
      </w:r>
    </w:p>
    <w:p w14:paraId="27AA0A0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643"/>
        <w:jc w:val="both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（三）政府信息管理</w:t>
      </w:r>
    </w:p>
    <w:p w14:paraId="60B99B6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643"/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eastAsia="zh-CN"/>
        </w:rPr>
        <w:t>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加强信息公开工作的组织领导。及时调整了局政务公开领导小组，适时召开政务公开领导小组和办公室会议，传达学习市政务公开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  <w:lang w:eastAsia="zh-CN"/>
        </w:rPr>
        <w:t>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有关政府信息公开工作文件，研究部署全局政务公开工作。根据铜陵市政府信息公开工作规定有关要求，我局配备了一名专门的工作人员，积极按照《条例》规定程序和权限发布本部门信息。由于局领导班子高度重视，任务分解清晰，措施切实可行，做到机构落实、责任落实、人员落实和检查落实，我局的政务公开工作得到了稳步推进。</w:t>
      </w:r>
    </w:p>
    <w:p w14:paraId="66F44AD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643"/>
        <w:jc w:val="both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（四）政府信息公开平台建设</w:t>
      </w:r>
    </w:p>
    <w:p w14:paraId="4B7CFF2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643"/>
        <w:jc w:val="both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格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全面完成政务公开年度任务。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一是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圆满完成市政府对政务公开工作安排，我局高度重视，第一时间落实各项政务信息公开任务。拓宽政务公开渠道，充实、完善信息发布工作。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二是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《条例》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要求，不断梳理简化行政权力和公共服务事项，全面建成网上运行平台，按时、规范、完整、准确地向社会公开行政许可和行政处罚等信息，方便公民、法人和其他组织查询查看，自觉接受社会监督；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三是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加强政务舆情反馈，通过政民互动、市长热线、人民网留言、领导信箱、等渠道及时反馈群众咨询、投诉、建议。在规定时间内完成人大代表议案和政协委员提案办理公开工作。</w:t>
      </w:r>
    </w:p>
    <w:p w14:paraId="67FFB34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643"/>
        <w:jc w:val="both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（五）监督保障</w:t>
      </w:r>
    </w:p>
    <w:p w14:paraId="51C0268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643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一是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不断完善政府信息公开的内容，及时更新政府信息；主动及时向社会公开可以公开的信息，以确保政府信息公开的完整性、全面性和及时性。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二是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进一步创新公开方法，丰富公开形式，拓宽公开渠道，确保操作简便明了，利于查找，让更多公众了解公开信息的查询方式和基本内容。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三是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完善政府信息公开监督、评议制度，将监督评议工作常规化，日常化；主动听取社会各界对我局政务信息公开的意见和建议，充分发挥人民群众和新闻舆论的监督作用，不断改进工作。 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   </w:t>
      </w:r>
    </w:p>
    <w:p w14:paraId="5FCC2D3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643"/>
        <w:jc w:val="both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</w:p>
    <w:p w14:paraId="2798C2F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both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tbl>
      <w:tblPr>
        <w:tblStyle w:val="4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3A570A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43D75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第二十条第（一）项</w:t>
            </w:r>
          </w:p>
        </w:tc>
      </w:tr>
      <w:tr w14:paraId="3E1213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89C4C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13DAF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本年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15EE6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A603C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现行有效件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数</w:t>
            </w:r>
          </w:p>
        </w:tc>
      </w:tr>
      <w:tr w14:paraId="62E104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DC14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7E5A3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49CA2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15E5B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42BFD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08C26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9C993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96C7F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A3EDA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22B086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CC239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第二十条第（五）项</w:t>
            </w:r>
          </w:p>
        </w:tc>
      </w:tr>
      <w:tr w14:paraId="1D72F2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87350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D63E7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本年处理决定数量</w:t>
            </w:r>
          </w:p>
        </w:tc>
      </w:tr>
      <w:tr w14:paraId="3F69D7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08408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3DAF8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4</w:t>
            </w:r>
          </w:p>
        </w:tc>
      </w:tr>
      <w:tr w14:paraId="4CA8D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108A1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第二十条第（六）项</w:t>
            </w:r>
          </w:p>
        </w:tc>
      </w:tr>
      <w:tr w14:paraId="58D7C1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D6532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7F003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本年处理决定数量</w:t>
            </w:r>
          </w:p>
        </w:tc>
      </w:tr>
      <w:tr w14:paraId="386067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58258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2CD76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0</w:t>
            </w:r>
          </w:p>
        </w:tc>
      </w:tr>
      <w:tr w14:paraId="785C1C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DC32F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847C8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0</w:t>
            </w:r>
          </w:p>
        </w:tc>
      </w:tr>
      <w:tr w14:paraId="1F203F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EF8DD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第二十条第（八）项</w:t>
            </w:r>
          </w:p>
        </w:tc>
      </w:tr>
      <w:tr w14:paraId="323912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70269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85CEC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本年收费金额（单位：万元）</w:t>
            </w:r>
          </w:p>
        </w:tc>
      </w:tr>
      <w:tr w14:paraId="22A3A7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F4958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5ABBD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0</w:t>
            </w:r>
          </w:p>
        </w:tc>
      </w:tr>
    </w:tbl>
    <w:p w14:paraId="444A923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FFFFF"/>
        </w:rPr>
        <w:t> </w:t>
      </w:r>
    </w:p>
    <w:p w14:paraId="04334C0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both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tbl>
      <w:tblPr>
        <w:tblStyle w:val="4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81"/>
        <w:gridCol w:w="1074"/>
        <w:gridCol w:w="3112"/>
        <w:gridCol w:w="683"/>
        <w:gridCol w:w="683"/>
        <w:gridCol w:w="683"/>
        <w:gridCol w:w="683"/>
        <w:gridCol w:w="683"/>
        <w:gridCol w:w="683"/>
        <w:gridCol w:w="683"/>
      </w:tblGrid>
      <w:tr w14:paraId="27F6DC9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FF63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34C9A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申请人情况</w:t>
            </w:r>
          </w:p>
        </w:tc>
      </w:tr>
      <w:tr w14:paraId="67C5CCC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99BAA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11A60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0B9E4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2651E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总计</w:t>
            </w:r>
          </w:p>
        </w:tc>
      </w:tr>
      <w:tr w14:paraId="1C59F5C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781245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40205D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EEC73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商业</w:t>
            </w:r>
          </w:p>
          <w:p w14:paraId="3332F31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049F2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科研</w:t>
            </w:r>
          </w:p>
          <w:p w14:paraId="786304D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C9B9E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43681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F7CFA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86BF2E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 w14:paraId="5725259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19CF6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07173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 </w:t>
            </w: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67E06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 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DA7ED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 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261A2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 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3AED4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 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0592C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 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49E0F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3</w:t>
            </w:r>
          </w:p>
        </w:tc>
      </w:tr>
      <w:tr w14:paraId="24066BC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9C047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D75E1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E76C8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6794D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11D4A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5502B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0CFFC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2F73C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1499066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B5BD3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0B5D4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AF6AE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E30ED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7BFB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B8B02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AD588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478D7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7BA66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32"/>
                <w:szCs w:val="32"/>
                <w:lang w:val="en-US" w:eastAsia="zh-CN"/>
              </w:rPr>
              <w:t>0</w:t>
            </w:r>
          </w:p>
        </w:tc>
      </w:tr>
      <w:tr w14:paraId="4D1F40A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00069D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FB118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（二）部分公开（区分处理的，只计这一情形，不计其他情形）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5E4BE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50D6F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61967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4756B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7F044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31C2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10452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1950636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6853D9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E4F4C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2E2D92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15CED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8FF43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4F462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BDA9D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AD1C2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65A27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6C2B6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79F783A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86BDB6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643417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481BC6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24B6F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E5F4D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8AB61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27F4E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BEC88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8D591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8EBA6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0DDC4E9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73D280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FAD3F5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2C1DEB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4F6E7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52FFB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BDADD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A7807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0A099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21C61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22BAF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1AED2D0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04505A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2269FA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582EB8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365E5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658C8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A1224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F9D17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8E333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C5D6A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4A7C1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7472E73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9DE66B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3200BE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A9CF31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948F6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62650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25554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C53C4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04777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43E52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37DF2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4163CEB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BCC2DD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97765F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59BE03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35E3A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ED0BA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378A9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F9995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8EDBF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C7A18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02EDC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74A6AB3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61E83C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026A68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95E9F6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AA001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E8A8C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DF4CF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39851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1839D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3ED6D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13C26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199D165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FEC80E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C523B9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C1EA5D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34326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A7BBC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A2868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95272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35454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CB6B6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EB21B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6E3A3E2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FA88FE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11F4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C28102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E9BEF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B520C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B9F82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59D3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98084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50F4F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765D0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32"/>
                <w:szCs w:val="32"/>
                <w:lang w:val="en-US" w:eastAsia="zh-CN"/>
              </w:rPr>
              <w:t>3</w:t>
            </w:r>
          </w:p>
        </w:tc>
      </w:tr>
      <w:tr w14:paraId="087027F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630DD0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BBC16A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CDA82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D6682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977CC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5AC5B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CF797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70FEF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B246C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6FA06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4F1DCC1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D2F338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90761A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F1CFD2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9A616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AB412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D493F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300E7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692E0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76A21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626BE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7B885B5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3E11F5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06912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B7F6C8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E255B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EE243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28CF9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A114F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3551D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27C5B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3970B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3B2B16B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DB1235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676264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65FDBB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70935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62E77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C13E0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24741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86117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FCD3F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7F7BA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1E26BD9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DF4CE8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8654CD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3A04D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83F6D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052C1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9717E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CBCCC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A2E1B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51611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2A94A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09C12D1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23918A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A27E84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B8B7D2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2C0B7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96C29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836A2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99A3E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623FB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0853F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C8EC0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0FB857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BDAA1F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86A56F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8091D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AEAB9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E2E85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DC46A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54E84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C6143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0B02F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1CB6B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1D73153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7AD468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D5504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3E617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CFA3F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08C62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E671A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D9FC9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B0DE2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AC63F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B2D87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6C430A1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A8BCCC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83EF7A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8073B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52810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0D1DA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40A47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D0D69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73A47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DDF69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7D561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4C98439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26509A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8261F9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A67DB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00137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85A45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33F73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4880A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2ED91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4C4B0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B9B69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  <w:tr w14:paraId="19615BF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612762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196A3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806C5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7F005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79404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EAAE9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5CB33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BA285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A9649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32"/>
                <w:szCs w:val="32"/>
                <w:lang w:val="en-US" w:eastAsia="zh-CN"/>
              </w:rPr>
              <w:t>3</w:t>
            </w:r>
          </w:p>
        </w:tc>
      </w:tr>
      <w:tr w14:paraId="125F244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7D5CA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CD5D5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8E5D5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CB19D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10D65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3A000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E7BAC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181EB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</w:tbl>
    <w:p w14:paraId="4F5FABE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1"/>
          <w:szCs w:val="21"/>
          <w:shd w:val="clear" w:fill="FFFFFF"/>
        </w:rPr>
        <w:t> </w:t>
      </w:r>
    </w:p>
    <w:p w14:paraId="75B78F0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both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p w14:paraId="580E5CA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1"/>
          <w:szCs w:val="21"/>
          <w:shd w:val="clear" w:fill="FFFFFF"/>
        </w:rPr>
        <w:t> </w:t>
      </w:r>
    </w:p>
    <w:tbl>
      <w:tblPr>
        <w:tblStyle w:val="4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4B7D696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72BF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531EF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行政诉讼</w:t>
            </w:r>
          </w:p>
        </w:tc>
      </w:tr>
      <w:tr w14:paraId="17D3325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E29F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DBF22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结果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27FC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其他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0787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尚未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AEDDF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2C55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298B8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复议后起诉</w:t>
            </w:r>
          </w:p>
        </w:tc>
      </w:tr>
      <w:tr w14:paraId="1EEA1F4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D213C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171C6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6071A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FBC30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B4DDB">
            <w:pPr>
              <w:spacing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40EE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结果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维持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CE5B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结果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7A83C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其他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B0EE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尚未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E2DF2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A369D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结果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0BB5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结果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B228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其他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431D7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尚未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F49F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总计</w:t>
            </w:r>
          </w:p>
        </w:tc>
      </w:tr>
      <w:tr w14:paraId="2D432DF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8A63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BCDC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D4948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8384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7F3D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9FB4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579E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06BE5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CDF5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D487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959D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23BE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6CF85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328AB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9474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0</w:t>
            </w:r>
          </w:p>
        </w:tc>
      </w:tr>
    </w:tbl>
    <w:p w14:paraId="12B72638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1"/>
          <w:szCs w:val="21"/>
          <w:shd w:val="clear" w:fill="FFFFFF"/>
        </w:rPr>
        <w:t> </w:t>
      </w:r>
    </w:p>
    <w:p w14:paraId="236E66D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both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五、存在的主要问题及改进情况</w:t>
      </w:r>
    </w:p>
    <w:p w14:paraId="5BC4676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240" w:lineRule="auto"/>
        <w:ind w:left="0" w:right="0" w:firstLine="643"/>
        <w:jc w:val="left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（一）存在问题：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人员培训工作等方面取得了新的进展，但主动公开政府信息内容与公众的需求还存在一些差距，公开形式便民性需要进一步提高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。</w:t>
      </w:r>
    </w:p>
    <w:p w14:paraId="178B801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both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（二）改进情况：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/>
        </w:rPr>
        <w:t>以社会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和人民的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/>
        </w:rPr>
        <w:t>需求为导向，深化政府信息公开内容。继续重点推进与社会发展和市民生活密切相关的政府信息公开；进一步及时、规范做好公文类政府信息公开工作；加强专业性强及公众关注度高的规范性文件、重大决定等文件配套解读材料编写工作，并探索相应的工作机制；以政府信息公开带动办事公开，以办事公开带动便民服务，进一步推动政府信息公开与网上办事和电子政务工作的结合。</w:t>
      </w:r>
    </w:p>
    <w:p w14:paraId="628FC39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both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六、其他需要报告的事项</w:t>
      </w:r>
    </w:p>
    <w:p w14:paraId="5B3A700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640"/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按照《国务院办公厅关于印发〈政府信息公开信息处理费管理办法〉的通知》（国办函〔2020〕109号）规定的按件、按量收费标准，本年度没有产生信息公开处理费。</w:t>
      </w:r>
    </w:p>
    <w:p w14:paraId="29ECAD93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 </w:t>
      </w:r>
    </w:p>
    <w:p w14:paraId="613D77D8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</w:pPr>
    </w:p>
    <w:p w14:paraId="406DFEA5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</w:pPr>
    </w:p>
    <w:p w14:paraId="4B5A10B5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</w:pPr>
    </w:p>
    <w:p w14:paraId="5042FDF8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</w:pPr>
    </w:p>
    <w:p w14:paraId="10BA889A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0" w:firstLine="5440"/>
        <w:jc w:val="left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年1月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日</w:t>
      </w:r>
    </w:p>
    <w:p w14:paraId="490A110B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right="0" w:firstLine="3520" w:firstLineChars="1100"/>
        <w:jc w:val="righ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6"/>
          <w:szCs w:val="36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铜官区住房和城乡建设局</w:t>
      </w:r>
    </w:p>
    <w:p w14:paraId="479BB751">
      <w:pPr>
        <w:spacing w:line="24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F26E0"/>
    <w:rsid w:val="27166BAC"/>
    <w:rsid w:val="2DC07A22"/>
    <w:rsid w:val="2EA43031"/>
    <w:rsid w:val="42B831CC"/>
    <w:rsid w:val="46D66100"/>
    <w:rsid w:val="46F81F5C"/>
    <w:rsid w:val="5C255B31"/>
    <w:rsid w:val="60832E42"/>
    <w:rsid w:val="61844486"/>
    <w:rsid w:val="7DCB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1403</Words>
  <Characters>1435</Characters>
  <Lines>0</Lines>
  <Paragraphs>0</Paragraphs>
  <TotalTime>405</TotalTime>
  <ScaleCrop>false</ScaleCrop>
  <LinksUpToDate>false</LinksUpToDate>
  <CharactersWithSpaces>1441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2025-01-15T06:47:00Z</dcterms:created>
  <dc:creator>Administrator</dc:creator>
  <cp:lastModifiedBy>咕咪咕咪</cp:lastModifiedBy>
  <dcterms:modified xsi:type="dcterms:W3CDTF">2025-02-13T08:01:01Z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eyJoZGlkIjoiZmM4NmFmMGVhZmU2YTFhMjlkOWU3NmIxMTVhMGE2YjAiLCJ1c2VySWQiOiI3NTM5ODA2MTQifQ==</vt:lpwstr>
  </property>
  <property fmtid="{D5CDD505-2E9C-101B-9397-08002B2CF9AE}" pid="4" name="ICV">
    <vt:lpwstr>244ECACB411B4024947BC743ACC00918_13</vt:lpwstr>
  </property>
</Properties>
</file>