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7314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eastAsia="方正小标宋简体" w:hAnsiTheme="minorHAnsi" w:cstheme="minorBidi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 w:hAnsiTheme="minorHAnsi" w:cstheme="minorBidi"/>
          <w:sz w:val="44"/>
          <w:szCs w:val="44"/>
          <w:lang w:val="en-US" w:eastAsia="zh-CN"/>
        </w:rPr>
        <w:t>铜官区文化旅游体育局2024年政府信息公开工作年度报告</w:t>
      </w:r>
    </w:p>
    <w:p w14:paraId="625C2C5E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lang w:val="en-US" w:eastAsia="zh-CN"/>
        </w:rPr>
      </w:pPr>
    </w:p>
    <w:p w14:paraId="791867E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根据《中华人民共和国政府信息公开条例》（国务院令第711号）和国务院办公厅政府信息与政务公开办公室关于印发《中华人民共和国政府信息公开工作年度报告格式》的通知（国办公开办函〔2021〕30号）要求，结合区政府信息公开工作有关统计数据编制本年度报告。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 w:bidi="ar-SA"/>
        </w:rPr>
        <w:t>报告内容包括：总体情况、主动公开政府信息情况、收到和处理政府信息公开申请情况、政府信息公开行政复议、行政诉讼情况、存在的主要问题及改进情况、其他需要报告的事项。本报告中使用数据统计期限为2024年1月1日至12月31日。如对本报告有任何疑问，请与铜陵市铜官区文化旅游体育局办公室联系(地址:铜陵市铜官区西湖镇木鱼山大道666号，电话2228781）。</w:t>
      </w:r>
    </w:p>
    <w:p w14:paraId="7EBD0069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333333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333333"/>
          <w:kern w:val="0"/>
          <w:sz w:val="32"/>
          <w:szCs w:val="32"/>
          <w:lang w:val="en-US" w:eastAsia="zh-CN" w:bidi="ar-SA"/>
        </w:rPr>
        <w:t>一、总体情况</w:t>
      </w:r>
    </w:p>
    <w:p w14:paraId="1377B7F5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 w:bidi="ar-SA"/>
        </w:rPr>
        <w:t>2024年，为做好政府信息公开工作，更好保障人民群众对文化旅游体育工作的知情权、参与权、表达权和监督权，进一步增强文化旅游体育工作的透明度和公信力。我局在铜官区政务公开办的耐心指导下，全面、深入推进政务公开工作。总体取得较好成效，呈现出不断完善，逐步提高的良好局面。</w:t>
      </w:r>
    </w:p>
    <w:p w14:paraId="543C7EF3"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楷体_GB2312" w:cs="Times New Roman"/>
          <w:b/>
          <w:bCs/>
          <w:color w:val="333333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color w:val="333333"/>
          <w:kern w:val="0"/>
          <w:sz w:val="32"/>
          <w:szCs w:val="32"/>
          <w:lang w:val="en-US" w:eastAsia="zh-CN" w:bidi="ar-SA"/>
        </w:rPr>
        <w:t>（一）</w:t>
      </w:r>
      <w:r>
        <w:rPr>
          <w:rFonts w:hint="default" w:ascii="Times New Roman" w:hAnsi="Times New Roman" w:eastAsia="楷体_GB2312" w:cs="Times New Roman"/>
          <w:b/>
          <w:bCs/>
          <w:color w:val="333333"/>
          <w:kern w:val="0"/>
          <w:sz w:val="32"/>
          <w:szCs w:val="32"/>
          <w:lang w:val="en-US" w:eastAsia="zh-CN"/>
        </w:rPr>
        <w:t>主动公开</w:t>
      </w:r>
    </w:p>
    <w:p w14:paraId="060AA6CE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2024年，我局严格贯彻落实《中华人民共和国政府信息公开条例》，围绕重点领域，做好政策法规、领导活动、规划计划、公共文化、旅游市场等方面信息公开工作，将涉及文化旅游体育的最新政策及文件进行公示，让群众能第一时间了解信息，做到主动、公开、透明。</w:t>
      </w:r>
    </w:p>
    <w:p w14:paraId="46806BAC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全年共发布信息264件次。其中政策法规类信息3件，规划计划26件， 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instrText xml:space="preserve"> HYPERLINK "javascript:void(0);" </w:instrTex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重大决策预公开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2件，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instrText xml:space="preserve"> HYPERLINK "javascript:void(0);" </w:instrTex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规划计划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40件，人事信息3件</w:t>
      </w:r>
      <w:r>
        <w:rPr>
          <w:rFonts w:hint="eastAsia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，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 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instrText xml:space="preserve"> HYPERLINK "javascript:void(0);" </w:instrTex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建议提案办理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6件，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instrText xml:space="preserve"> HYPERLINK "javascript:void(0);" </w:instrTex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机构领导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6件，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instrText xml:space="preserve"> HYPERLINK "javascript:void(0);" </w:instrTex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机构设置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3件，财政资金类信息13件</w:t>
      </w:r>
      <w:r>
        <w:rPr>
          <w:rFonts w:hint="eastAsia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，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instrText xml:space="preserve"> HYPERLINK "javascript:void(0);" </w:instrTex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应急管理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4件，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instrText xml:space="preserve"> HYPERLINK "javascript:void(0);" </w:instrTex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乡村振兴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7件， 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instrText xml:space="preserve"> HYPERLINK "javascript:void(0);" </w:instrTex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权责清单和动态调整情况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3件，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instrText xml:space="preserve"> HYPERLINK "javascript:void(0);" </w:instrTex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公共服务清单和中介服务清单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2件</w:t>
      </w:r>
      <w:r>
        <w:rPr>
          <w:rFonts w:hint="eastAsia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，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instrText xml:space="preserve"> HYPERLINK "javascript:void(0);" </w:instrTex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行政权力运行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28件，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instrText xml:space="preserve"> HYPERLINK "javascript:void(0);" </w:instrTex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招标采购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2件，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instrText xml:space="preserve"> HYPERLINK "javascript:void(0);" </w:instrTex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公共文化体育领域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27件</w:t>
      </w:r>
      <w:r>
        <w:rPr>
          <w:rFonts w:hint="eastAsia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，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政策解读5件</w:t>
      </w:r>
      <w:r>
        <w:rPr>
          <w:rFonts w:hint="eastAsia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，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回应关切14件</w:t>
      </w:r>
      <w:r>
        <w:rPr>
          <w:rFonts w:hint="eastAsia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，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instrText xml:space="preserve"> HYPERLINK "javascript:void(0);" </w:instrTex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监督保障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14件，公共文化服务领域34件</w:t>
      </w:r>
      <w:r>
        <w:rPr>
          <w:rFonts w:hint="eastAsia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，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instrText xml:space="preserve"> HYPERLINK "javascript:void(0);" </w:instrTex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新闻出版版权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9件，旅游11件，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instrText xml:space="preserve"> HYPERLINK "javascript:void(0);" </w:instrTex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广播电视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2件。</w:t>
      </w:r>
    </w:p>
    <w:p w14:paraId="29238BB0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3" w:firstLineChars="200"/>
        <w:jc w:val="both"/>
        <w:textAlignment w:val="auto"/>
        <w:rPr>
          <w:rFonts w:hint="default" w:ascii="Times New Roman" w:hAnsi="Times New Roman" w:eastAsia="楷体_GB2312" w:cs="Times New Roman"/>
          <w:b/>
          <w:bCs/>
          <w:color w:val="333333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楷体_GB2312" w:cs="Times New Roman"/>
          <w:b/>
          <w:bCs/>
          <w:color w:val="333333"/>
          <w:kern w:val="0"/>
          <w:sz w:val="32"/>
          <w:szCs w:val="32"/>
          <w:lang w:val="en-US" w:eastAsia="zh-CN" w:bidi="ar-SA"/>
        </w:rPr>
        <w:t>（二）依申请公开</w:t>
      </w:r>
    </w:p>
    <w:p w14:paraId="116034EE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2024年，我局共收到0件依申请公开办理件，不涉及行政复议及行政诉讼。</w:t>
      </w:r>
    </w:p>
    <w:p w14:paraId="10B856F7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420" w:leftChars="0" w:right="0" w:rightChars="0"/>
        <w:jc w:val="both"/>
        <w:textAlignment w:val="auto"/>
        <w:rPr>
          <w:rFonts w:hint="default" w:ascii="Times New Roman" w:hAnsi="Times New Roman" w:eastAsia="楷体_GB2312" w:cs="Times New Roman"/>
          <w:b/>
          <w:bCs/>
          <w:color w:val="333333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楷体_GB2312" w:cs="Times New Roman"/>
          <w:b/>
          <w:bCs/>
          <w:color w:val="333333"/>
          <w:kern w:val="0"/>
          <w:sz w:val="32"/>
          <w:szCs w:val="32"/>
          <w:lang w:val="en-US" w:eastAsia="zh-CN" w:bidi="ar-SA"/>
        </w:rPr>
        <w:t>（三）政府信息管理</w:t>
      </w:r>
    </w:p>
    <w:p w14:paraId="2C27AADE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2024年，铜官区文化旅游体育局认真贯彻落实省、市、区文件精神和政务公开工作的决策部署，明确目标任务，落实工作责任，建立政务公开长效机制，实行一把手负总责，分管领导具体抓，落实专人负责实施，全面完成政务信息公开各项工作目标。根据政府信息公开工作要求，严格落实政府信息公开“三审”制度，信息报送严格审核把关，提高信息报送质量。全面开展政务公开工作，促进政务公开数量、质量和及时性不断提升。</w:t>
      </w:r>
    </w:p>
    <w:p w14:paraId="4AA024E5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420" w:leftChars="0" w:right="0" w:rightChars="0"/>
        <w:jc w:val="both"/>
        <w:textAlignment w:val="auto"/>
        <w:rPr>
          <w:rFonts w:hint="default" w:ascii="Times New Roman" w:hAnsi="Times New Roman" w:eastAsia="楷体_GB2312" w:cs="Times New Roman"/>
          <w:b/>
          <w:bCs/>
          <w:color w:val="333333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楷体_GB2312" w:cs="Times New Roman"/>
          <w:b/>
          <w:bCs/>
          <w:color w:val="333333"/>
          <w:kern w:val="0"/>
          <w:sz w:val="32"/>
          <w:szCs w:val="32"/>
          <w:lang w:val="en-US" w:eastAsia="zh-CN" w:bidi="ar-SA"/>
        </w:rPr>
        <w:t>（四）政府信息公开平台建设</w:t>
      </w:r>
    </w:p>
    <w:p w14:paraId="1B213727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紧密结合文旅体工作特点，认真开展政府信息公开工作，不断完善政府信息公开内容，提升政务公开服务水平。我局将按照“公开为原则，不公开为例外”的总体要求，进一步梳理政府公开信息，及时提供，定期维护。确保政府信息公开工作能按照既定的工作流程有效运作，公众能够方便查询。</w:t>
      </w:r>
    </w:p>
    <w:p w14:paraId="27DDF283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420" w:leftChars="0" w:right="0" w:rightChars="0"/>
        <w:jc w:val="both"/>
        <w:textAlignment w:val="auto"/>
        <w:rPr>
          <w:rFonts w:hint="default" w:ascii="Times New Roman" w:hAnsi="Times New Roman" w:eastAsia="楷体_GB2312" w:cs="Times New Roman"/>
          <w:b/>
          <w:bCs/>
          <w:color w:val="333333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楷体_GB2312" w:cs="Times New Roman"/>
          <w:b/>
          <w:bCs/>
          <w:color w:val="333333"/>
          <w:kern w:val="0"/>
          <w:sz w:val="32"/>
          <w:szCs w:val="32"/>
          <w:lang w:val="en-US" w:eastAsia="zh-CN" w:bidi="ar-SA"/>
        </w:rPr>
        <w:t>（五）监督保障</w:t>
      </w:r>
    </w:p>
    <w:p w14:paraId="642ACCB6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健全完善政府信息公开工作制度。</w:t>
      </w:r>
      <w:r>
        <w:rPr>
          <w:rFonts w:hint="default" w:ascii="Times New Roman" w:hAnsi="Times New Roman" w:eastAsia="仿宋_GB2312" w:cs="Times New Roman"/>
          <w:b/>
          <w:bCs/>
          <w:color w:val="333333"/>
          <w:kern w:val="0"/>
          <w:sz w:val="32"/>
          <w:szCs w:val="32"/>
          <w:lang w:val="en-US" w:eastAsia="zh-CN" w:bidi="ar-SA"/>
        </w:rPr>
        <w:t>一是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严把信息发布审核关。明确各环节工作职责和责任人员，筑牢意识形态领域安全，对反馈的问题立即整改。</w:t>
      </w:r>
      <w:r>
        <w:rPr>
          <w:rFonts w:hint="default" w:ascii="Times New Roman" w:hAnsi="Times New Roman" w:eastAsia="仿宋_GB2312" w:cs="Times New Roman"/>
          <w:b/>
          <w:bCs/>
          <w:color w:val="333333"/>
          <w:kern w:val="0"/>
          <w:sz w:val="32"/>
          <w:szCs w:val="32"/>
          <w:lang w:val="en-US" w:eastAsia="zh-CN" w:bidi="ar-SA"/>
        </w:rPr>
        <w:t>二是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加强公共文化旅游等重点领域信息公开。根据省文化和旅游厅《关于印发安徽省公共文化服务、旅游领域基层政务公开事项指引目录的通知》要求，编制指引目录，细化完善具体公开事项，推动基层政务公开标准化规范化。</w:t>
      </w:r>
      <w:r>
        <w:rPr>
          <w:rFonts w:hint="default" w:ascii="Times New Roman" w:hAnsi="Times New Roman" w:eastAsia="仿宋_GB2312" w:cs="Times New Roman"/>
          <w:b/>
          <w:bCs/>
          <w:color w:val="333333"/>
          <w:kern w:val="0"/>
          <w:sz w:val="32"/>
          <w:szCs w:val="32"/>
          <w:lang w:val="en-US" w:eastAsia="zh-CN" w:bidi="ar-SA"/>
        </w:rPr>
        <w:t>三是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主动接受社会公众监督。2024年，我局未发生社会评议和责任追究结果，社会评议结果良好。</w:t>
      </w:r>
    </w:p>
    <w:p w14:paraId="7E34E053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二、主动公开政府信息情况</w:t>
      </w:r>
    </w:p>
    <w:tbl>
      <w:tblPr>
        <w:tblStyle w:val="6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 w14:paraId="184193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F9508D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第二十条第（一）项</w:t>
            </w:r>
          </w:p>
        </w:tc>
      </w:tr>
      <w:tr w14:paraId="7BE04D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2B6C23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33EBEB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t>本年</w:t>
            </w: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DCE29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891FFB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t>现行有效件</w:t>
            </w: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数</w:t>
            </w:r>
          </w:p>
        </w:tc>
      </w:tr>
      <w:tr w14:paraId="05A96A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DF1E3D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8C496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D11506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BF533E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0DF377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1AC201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C0479F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4FBE30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70B26A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256536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778002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t>第二十条第（五）项</w:t>
            </w:r>
          </w:p>
        </w:tc>
      </w:tr>
      <w:tr w14:paraId="7965EA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927E52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0085E7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 w14:paraId="79E4B1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C839E4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F4062A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24</w:t>
            </w:r>
          </w:p>
        </w:tc>
      </w:tr>
      <w:tr w14:paraId="0F0C97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B8F50D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t>第二十条第（六）项</w:t>
            </w:r>
          </w:p>
        </w:tc>
      </w:tr>
      <w:tr w14:paraId="4DDB44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D8146D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47A151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 w14:paraId="056F6E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364A29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4A8B9E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3AA687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821238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8B6084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7B4190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855F54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t>第二十条第（八）项</w:t>
            </w:r>
          </w:p>
        </w:tc>
      </w:tr>
      <w:tr w14:paraId="049279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06E4B8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A7BB9F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t>本年收费金额（单位：万元）</w:t>
            </w:r>
          </w:p>
        </w:tc>
      </w:tr>
      <w:tr w14:paraId="0C95CE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74FD88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A56E4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  <w:t>0</w:t>
            </w:r>
          </w:p>
        </w:tc>
      </w:tr>
    </w:tbl>
    <w:p w14:paraId="5B6327D6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三、收到和处理政府信息公开申请情况</w:t>
      </w:r>
    </w:p>
    <w:tbl>
      <w:tblPr>
        <w:tblStyle w:val="6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74"/>
        <w:gridCol w:w="1074"/>
        <w:gridCol w:w="3125"/>
        <w:gridCol w:w="682"/>
        <w:gridCol w:w="682"/>
        <w:gridCol w:w="682"/>
        <w:gridCol w:w="682"/>
        <w:gridCol w:w="682"/>
        <w:gridCol w:w="682"/>
        <w:gridCol w:w="683"/>
      </w:tblGrid>
      <w:tr w14:paraId="2828DB1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5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8DAF8E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23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B95E5C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申请人情况</w:t>
            </w:r>
          </w:p>
        </w:tc>
      </w:tr>
      <w:tr w14:paraId="42430BE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5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F67E1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68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1C1379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自然人</w:t>
            </w:r>
          </w:p>
        </w:tc>
        <w:tc>
          <w:tcPr>
            <w:tcW w:w="3445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6C9579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CECB39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</w:tr>
      <w:tr w14:paraId="2F83F4D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5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979E1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68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5CFDD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121146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商业</w:t>
            </w:r>
          </w:p>
          <w:p w14:paraId="138A3EE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企业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083D2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科研</w:t>
            </w:r>
          </w:p>
          <w:p w14:paraId="5ADB7E0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机构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E62B4D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社会公益组织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D38249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法律服务机构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2C3ADD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D0A16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  <w:tr w14:paraId="76BBFBD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4925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80E67F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022DC6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EC8AD5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9FFD05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14B9BD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06C8FF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CAB6AF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6822500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</w:tr>
      <w:tr w14:paraId="4E711EB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  <w:jc w:val="center"/>
        </w:trPr>
        <w:tc>
          <w:tcPr>
            <w:tcW w:w="492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0C07B7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4F8E7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086A20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9CE6FE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B3FB33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8D686E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5AA681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7707F3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</w:tr>
      <w:tr w14:paraId="21D9E9E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210959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三、本年度办理结果</w:t>
            </w:r>
          </w:p>
        </w:tc>
        <w:tc>
          <w:tcPr>
            <w:tcW w:w="415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C7937C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（一）予以公开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051720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D27F9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092253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4C4619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6A4BCC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7E3F9C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EEEC21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</w:tr>
      <w:tr w14:paraId="1F441C3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95DE2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415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AB8720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（二）部分公开（区分处理的，只计这一情形，不计其他情形）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30BB6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393B5C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89CEC3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8A5C7A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F32E25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29E8F7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7FD7535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</w:tr>
      <w:tr w14:paraId="27DBE16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9C54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A73104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（三）不予公开</w:t>
            </w: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17E60C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1.属于国家秘密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FED829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D246AB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B81347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7F08FD7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0DF0560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622D83C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6294B7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</w:tr>
      <w:tr w14:paraId="2611087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3709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44C9A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79B905E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2.其他法律行政法规禁止公开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582DE7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6D98E6A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0E81F04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FCB5D7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153204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CEB22E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EBE1E8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</w:tr>
      <w:tr w14:paraId="208AB12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7F80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7F701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BB8FC8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3.危及“三安全一稳定”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8CB965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630DBBA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1D497F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6FBDBB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778032C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635A56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780A08D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</w:tr>
      <w:tr w14:paraId="43E4D4D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89435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26796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64BF6A1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4.保护第三方合法权益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6522BA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998C81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E149D0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D6E95C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BC50F2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3F6D36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39ED98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</w:tr>
      <w:tr w14:paraId="4D3E365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4" w:hRule="atLeast"/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B6EC0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2D5B4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D5EAE8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5.属于三类内部事务信息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77AEB7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7B22BB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86006E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7A76DAD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48D4BE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BEF423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6F9247A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</w:tr>
      <w:tr w14:paraId="7FB3094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201EA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77B21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9804B0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6.属于四类过程性信息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0CE507C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1D28AB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6B7EA5C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D87B85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754E8B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AA7977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7FE76F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</w:tr>
      <w:tr w14:paraId="6FFAC80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365EB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109A1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BCABD7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7.属于行政执法案卷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2CFD98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7A1129F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E19F31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4B17FB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364E6C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0A0E265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6509CD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</w:tr>
      <w:tr w14:paraId="154E068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D9DFF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59323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C267FC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8.属于行政查询事项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C09B2B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0AD718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5D5BCF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76CFB89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7935576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66FF3FF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5C2BE4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</w:tr>
      <w:tr w14:paraId="42AA55A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74D97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7B5119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（四）无法提供</w:t>
            </w: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006D744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1.本机关不掌握相关政府信息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0E6A78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7C0F81D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E0A2A7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647E427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6DE16E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720E3B7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28B5A6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</w:tr>
      <w:tr w14:paraId="1FE1DC1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7FFF6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FDEF7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2F7F26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2.没有现成信息需要另行制作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C5F6CF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561D5C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138AD7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55BE46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8F2586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0A9C9A1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79A1F3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</w:tr>
      <w:tr w14:paraId="27F9B8C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531EE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C4FE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69FD635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3.补正后申请内容仍不明确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79D671F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503A98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28141E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033CC2C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7C7FA1B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6939DE6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D1A885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</w:tr>
      <w:tr w14:paraId="0801F9C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2987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126606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（五）不予处理</w:t>
            </w: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3220DC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1.信访举报投诉类申请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E4983E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909209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2609C7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C6D73A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3776F8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0CEAD4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43F620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57474C9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8614E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FE280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CDB3E4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2.重复申请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01E9DA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4E729B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8B377B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76A6C4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472421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BED225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A61F5B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3A658C2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40D4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9CADE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05C9F82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3.要求提供公开出版物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835A75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ACDADA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0D1B26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FEAC11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C699F1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756C74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23BB97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36529D6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0C39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F26FC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EEC70E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4.无正当理由大量反复申请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F02A7B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42845B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C4F837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725F67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9EBBC8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1C4874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2632FE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1403DA9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EB618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75379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B82F22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F4038E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47760D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9599DA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68BAE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A4F5CD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63B69E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84BC1C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05B24FF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FA63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DB44FB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（六）其他处理</w:t>
            </w: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F60448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C20FCB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32F9E0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EDCC36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E8B7D8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1ADB51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3BB12D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244D63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3E2D3AD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D39C2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AB1F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BE204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F092E0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82F7B0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95CECB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ED7423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E3109E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AC3463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C91CF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</w:pPr>
          </w:p>
          <w:p w14:paraId="3D33B74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1FE61CD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6AFB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FB6F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4D897C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3.其他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5330B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69C01F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BCD9AF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F310B1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1CF871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0EFFC6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940F25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</w:tr>
      <w:tr w14:paraId="62C1E36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BF896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415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2CB4AC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（七）总计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DECE75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F3BDC6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EA6E82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32BE4B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12CF24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343CE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C47794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</w:tr>
      <w:tr w14:paraId="206594D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1650D3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四、结转下年度继续办理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F65AAA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671934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A2CA0A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B2BD55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8FE159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B5A5B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5CB86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  <w:t>0</w:t>
            </w:r>
          </w:p>
        </w:tc>
      </w:tr>
    </w:tbl>
    <w:p w14:paraId="4E0A19A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四、政府信息公开行政复议、行政诉讼情况</w:t>
      </w:r>
    </w:p>
    <w:tbl>
      <w:tblPr>
        <w:tblStyle w:val="6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78B4FC0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B1A63A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DAA988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行政诉讼</w:t>
            </w:r>
          </w:p>
        </w:tc>
      </w:tr>
      <w:tr w14:paraId="56B92E9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C46BAA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728268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7C4BCB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其他</w:t>
            </w: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A61E62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尚未</w:t>
            </w: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A03700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2B66C4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C52C5F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复议后起诉</w:t>
            </w:r>
          </w:p>
        </w:tc>
      </w:tr>
      <w:tr w14:paraId="65D7DC1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BE828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91DE6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C68CA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2CCFC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45838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34C221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B85926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B62379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其他</w:t>
            </w: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3AF0C4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尚未</w:t>
            </w: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57B953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A2CB32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C3FBC7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06777E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t>其他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8D8CEE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尚未</w:t>
            </w: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0AFC64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</w:tr>
      <w:tr w14:paraId="7019DB1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42374F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1A88AE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8D5DA9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29C271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F7D4C9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7193B3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CD54DB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43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661DA8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43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C059D7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19A336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8B9AAF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040524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C58A7A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AD137D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66F63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  <w:t>0</w:t>
            </w:r>
          </w:p>
        </w:tc>
      </w:tr>
    </w:tbl>
    <w:p w14:paraId="4FD1D40D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rightChars="0" w:firstLine="420" w:firstLineChars="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五、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存在的主要问题及改进情况</w:t>
      </w:r>
    </w:p>
    <w:p w14:paraId="58CFA154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3" w:firstLineChars="200"/>
        <w:jc w:val="both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（一）存在的主要问题</w:t>
      </w:r>
    </w:p>
    <w:p w14:paraId="000E8E05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我局虽然在政府信息公开工作中取得了一定的进步，但离群众的期盼还存在一定的差距。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一是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部门政策解读较少，形式比较单一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。二是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政府信息公开平台、政务新媒体管理工作还需加强。</w:t>
      </w:r>
    </w:p>
    <w:p w14:paraId="50043958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rightChars="0" w:firstLine="643" w:firstLineChars="200"/>
        <w:jc w:val="both"/>
        <w:textAlignment w:val="auto"/>
        <w:rPr>
          <w:rFonts w:hint="eastAsia" w:ascii="楷体_GB2312" w:hAnsi="楷体_GB2312" w:eastAsia="楷体_GB2312" w:cs="楷体_GB2312"/>
          <w:b/>
          <w:bCs/>
          <w:color w:val="333333"/>
          <w:kern w:val="0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color w:val="333333"/>
          <w:kern w:val="0"/>
          <w:sz w:val="32"/>
          <w:szCs w:val="32"/>
          <w:lang w:val="en-US" w:eastAsia="zh-CN" w:bidi="ar-SA"/>
        </w:rPr>
        <w:t>（二）</w:t>
      </w:r>
      <w:r>
        <w:rPr>
          <w:rFonts w:hint="eastAsia" w:ascii="楷体_GB2312" w:hAnsi="楷体_GB2312" w:eastAsia="楷体_GB2312" w:cs="楷体_GB2312"/>
          <w:b/>
          <w:bCs/>
          <w:color w:val="333333"/>
          <w:kern w:val="0"/>
          <w:sz w:val="32"/>
          <w:szCs w:val="32"/>
          <w:lang w:val="en-US" w:eastAsia="zh-CN" w:bidi="ar-SA"/>
        </w:rPr>
        <w:t>下一步改进情况</w:t>
      </w:r>
    </w:p>
    <w:p w14:paraId="1961D6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一是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进一步加强领导，落实责任。加强组织领导，健全工作机制，加强政务公开工作调度，提高思想认识，强化工作责任，细化工作任务，按照时间节点，规范信息发布流程，保证信息内容质量，进一步提高政府信息公开的规范性和时效性。</w:t>
      </w:r>
      <w:r>
        <w:rPr>
          <w:rFonts w:hint="default" w:ascii="Times New Roman" w:hAnsi="Times New Roman" w:eastAsia="仿宋_GB2312" w:cs="Times New Roman"/>
          <w:b/>
          <w:bCs/>
          <w:color w:val="333333"/>
          <w:kern w:val="0"/>
          <w:sz w:val="32"/>
          <w:szCs w:val="32"/>
          <w:lang w:val="en-US" w:eastAsia="zh-CN" w:bidi="ar-SA"/>
        </w:rPr>
        <w:t>二是</w:t>
      </w:r>
      <w:r>
        <w:rPr>
          <w:rFonts w:hint="default" w:ascii="Times New Roman" w:hAnsi="Times New Roman" w:eastAsia="仿宋_GB2312" w:cs="Times New Roman"/>
          <w:b w:val="0"/>
          <w:bCs w:val="0"/>
          <w:color w:val="333333"/>
          <w:kern w:val="0"/>
          <w:sz w:val="32"/>
          <w:szCs w:val="32"/>
          <w:lang w:val="en-US" w:eastAsia="zh-CN" w:bidi="ar-SA"/>
        </w:rPr>
        <w:t>丰富政策解读形式，提高公开信息的可读性。提高图片解读、音频、视频解读等在政策解读上的应用，利用表格、图片等直观的方式展示工作成果。</w:t>
      </w:r>
    </w:p>
    <w:p w14:paraId="0A447E44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六、其他需要报告的事项</w:t>
      </w:r>
    </w:p>
    <w:p w14:paraId="1A1FAF37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left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政府信息公开收费情况。按照《国务院办公厅关于印发〈政府信息公开信息处理费管理办法〉的通知》（国办函〔2020〕109号）规定的按件、按量收费标准，本年度没有产生信息公开处理费。</w:t>
      </w:r>
    </w:p>
    <w:p w14:paraId="5017B8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DFKai-SB">
    <w:panose1 w:val="03000509000000000000"/>
    <w:charset w:val="88"/>
    <w:family w:val="auto"/>
    <w:pitch w:val="default"/>
    <w:sig w:usb0="00000003" w:usb1="082E0000" w:usb2="00000016" w:usb3="00000000" w:csb0="0010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CE8014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1AC69B1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1AC69B1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F56FCA"/>
    <w:rsid w:val="028642E4"/>
    <w:rsid w:val="03074A71"/>
    <w:rsid w:val="03491F5E"/>
    <w:rsid w:val="03CA1FAF"/>
    <w:rsid w:val="04787C5D"/>
    <w:rsid w:val="04B844FD"/>
    <w:rsid w:val="06080079"/>
    <w:rsid w:val="06B156A8"/>
    <w:rsid w:val="080E1490"/>
    <w:rsid w:val="0A6F1B02"/>
    <w:rsid w:val="0A8E511E"/>
    <w:rsid w:val="0D4C0445"/>
    <w:rsid w:val="0E527F72"/>
    <w:rsid w:val="0ECF491D"/>
    <w:rsid w:val="0EF441AF"/>
    <w:rsid w:val="10A009B9"/>
    <w:rsid w:val="12A14823"/>
    <w:rsid w:val="133E6515"/>
    <w:rsid w:val="14ED1FA1"/>
    <w:rsid w:val="154F4A0A"/>
    <w:rsid w:val="169F376F"/>
    <w:rsid w:val="17F43647"/>
    <w:rsid w:val="181F06C4"/>
    <w:rsid w:val="194128BC"/>
    <w:rsid w:val="1A8567D8"/>
    <w:rsid w:val="1B2B3823"/>
    <w:rsid w:val="1BF105C9"/>
    <w:rsid w:val="1C79747B"/>
    <w:rsid w:val="1C915908"/>
    <w:rsid w:val="1CF2284B"/>
    <w:rsid w:val="1F117043"/>
    <w:rsid w:val="1F4C5B16"/>
    <w:rsid w:val="1F904B4D"/>
    <w:rsid w:val="24981981"/>
    <w:rsid w:val="255E0351"/>
    <w:rsid w:val="25901C25"/>
    <w:rsid w:val="25DD69CE"/>
    <w:rsid w:val="26263565"/>
    <w:rsid w:val="26571970"/>
    <w:rsid w:val="27A24E6D"/>
    <w:rsid w:val="29785E86"/>
    <w:rsid w:val="29A053DC"/>
    <w:rsid w:val="2A5266D7"/>
    <w:rsid w:val="2A781EB5"/>
    <w:rsid w:val="2ABC1DA2"/>
    <w:rsid w:val="2BAC1E16"/>
    <w:rsid w:val="2EDE1C71"/>
    <w:rsid w:val="2F8337D6"/>
    <w:rsid w:val="304C5976"/>
    <w:rsid w:val="30A47560"/>
    <w:rsid w:val="30E3277E"/>
    <w:rsid w:val="31CB3732"/>
    <w:rsid w:val="31D16A7B"/>
    <w:rsid w:val="31F462C5"/>
    <w:rsid w:val="322E0C2B"/>
    <w:rsid w:val="32CD02E0"/>
    <w:rsid w:val="32D657C5"/>
    <w:rsid w:val="337D69D1"/>
    <w:rsid w:val="337E50B9"/>
    <w:rsid w:val="34441786"/>
    <w:rsid w:val="34F8431E"/>
    <w:rsid w:val="36793399"/>
    <w:rsid w:val="38A85873"/>
    <w:rsid w:val="39643D30"/>
    <w:rsid w:val="3ADB6274"/>
    <w:rsid w:val="3C8B3CCA"/>
    <w:rsid w:val="3DB31FDA"/>
    <w:rsid w:val="3E112948"/>
    <w:rsid w:val="3F2D7C7B"/>
    <w:rsid w:val="3F5A2CE1"/>
    <w:rsid w:val="4024246B"/>
    <w:rsid w:val="40270807"/>
    <w:rsid w:val="40700133"/>
    <w:rsid w:val="40FB7670"/>
    <w:rsid w:val="441D16AC"/>
    <w:rsid w:val="44323EF7"/>
    <w:rsid w:val="45252F0E"/>
    <w:rsid w:val="453C3DB3"/>
    <w:rsid w:val="45CF69D6"/>
    <w:rsid w:val="479003E6"/>
    <w:rsid w:val="48BF2D31"/>
    <w:rsid w:val="49F904C5"/>
    <w:rsid w:val="4E1753BE"/>
    <w:rsid w:val="50435F8F"/>
    <w:rsid w:val="51402E7D"/>
    <w:rsid w:val="51C632B8"/>
    <w:rsid w:val="5246001F"/>
    <w:rsid w:val="531F6D00"/>
    <w:rsid w:val="53395DD6"/>
    <w:rsid w:val="54531F10"/>
    <w:rsid w:val="566E5D97"/>
    <w:rsid w:val="571132F2"/>
    <w:rsid w:val="5B57504B"/>
    <w:rsid w:val="5C2C64D8"/>
    <w:rsid w:val="5D43621A"/>
    <w:rsid w:val="5DE80B25"/>
    <w:rsid w:val="5E023994"/>
    <w:rsid w:val="5E9F5687"/>
    <w:rsid w:val="5FB54A36"/>
    <w:rsid w:val="605902F9"/>
    <w:rsid w:val="61167757"/>
    <w:rsid w:val="63227F63"/>
    <w:rsid w:val="6650370B"/>
    <w:rsid w:val="677F6056"/>
    <w:rsid w:val="698E2580"/>
    <w:rsid w:val="6A7E1356"/>
    <w:rsid w:val="6C865790"/>
    <w:rsid w:val="6D7D3037"/>
    <w:rsid w:val="6D8F2D6B"/>
    <w:rsid w:val="6F5053F2"/>
    <w:rsid w:val="70871AD7"/>
    <w:rsid w:val="70DA60AB"/>
    <w:rsid w:val="714B6078"/>
    <w:rsid w:val="71630796"/>
    <w:rsid w:val="72732F9F"/>
    <w:rsid w:val="73903399"/>
    <w:rsid w:val="779A2A38"/>
    <w:rsid w:val="7B034450"/>
    <w:rsid w:val="7EBE0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widowControl w:val="0"/>
      <w:spacing w:before="100" w:beforeAutospacing="1" w:after="100" w:afterAutospacing="1"/>
      <w:ind w:left="0" w:right="0"/>
      <w:jc w:val="left"/>
    </w:pPr>
    <w:rPr>
      <w:rFonts w:ascii="Calibri" w:hAnsi="Calibri" w:eastAsia="宋体" w:cs="Times New Roman"/>
      <w:kern w:val="0"/>
      <w:sz w:val="24"/>
      <w:szCs w:val="24"/>
      <w:lang w:val="en-US" w:eastAsia="zh-CN" w:bidi="ar"/>
    </w:rPr>
  </w:style>
  <w:style w:type="character" w:styleId="8">
    <w:name w:val="Hyperlink"/>
    <w:basedOn w:val="7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14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2025-01-20T02:12:56Z</dcterms:created>
  <dc:creator>Administrator</dc:creator>
  <cp:lastModifiedBy>以梦为马</cp:lastModifiedBy>
  <dcterms:modified xsi:type="dcterms:W3CDTF">2025-01-20T03:58:54Z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eyJoZGlkIjoiODNkY2YwMTNkN2I2NmI1ZGYwN2RhNTQ0NDY1MWJkOTMiLCJ1c2VySWQiOiI2NzM1NjA3NDAifQ==</vt:lpwstr>
  </property>
  <property fmtid="{D5CDD505-2E9C-101B-9397-08002B2CF9AE}" pid="4" name="ICV">
    <vt:lpwstr>3D676B7531B84649AEC80D9512B2BBD0_12</vt:lpwstr>
  </property>
</Properties>
</file>