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50" w:lineRule="auto"/>
        <w:rPr>
          <w:rFonts w:ascii="Arial"/>
          <w:sz w:val="21"/>
        </w:rPr>
      </w:pPr>
    </w:p>
    <w:p>
      <w:pPr>
        <w:keepNext w:val="0"/>
        <w:keepLines w:val="0"/>
        <w:widowControl w:val="0"/>
        <w:suppressLineNumbers w:val="0"/>
        <w:spacing w:before="0" w:beforeAutospacing="0" w:after="0" w:afterAutospacing="0"/>
        <w:ind w:left="0" w:right="0"/>
        <w:jc w:val="center"/>
        <w:rPr>
          <w:rFonts w:hint="eastAsia" w:ascii="宋体" w:hAnsi="宋体" w:eastAsia="宋体" w:cs="宋体"/>
          <w:spacing w:val="10"/>
          <w:w w:val="80"/>
          <w:kern w:val="0"/>
          <w:sz w:val="24"/>
          <w:szCs w:val="21"/>
          <w:lang w:val="en-US"/>
        </w:rPr>
      </w:pPr>
      <w:r>
        <w:rPr>
          <w:rFonts w:hint="default" w:ascii="Times New Roman" w:hAnsi="Times New Roman" w:eastAsia="宋体" w:cs="Times New Roman"/>
          <w:kern w:val="2"/>
          <w:sz w:val="21"/>
          <w:szCs w:val="21"/>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-119380</wp:posOffset>
                </wp:positionH>
                <wp:positionV relativeFrom="paragraph">
                  <wp:posOffset>815340</wp:posOffset>
                </wp:positionV>
                <wp:extent cx="5857875" cy="0"/>
                <wp:effectExtent l="0" t="13970" r="9525" b="24130"/>
                <wp:wrapNone/>
                <wp:docPr id="1" name="自选图形 2"/>
                <wp:cNvGraphicFramePr/>
                <a:graphic xmlns:a="http://schemas.openxmlformats.org/drawingml/2006/main">
                  <a:graphicData uri="http://schemas.microsoft.com/office/word/2010/wordprocessingShape">
                    <wps:wsp>
                      <wps:cNvCnPr/>
                      <wps:spPr>
                        <a:xfrm>
                          <a:off x="0" y="0"/>
                          <a:ext cx="5857875" cy="0"/>
                        </a:xfrm>
                        <a:prstGeom prst="straightConnector1">
                          <a:avLst/>
                        </a:prstGeom>
                        <a:ln w="28575" cap="flat" cmpd="sng">
                          <a:solidFill>
                            <a:srgbClr val="FF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margin-left:-9.4pt;margin-top:64.2pt;height:0pt;width:461.25pt;z-index:251659264;mso-width-relative:page;mso-height-relative:page;" filled="f" stroked="t" coordsize="21600,21600" o:gfxdata="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MMFYNcAAAALAQAADwAAAAAAAAABACAAAAAiAAAAZHJzL2Rvd25yZXYueG1sUEsB&#10;AhQAFAAAAAgAh07iQHDkrMr2AQAA5AMAAA4AAAAAAAAAAQAgAAAAJgEAAGRycy9lMm9Eb2MueG1s&#10;UEsFBgAAAAAGAAYAWQEAAI4FAAAAAA==&#10;">
                <v:fill on="f" focussize="0,0"/>
                <v:stroke weight="2.25pt" color="#FF0000" joinstyle="round"/>
                <v:imagedata o:title=""/>
                <o:lock v:ext="edit" aspectratio="f"/>
              </v:shape>
            </w:pict>
          </mc:Fallback>
        </mc:AlternateContent>
      </w:r>
      <w:r>
        <w:rPr>
          <w:rFonts w:hint="eastAsia" w:ascii="方正小标宋简体" w:hAnsi="方正小标宋简体" w:eastAsia="方正小标宋简体" w:cs="方正小标宋简体"/>
          <w:color w:val="FF0000"/>
          <w:spacing w:val="10"/>
          <w:w w:val="80"/>
          <w:kern w:val="2"/>
          <w:sz w:val="82"/>
          <w:szCs w:val="76"/>
          <w:lang w:val="en-US" w:eastAsia="zh-CN" w:bidi="ar"/>
        </w:rPr>
        <w:t>铜陵市铜官区教育局科室函件</w:t>
      </w:r>
    </w:p>
    <w:p>
      <w:pPr>
        <w:keepNext w:val="0"/>
        <w:keepLines w:val="0"/>
        <w:widowControl w:val="0"/>
        <w:suppressLineNumbers w:val="0"/>
        <w:kinsoku w:val="0"/>
        <w:autoSpaceDE w:val="0"/>
        <w:autoSpaceDN w:val="0"/>
        <w:adjustRightInd w:val="0"/>
        <w:snapToGrid w:val="0"/>
        <w:spacing w:before="0" w:beforeAutospacing="0" w:after="0" w:afterAutospacing="0" w:line="640" w:lineRule="exact"/>
        <w:ind w:left="0" w:leftChars="0" w:right="0" w:firstLine="5257" w:firstLineChars="1643"/>
        <w:jc w:val="both"/>
        <w:rPr>
          <w:rFonts w:hint="eastAsia" w:ascii="方正小标宋简体" w:hAnsi="宋体" w:eastAsia="方正小标宋简体" w:cs="黑体"/>
          <w:bCs/>
          <w:sz w:val="44"/>
          <w:szCs w:val="44"/>
          <w:lang w:val="en-US"/>
        </w:rPr>
      </w:pPr>
      <w:r>
        <w:rPr>
          <w:rFonts w:hint="eastAsia" w:ascii="仿宋" w:hAnsi="仿宋" w:eastAsia="仿宋" w:cs="仿宋"/>
          <w:sz w:val="32"/>
          <w:szCs w:val="32"/>
        </w:rPr>
        <w:t>区教资助函</w:t>
      </w:r>
      <w:r>
        <w:rPr>
          <w:rFonts w:hint="eastAsia" w:ascii="Times New Roman" w:hAnsi="Arial" w:eastAsia="仿宋_GB2312" w:cs="Times New Roman"/>
          <w:bCs/>
          <w:snapToGrid/>
          <w:color w:val="000000"/>
          <w:kern w:val="0"/>
          <w:sz w:val="32"/>
          <w:szCs w:val="32"/>
          <w:lang w:val="en-US" w:eastAsia="zh-CN" w:bidi="ar"/>
        </w:rPr>
        <w:t>〔</w:t>
      </w:r>
      <w:r>
        <w:rPr>
          <w:rFonts w:hint="default" w:ascii="Times New Roman" w:hAnsi="Times New Roman" w:eastAsia="仿宋_GB2312" w:cs="Times New Roman"/>
          <w:bCs/>
          <w:snapToGrid/>
          <w:color w:val="000000"/>
          <w:kern w:val="0"/>
          <w:sz w:val="32"/>
          <w:szCs w:val="32"/>
          <w:lang w:val="en-US" w:eastAsia="zh-CN" w:bidi="ar"/>
        </w:rPr>
        <w:t>202</w:t>
      </w:r>
      <w:r>
        <w:rPr>
          <w:rFonts w:hint="eastAsia" w:ascii="Times New Roman" w:hAnsi="Times New Roman" w:eastAsia="仿宋_GB2312" w:cs="Times New Roman"/>
          <w:bCs/>
          <w:snapToGrid/>
          <w:color w:val="000000"/>
          <w:kern w:val="0"/>
          <w:sz w:val="32"/>
          <w:szCs w:val="32"/>
          <w:lang w:val="en-US" w:eastAsia="zh-CN" w:bidi="ar"/>
        </w:rPr>
        <w:t>4</w:t>
      </w:r>
      <w:r>
        <w:rPr>
          <w:rFonts w:hint="eastAsia" w:ascii="Times New Roman" w:hAnsi="Arial" w:eastAsia="仿宋_GB2312" w:cs="Times New Roman"/>
          <w:bCs/>
          <w:snapToGrid/>
          <w:color w:val="000000"/>
          <w:kern w:val="0"/>
          <w:sz w:val="32"/>
          <w:szCs w:val="32"/>
          <w:lang w:val="en-US" w:eastAsia="zh-CN" w:bidi="ar"/>
        </w:rPr>
        <w:t>〕</w:t>
      </w:r>
      <w:r>
        <w:rPr>
          <w:rFonts w:hint="eastAsia" w:ascii="Times New Roman" w:eastAsia="仿宋_GB2312" w:cs="Times New Roman"/>
          <w:bCs/>
          <w:snapToGrid/>
          <w:color w:val="000000"/>
          <w:kern w:val="0"/>
          <w:sz w:val="32"/>
          <w:szCs w:val="32"/>
          <w:lang w:val="en-US" w:eastAsia="zh-CN" w:bidi="ar"/>
        </w:rPr>
        <w:t>1</w:t>
      </w:r>
      <w:r>
        <w:rPr>
          <w:rFonts w:hint="eastAsia" w:ascii="Times New Roman" w:hAnsi="Arial" w:eastAsia="仿宋_GB2312" w:cs="Times New Roman"/>
          <w:bCs/>
          <w:snapToGrid/>
          <w:color w:val="000000"/>
          <w:kern w:val="0"/>
          <w:sz w:val="32"/>
          <w:szCs w:val="32"/>
          <w:lang w:val="en-US" w:eastAsia="zh-CN" w:bidi="ar"/>
        </w:rPr>
        <w:t>号</w:t>
      </w:r>
    </w:p>
    <w:p>
      <w:pPr>
        <w:spacing w:line="350" w:lineRule="auto"/>
        <w:rPr>
          <w:rFonts w:ascii="Arial"/>
          <w:sz w:val="21"/>
        </w:rPr>
      </w:pPr>
    </w:p>
    <w:p>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eastAsia="zh-CN"/>
        </w:rPr>
        <w:t>关于做好</w:t>
      </w:r>
      <w:r>
        <w:rPr>
          <w:rFonts w:hint="eastAsia" w:ascii="方正小标宋简体" w:hAnsi="方正小标宋简体" w:eastAsia="方正小标宋简体" w:cs="方正小标宋简体"/>
          <w:snapToGrid/>
          <w:kern w:val="2"/>
          <w:sz w:val="44"/>
          <w:szCs w:val="44"/>
          <w:lang w:val="en-US" w:eastAsia="zh-CN"/>
        </w:rPr>
        <w:t>2024年春季学期</w:t>
      </w:r>
      <w:r>
        <w:rPr>
          <w:rFonts w:hint="eastAsia" w:ascii="方正小标宋简体" w:hAnsi="方正小标宋简体" w:eastAsia="方正小标宋简体" w:cs="方正小标宋简体"/>
          <w:snapToGrid/>
          <w:kern w:val="2"/>
          <w:sz w:val="44"/>
          <w:szCs w:val="44"/>
          <w:lang w:eastAsia="zh-CN"/>
        </w:rPr>
        <w:t>学生资助工作的</w:t>
      </w:r>
    </w:p>
    <w:p>
      <w:pPr>
        <w:widowControl w:val="0"/>
        <w:kinsoku/>
        <w:autoSpaceDE/>
        <w:autoSpaceDN/>
        <w:adjustRightInd/>
        <w:snapToGrid/>
        <w:spacing w:line="240" w:lineRule="auto"/>
        <w:jc w:val="center"/>
        <w:textAlignment w:val="auto"/>
        <w:rPr>
          <w:rFonts w:hint="eastAsia" w:ascii="方正小标宋简体" w:hAnsi="方正小标宋简体" w:eastAsia="方正小标宋简体" w:cs="方正小标宋简体"/>
          <w:snapToGrid/>
          <w:kern w:val="2"/>
          <w:sz w:val="44"/>
          <w:szCs w:val="44"/>
          <w:lang w:eastAsia="zh-CN"/>
        </w:rPr>
      </w:pPr>
      <w:r>
        <w:rPr>
          <w:rFonts w:hint="eastAsia" w:ascii="方正小标宋简体" w:hAnsi="方正小标宋简体" w:eastAsia="方正小标宋简体" w:cs="方正小标宋简体"/>
          <w:snapToGrid/>
          <w:kern w:val="2"/>
          <w:sz w:val="44"/>
          <w:szCs w:val="44"/>
          <w:lang w:eastAsia="zh-CN"/>
        </w:rPr>
        <w:t>通</w:t>
      </w:r>
      <w:r>
        <w:rPr>
          <w:rFonts w:hint="eastAsia" w:ascii="方正小标宋简体" w:hAnsi="方正小标宋简体" w:eastAsia="方正小标宋简体" w:cs="方正小标宋简体"/>
          <w:snapToGrid/>
          <w:kern w:val="2"/>
          <w:sz w:val="44"/>
          <w:szCs w:val="44"/>
          <w:lang w:val="en-US" w:eastAsia="zh-CN"/>
        </w:rPr>
        <w:t xml:space="preserve">       </w:t>
      </w:r>
      <w:r>
        <w:rPr>
          <w:rFonts w:hint="eastAsia" w:ascii="方正小标宋简体" w:hAnsi="方正小标宋简体" w:eastAsia="方正小标宋简体" w:cs="方正小标宋简体"/>
          <w:snapToGrid/>
          <w:kern w:val="2"/>
          <w:sz w:val="44"/>
          <w:szCs w:val="44"/>
          <w:lang w:eastAsia="zh-CN"/>
        </w:rPr>
        <w:t>知</w:t>
      </w:r>
    </w:p>
    <w:p>
      <w:pPr>
        <w:spacing w:line="259" w:lineRule="auto"/>
        <w:rPr>
          <w:rFonts w:ascii="Arial"/>
          <w:sz w:val="21"/>
        </w:rPr>
      </w:pPr>
    </w:p>
    <w:p>
      <w:pPr>
        <w:spacing w:line="259"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各中小学、幼儿园：</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为切实做好2024年春季学期学生资助工作，现将有关事项通知如下：</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一、提高认识，进一步落实主体责任和监管责任</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学生资助是一项重要的保民生、暖民心工程，党的二十大报 告指出的“要完善覆盖全学段学生资助体系”是对学生资助工作 的新判断新要求，2023年“积极开展困难学生资助”工作已被列 入安徽省50项民生实事之一。各单位要从教育公平的高度出发， 从民生问题的大局出发，充分认识做好新时代学生资助工作的重 要意义，进一步加强对学生资助工作的领导，全面落实各项资助工作责任，切实履行好监管责任和主体责任。</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1.进一步加强制度建设。</w:t>
      </w: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各校园要进一步加强学生资助项目制度建设，要严格遵照《安徽省学生资助资金管理实施办法》 (皖财教〔2023〕508号)文件要求，进一步完善国家资助项目实施方案和家庭经济困难学生认定程序；要根据审计、巡察等工作要求，进一步完善校内资助政策，规范实施资金提取、对象认定、资金发放等流程；要对照民生实事工作的标准，进一步完善学生资助宣传制度，用好线上、线下 两条宣传主线，全面深入解读学生资助政策，展示学生资助工作成果，凸显育人成效。</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2.进一步落实主体责任。</w:t>
      </w: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县区教育主管部门、校园要切实履行学生资助工作的法人责任和主体责任，建立健全内部管理机制和管理制度、明确各单位资助、财务、教务、宣传等部门责任，落实任务分工，加强部门之间的沟通协调；要严格执行学生资助资金预算，确保各项资助政策落实和资金使用规范；要用好学生信息管理系统，加强学生学籍和资助信息管理，录入、审核学生学籍信息和资助信息，确保数据真实、完整、准确、及时；要及时做好学生个人申请、评审(认定)、结果公示、资金发放及学生资助档案管理等工作，确保精准资助。</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3.进一步强化监管责任。</w:t>
      </w: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各校园 要加强资助项目实施、资金发放、执行管理，做好基础数据的审核工作，对上报的可能影响资金分配结果的有关数据和信息的真实性、准确性负责；要做好家庭经济困难学生认定工作，确保应助尽助；要完善学生资助工作监管体系，及时发现问题，解决问题；要加强学生资助队伍建设，配齐配强专职资助工作人员，确保资助队伍人员稳定；要加强业务培训做好新老交接，确保资助工作人员懂政策、熟系统、精业务，资助工作管理规范。</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二 、精心组织，全面落实各项学生资助政策。</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1.加强学生资助政策宣传。</w:t>
      </w: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各校园要持续加强资助政策宣传和解读，要牢牢把握招生时、报到时、毕业时三个关键时点，继续开展“两节课”“百千万”走访等资助宣传主题活动，用好线上、线下两条宣传主线，开展简洁明了、 通俗易懂的资助政策宣传。要积极开展好“资助圆梦皖美未来”资助育人主题活动，通过主流媒体、网站平台等群众喜闻乐见的方式宣传好我市资助育人典型和资助工作成效。要通过开设咨询电话、答疑邮箱等多种方式，及时回应学生及家长关切，积极有效做好学生资助舆情监控引导和应急处置工作。</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2.确保学生顺利入学。</w:t>
      </w: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各校要通过开设“绿色通道”等多种 方式，简化程序，提高办事效率，保护学生隐私，确保家庭经济 困难学生顺利入学、安心学习、正常生活。对符合免学费政策条</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件的学生，入学时直接免收其学费，不得“先收后退”。</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3.精准认定家庭经济困难学生。</w:t>
      </w: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各校要充分发挥资助管理信 息系统等载体作用，做好家庭经济困难学生认定工作，按照规定</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程序审核学生的申请信息，实事求是地确定学生的困难等级。原</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建档立卡家庭学生、边缘易致贫家庭学生、突发严重困难家庭学生、城乡低保家庭学生、特困救助供养学生、孤儿、残疾、残疾人子女、事实无人抚养儿童、低保边缘家庭学生、支出型困难 家庭学生和其他低收入家庭学生等特殊困难群体。对因病因灾因意外事故等突发严重困难家庭学生要摸清底数、主动资助。</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4.做好各类奖助项目评审。</w:t>
      </w: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校要严格按照相关文件要求成立评审领导小组、评审委员会，负责本地、本校奖助项目评审工作，确保评审材料齐全、完备，评审程序严格、规范。评审结果要在适当范围内进行公示，公示时长要符合相关文件要求。公示过程要特别注意尊重和保护学生个人隐私，不得公示学生身份证号码、家庭困难原因等敏感信息。对公示结果有异议的，各单位评审领导小组、评审委员会要认真受理，及时核查、答复。</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5.确保校内资助到位。</w:t>
      </w: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公办幼儿园要从事业收入中提取3%-5%资金，各民办普惠性幼儿园要从事业收入中提取5%比例的资金，单独设立科目，用于减免困难学生学费、提供特殊困难资助等，各单位要完善财务管理制度，切实做到足额计提、专账管理、规范使用。</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三 、加强系统应用，及时准确报送相关数据和材料</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1.全面做好系统应用工作。</w:t>
      </w: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各单位要全面做好“全国学生资 助管理信息系统”(下简称“系统”)和“建档立卡贫困户家庭学生资助管理系统”应用工作。按照规定的时间节点，分别将秋季学期、春季学期资助情况填入系统，确保系统人数、项目、金额与实际发放情况一致，做到信息真实、准确、完整。系统数据将作为绩效考核、资金预结算、监督检查、 审计调查等工作的重要依据。要加强“学生资助办公系统”(下  简称“办公系统”)和“大数据办公平台”(下简称“大数据平台”) 登陆应用频率，充分发挥办公系统通知公告、投稿咨询等各大模块作用，通过数据化办公赋能业务管理；运用大数据平台开展资助数据统计分析，为决策提供数据支持。</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从2023年秋季学期起，“安徽省建档立卡贫困户家庭学生资助管理系统”中已增加“长三角外省户籍学生受助情况管理”模块，为江苏省、浙江省和上海市户籍在我市就读家庭经济困难学生资助提供便捷通道。各级各类学校于秋季学期12月31日前和春季学期6月30日前，将符合资助条件学生的相关资助信息录入系统。</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3" w:firstLineChars="200"/>
        <w:textAlignment w:val="baseline"/>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b/>
          <w:bCs/>
          <w:snapToGrid/>
          <w:color w:val="000000" w:themeColor="text1"/>
          <w:kern w:val="2"/>
          <w:sz w:val="32"/>
          <w:szCs w:val="32"/>
          <w:lang w:val="en-US" w:eastAsia="zh-CN" w:bidi="ar-SA"/>
          <w14:textFill>
            <w14:solidFill>
              <w14:schemeClr w14:val="tx1"/>
            </w14:solidFill>
          </w14:textFill>
        </w:rPr>
        <w:t>四、工作安排及时间节点</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1.政策宣传阶段（2月26日至3月10日）：</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各校园结合入学教育，“两节课”、班会、家长会、宣传栏、工作群、家校群、发放告知书等多种途径和方式做好政策宣传工作，务必确保每个学生及家长了解政策，确保学生在规定时间内完成申请。</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2.精准认定阶段（2月26日至3月17日）：</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各校园要严格按照认定程序，即个人申请、学校认定、结果公示、建档备案等，精准认定，应助尽助。</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材料提交阶段（3月17日至3月31日）：学前教育3月31日前报送电子版、纸质版资助花名册(附件1)；义务教育3月31日前报送电子版、纸质版非寄宿生生活费补助花名册（附件2），并自行发放到学生社保卡账户，注意保存银行回单。</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电子版花名册请发资助邮箱tgzizhu@sina.com (请务必注明单位)；纸质表一式两份，一份学校留存，一份交区资助中心高雅丽处(电话： 2839069）， 地点：铜官区教师发展中心(市塔冲路389号，10路公交车塔冲路终点站向前约200米)。</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系统填报阶段（2月26日至5月30日）：</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各校（园）要在3月31日前完成省建档立卡系统的上报，5月30日前完成全国资助系统的填报，填报内容包括国家政府资助以及校园内资助模块。</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各单位务必按照本通知精神抓好贯彻落实，如有政策调整或</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其他新要求，铜官区资助中心将另行通知。</w:t>
      </w: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附件1：（单位名称）2024年铜官区春季学前教育资助花名册</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附件2：（单位名称）2024年铜官区春季义务教育阶段非寄宿生生活补助花名册</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附件3：铜官区家庭经济困难学生认定与国家教育资助申请表</w:t>
      </w:r>
    </w:p>
    <w:p>
      <w:pPr>
        <w:keepNext w:val="0"/>
        <w:keepLines w:val="0"/>
        <w:pageBreakBefore w:val="0"/>
        <w:widowControl/>
        <w:kinsoku w:val="0"/>
        <w:wordWrap/>
        <w:overflowPunct/>
        <w:topLinePunct w:val="0"/>
        <w:autoSpaceDE w:val="0"/>
        <w:autoSpaceDN w:val="0"/>
        <w:bidi w:val="0"/>
        <w:adjustRightInd w:val="0"/>
        <w:snapToGrid w:val="0"/>
        <w:spacing w:line="640" w:lineRule="exact"/>
        <w:ind w:firstLine="640" w:firstLineChars="200"/>
        <w:textAlignment w:val="baseline"/>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640" w:lineRule="exact"/>
        <w:textAlignment w:val="baseline"/>
        <w:rPr>
          <w:rFonts w:hint="eastAsia" w:ascii="方正仿宋_GB2312" w:hAnsi="方正仿宋_GB2312" w:eastAsia="方正仿宋_GB2312" w:cs="方正仿宋_GB2312"/>
          <w:color w:val="000000" w:themeColor="text1"/>
          <w:sz w:val="32"/>
          <w:szCs w:val="32"/>
          <w14:textFill>
            <w14:solidFill>
              <w14:schemeClr w14:val="tx1"/>
            </w14:solidFill>
          </w14:textFill>
        </w:rPr>
        <w:sectPr>
          <w:pgSz w:w="12270" w:h="17010"/>
          <w:pgMar w:top="1587" w:right="1474" w:bottom="1587" w:left="1474" w:header="0" w:footer="0" w:gutter="0"/>
          <w:cols w:space="720" w:num="1"/>
        </w:sectPr>
      </w:pPr>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 xml:space="preserve">          </w:t>
      </w:r>
      <w:bookmarkStart w:id="0" w:name="_GoBack"/>
      <w:bookmarkEnd w:id="0"/>
      <w:r>
        <w:rPr>
          <w:rFonts w:hint="eastAsia" w:ascii="方正仿宋_GB2312" w:hAnsi="方正仿宋_GB2312" w:eastAsia="方正仿宋_GB2312" w:cs="方正仿宋_GB2312"/>
          <w:snapToGrid/>
          <w:color w:val="000000" w:themeColor="text1"/>
          <w:kern w:val="2"/>
          <w:sz w:val="32"/>
          <w:szCs w:val="32"/>
          <w:lang w:val="en-US" w:eastAsia="zh-CN" w:bidi="ar-SA"/>
          <w14:textFill>
            <w14:solidFill>
              <w14:schemeClr w14:val="tx1"/>
            </w14:solidFill>
          </w14:textFill>
        </w:rPr>
        <w:t xml:space="preserve">                                 2024年2月27日</w:t>
      </w:r>
    </w:p>
    <w:p>
      <w:pPr>
        <w:tabs>
          <w:tab w:val="left" w:pos="2084"/>
        </w:tabs>
        <w:bidi w:val="0"/>
        <w:jc w:val="left"/>
        <w:rPr>
          <w:rFonts w:hint="eastAsia" w:eastAsia="宋体"/>
          <w:lang w:val="en-US" w:eastAsia="zh-CN"/>
        </w:rPr>
      </w:pPr>
    </w:p>
    <w:sectPr>
      <w:pgSz w:w="11960" w:h="16800"/>
      <w:pgMar w:top="1428" w:right="1135" w:bottom="0" w:left="16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08B38AE4-D1D5-4359-8400-AA993848A607}"/>
  </w:font>
  <w:font w:name="黑体">
    <w:panose1 w:val="02010609060101010101"/>
    <w:charset w:val="86"/>
    <w:family w:val="auto"/>
    <w:pitch w:val="default"/>
    <w:sig w:usb0="800002BF" w:usb1="38CF7CFA" w:usb2="00000016" w:usb3="00000000" w:csb0="00040001" w:csb1="00000000"/>
    <w:embedRegular r:id="rId2" w:fontKey="{7E97BB2F-4346-4438-BDB2-7F2CEF8436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1EB4400E-9879-4C12-ACCF-0D95A4206A31}"/>
  </w:font>
  <w:font w:name="方正小标宋简体">
    <w:panose1 w:val="02000000000000000000"/>
    <w:charset w:val="86"/>
    <w:family w:val="auto"/>
    <w:pitch w:val="default"/>
    <w:sig w:usb0="00000001" w:usb1="08000000" w:usb2="00000000" w:usb3="00000000" w:csb0="00040000" w:csb1="00000000"/>
    <w:embedRegular r:id="rId4" w:fontKey="{3273FF37-2BB3-4852-B6EC-41CA11024E24}"/>
  </w:font>
  <w:font w:name="仿宋_GB2312">
    <w:panose1 w:val="02010609030101010101"/>
    <w:charset w:val="86"/>
    <w:family w:val="auto"/>
    <w:pitch w:val="default"/>
    <w:sig w:usb0="00000001" w:usb1="080E0000" w:usb2="00000000" w:usb3="00000000" w:csb0="00040000" w:csb1="00000000"/>
    <w:embedRegular r:id="rId5" w:fontKey="{16F333E6-D9C2-424E-B103-A761C37039EB}"/>
  </w:font>
  <w:font w:name="方正仿宋_GB2312">
    <w:panose1 w:val="02000000000000000000"/>
    <w:charset w:val="86"/>
    <w:family w:val="auto"/>
    <w:pitch w:val="default"/>
    <w:sig w:usb0="A00002BF" w:usb1="184F6CFA" w:usb2="00000012" w:usb3="00000000" w:csb0="00040001" w:csb1="00000000"/>
    <w:embedRegular r:id="rId6" w:fontKey="{4AA44253-9E33-4F8E-9F59-A5B139F58C3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38D6D0"/>
    <w:multiLevelType w:val="singleLevel"/>
    <w:tmpl w:val="F938D6D0"/>
    <w:lvl w:ilvl="0" w:tentative="0">
      <w:start w:val="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jM4OTBiNmNlY2NiYjM5YjdjYmE4OGE3MmFmMWU4ZmMifQ=="/>
  </w:docVars>
  <w:rsids>
    <w:rsidRoot w:val="00000000"/>
    <w:rsid w:val="098C3C40"/>
    <w:rsid w:val="0C686809"/>
    <w:rsid w:val="41973594"/>
    <w:rsid w:val="52A616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7"/>
      <w:szCs w:val="37"/>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26"/>
      <w:szCs w:val="26"/>
      <w:lang w:val="en-US" w:eastAsia="en-US" w:bidi="ar-SA"/>
    </w:rPr>
  </w:style>
  <w:style w:type="character" w:customStyle="1" w:styleId="7">
    <w:name w:val="font31"/>
    <w:basedOn w:val="4"/>
    <w:uiPriority w:val="0"/>
    <w:rPr>
      <w:rFonts w:hint="default" w:ascii="Times New Roman" w:hAnsi="Times New Roman" w:cs="Times New Roman"/>
      <w:color w:val="000000"/>
      <w:sz w:val="20"/>
      <w:szCs w:val="20"/>
      <w:u w:val="none"/>
    </w:rPr>
  </w:style>
  <w:style w:type="character" w:customStyle="1" w:styleId="8">
    <w:name w:val="font21"/>
    <w:basedOn w:val="4"/>
    <w:autoRedefine/>
    <w:qFormat/>
    <w:uiPriority w:val="0"/>
    <w:rPr>
      <w:rFonts w:hint="eastAsia" w:ascii="仿宋" w:hAnsi="仿宋" w:eastAsia="仿宋" w:cs="仿宋"/>
      <w:color w:val="000000"/>
      <w:sz w:val="20"/>
      <w:szCs w:val="20"/>
      <w:u w:val="none"/>
    </w:rPr>
  </w:style>
  <w:style w:type="character" w:customStyle="1" w:styleId="9">
    <w:name w:val="font41"/>
    <w:basedOn w:val="4"/>
    <w:qFormat/>
    <w:uiPriority w:val="0"/>
    <w:rPr>
      <w:rFonts w:hint="eastAsia" w:ascii="仿宋" w:hAnsi="仿宋" w:eastAsia="仿宋" w:cs="仿宋"/>
      <w:color w:val="000000"/>
      <w:sz w:val="21"/>
      <w:szCs w:val="21"/>
      <w:u w:val="none"/>
    </w:rPr>
  </w:style>
  <w:style w:type="character" w:customStyle="1" w:styleId="10">
    <w:name w:val="font61"/>
    <w:basedOn w:val="4"/>
    <w:autoRedefine/>
    <w:qFormat/>
    <w:uiPriority w:val="0"/>
    <w:rPr>
      <w:rFonts w:hint="default" w:ascii="Times New Roman" w:hAnsi="Times New Roman" w:cs="Times New Roman"/>
      <w:color w:val="000000"/>
      <w:sz w:val="21"/>
      <w:szCs w:val="21"/>
      <w:u w:val="none"/>
    </w:rPr>
  </w:style>
  <w:style w:type="character" w:customStyle="1" w:styleId="11">
    <w:name w:val="font71"/>
    <w:basedOn w:val="4"/>
    <w:uiPriority w:val="0"/>
    <w:rPr>
      <w:rFonts w:hint="eastAsia" w:ascii="仿宋" w:hAnsi="仿宋" w:eastAsia="仿宋" w:cs="仿宋"/>
      <w:color w:val="000000"/>
      <w:sz w:val="21"/>
      <w:szCs w:val="21"/>
      <w:u w:val="single"/>
    </w:rPr>
  </w:style>
  <w:style w:type="character" w:customStyle="1" w:styleId="12">
    <w:name w:val="font51"/>
    <w:basedOn w:val="4"/>
    <w:uiPriority w:val="0"/>
    <w:rPr>
      <w:rFonts w:hint="eastAsia" w:ascii="黑体" w:hAnsi="宋体" w:eastAsia="黑体" w:cs="黑体"/>
      <w:color w:val="000000"/>
      <w:sz w:val="18"/>
      <w:szCs w:val="18"/>
      <w:u w:val="none"/>
    </w:rPr>
  </w:style>
  <w:style w:type="character" w:customStyle="1" w:styleId="13">
    <w:name w:val="font81"/>
    <w:basedOn w:val="4"/>
    <w:autoRedefine/>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14</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2024-02-26T08:43:00Z</dcterms:created>
  <dc:creator>Kingsoft-PDF</dc:creator>
  <cp:lastModifiedBy>點call妹</cp:lastModifiedBy>
  <dcterms:modified xsi:type="dcterms:W3CDTF">2024-02-27T01:49:45Z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2024-02-26T08:43:44Z</vt:filetime>
  </property>
  <property fmtid="{D5CDD505-2E9C-101B-9397-08002B2CF9AE}" pid="4" name="UsrData">
    <vt:lpwstr>65dbdebb2af94e001f0cae1dwl</vt:lpwstr>
  </property>
  <property fmtid="{D5CDD505-2E9C-101B-9397-08002B2CF9AE}" pid="5" name="KSOProductBuildVer">
    <vt:lpwstr>2052-12.1.0.16250</vt:lpwstr>
  </property>
  <property fmtid="{D5CDD505-2E9C-101B-9397-08002B2CF9AE}" pid="6" name="ICV">
    <vt:lpwstr>B79DDD9165164F77BDC0A5B5553F7B3F_13</vt:lpwstr>
  </property>
</Properties>
</file>